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Check list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APROVAÇÃO DE CURSO TÉCNICO no IFSC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Etapa 1. ANÁLISE DA DIREN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6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179"/>
        <w:gridCol w:w="3630"/>
        <w:gridCol w:w="7756"/>
        <w:tblGridChange w:id="0">
          <w:tblGrid>
            <w:gridCol w:w="3179"/>
            <w:gridCol w:w="3630"/>
            <w:gridCol w:w="7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" w:right="0" w:hanging="57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" w:right="0" w:hanging="57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489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 Nome do curso: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 Técnico em Administração Integrado ao Ensino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 Carga horária (CH) do curso: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3.120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2.1. CH para formação técnica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00080"/>
                  <w:sz w:val="20"/>
                  <w:szCs w:val="20"/>
                  <w:highlight w:val="white"/>
                  <w:u w:val="single"/>
                  <w:vertAlign w:val="baseline"/>
                  <w:rtl w:val="0"/>
                </w:rPr>
                <w:t xml:space="preserve">CNCT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*):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highlight w:val="white"/>
                <w:rtl w:val="0"/>
              </w:rPr>
              <w:t xml:space="preserve">680h + (?)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Não está claro no PPC qual carga horária para formação técnica. A Matriz apresenta que o curso possui 680h de carga horária específica de formação técnica. A carga horária mínima para a formação técnica em administração é de 800 horas.O PPC informa que o Núcleo Politécnico totaliza 160 horas, porém não deixa claro como essa carga horária está distribuída entre a Formação Geral e a Formação Técnica, conforme previsto nas Diretrizes Curriculares para os Cursos Técnicos Integrados ao Ensino Médio do IFSC. 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Atentar para: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“c) quando a carga horária total destinada a Projetos Integradores ou Oficinas de Integração for de apenas 120 horas (limite mínimo), deverá ser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dividida entre a Formação Geral e Técnica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, preferencialmente, de modo paritário. d) quando a carga horária ultrapassar as 120 horas previstas para o Núcleo Politécnico, o excedente poderá ser alocado à Formação Técnica ou como ampliação da carga total do curso, considerando o limite de 10%.”. 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Recomenda-se explicitar a forma de distribuição da carga horária do Núcleo Politécnico entre a Formação Geral e a Formação Técnica, evidenciando sua contabilização em cada formação. Essa adequação permitirá verificar o atendimento às cargas horárias mínimas previstas na legislação vigente. 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2.2. CH para formação geral (integrados)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highlight w:val="white"/>
                <w:rtl w:val="0"/>
              </w:rPr>
              <w:t xml:space="preserve">2.280h + (?)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O PPC informa que o Núcleo Politécnico totaliza 160 horas, porém não explicita como essa carga horária está distribuída entre a Formação Geral e a Formação Técnica, conforme previsto nas Diretrizes Curriculares para os Cursos Técnicos Integrados ao Ensino Médio do IFSC. Seguir orientações do item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2.3. CH de EaD (subsequentes e concomitantes):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2.4. CH de Estágio: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3. Número de vagas: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40 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4. Turno de oferta: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tividade em mais de dois dias no contraturno (manhã e tarde).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5. Início da oferta: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2027/1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6. Regime de matrícula: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Matrícula seriada.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7. Periodicidade da oferta: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8. Forma de Ingresso: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 de Classificação.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9. Regime da matriz curricular: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Semestral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Número de Unidades Curriculares por semestre: </w:t>
            </w:r>
          </w:p>
          <w:tbl>
            <w:tblPr>
              <w:tblStyle w:val="Table2"/>
              <w:tblW w:w="9600.0" w:type="dxa"/>
              <w:jc w:val="left"/>
              <w:tblInd w:w="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463"/>
              <w:gridCol w:w="497"/>
              <w:gridCol w:w="450"/>
              <w:gridCol w:w="493"/>
              <w:gridCol w:w="437"/>
              <w:gridCol w:w="523"/>
              <w:gridCol w:w="437"/>
              <w:gridCol w:w="523"/>
              <w:gridCol w:w="467"/>
              <w:gridCol w:w="493"/>
              <w:gridCol w:w="480"/>
              <w:gridCol w:w="480"/>
              <w:gridCol w:w="422"/>
              <w:gridCol w:w="538"/>
              <w:gridCol w:w="422"/>
              <w:gridCol w:w="508"/>
              <w:gridCol w:w="435"/>
              <w:gridCol w:w="525"/>
              <w:gridCol w:w="542"/>
              <w:gridCol w:w="465"/>
              <w:tblGridChange w:id="0">
                <w:tblGrid>
                  <w:gridCol w:w="463"/>
                  <w:gridCol w:w="497"/>
                  <w:gridCol w:w="450"/>
                  <w:gridCol w:w="493"/>
                  <w:gridCol w:w="437"/>
                  <w:gridCol w:w="523"/>
                  <w:gridCol w:w="437"/>
                  <w:gridCol w:w="523"/>
                  <w:gridCol w:w="467"/>
                  <w:gridCol w:w="493"/>
                  <w:gridCol w:w="480"/>
                  <w:gridCol w:w="480"/>
                  <w:gridCol w:w="422"/>
                  <w:gridCol w:w="538"/>
                  <w:gridCol w:w="422"/>
                  <w:gridCol w:w="508"/>
                  <w:gridCol w:w="435"/>
                  <w:gridCol w:w="525"/>
                  <w:gridCol w:w="542"/>
                  <w:gridCol w:w="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7ª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8ª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9ª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10ª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*CNCT – Catálogo Nacional de Cursos Técnicos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6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8038"/>
        <w:gridCol w:w="632"/>
        <w:gridCol w:w="705"/>
        <w:gridCol w:w="5190"/>
        <w:tblGridChange w:id="0">
          <w:tblGrid>
            <w:gridCol w:w="8038"/>
            <w:gridCol w:w="632"/>
            <w:gridCol w:w="705"/>
            <w:gridCol w:w="5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" w:right="0" w:hanging="57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11. A denominação do curso está de acordo com o CNCT?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12. Todos os itens do formulário estão contemplados?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Necessário ajuste. Utilizar o formulário padrão de PPC aprovado pelo CEPE. Foram identificadas pequenas divergências na formatação e na organização do documento em relação ao modelo institucional.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13. A proposta de integralização está conforme o RDP, indicando o prazo mínimo e máximo?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14. O perfil do egresso está de acordo com o catálogo?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15. A área de atuação do egresso está de acordo com o catálogo?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ff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16. Os Objetivos, nas UCs, estão acompanhados de Conteúdos?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17. As ementas estão preenchidas?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x</w:t>
            </w:r>
          </w:p>
          <w:sdt>
            <w:sdtPr>
              <w:lock w:val="contentLocked"/>
              <w:id w:val="-157474420"/>
              <w:tag w:val="goog_rdk_0"/>
            </w:sdtPr>
            <w:sdtContent>
              <w:tbl>
                <w:tblPr>
                  <w:tblStyle w:val="Table4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6C">
                      <w:pPr>
                        <w:rPr>
                          <w:rFonts w:ascii="Arial" w:cs="Arial" w:eastAsia="Arial" w:hAnsi="Arial"/>
                          <w:color w:val="ff0000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Necessário ajuste na organização curricular. Conforme o art. 7º, §§ 1º e 2º, da normativa aplicável, os componentes curriculares de Língua Espanhola e/ou Língua Brasileira de Sinais devem compor o conjunto de componentes da área de Linguagens da Formação Geral, assegurando-se que os estudantes cursem, ao menos, uma dessas línguas, além da Língua Inglesa. Além disso, nos cursos em que houver estudantes surdos matriculados, deverá ser ofertado o componente curricular de Libras. Dessa forma, recomenda-se indicar na matriz curricular a possibilidade de oferta de Língua Espanhola/Libras e inserir também a ementa de Língua Brasileira de Sinais, ainda que sua oferta esteja condicionada à situação prevista na normativa.</w:t>
            </w:r>
          </w:p>
          <w:tbl>
            <w:tblPr>
              <w:tblStyle w:val="Table5"/>
              <w:tblW w:w="4979.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979.999999999998"/>
              <w:tblGridChange w:id="0">
                <w:tblGrid>
                  <w:gridCol w:w="4979.999999999998"/>
                </w:tblGrid>
              </w:tblGridChange>
            </w:tblGrid>
            <w:tr>
              <w:trPr>
                <w:cantSplit w:val="0"/>
                <w:trHeight w:val="2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after="240" w:before="240" w:lineRule="auto"/>
                    <w:rPr>
                      <w:rFonts w:ascii="Arial" w:cs="Arial" w:eastAsia="Arial" w:hAnsi="Arial"/>
                      <w:color w:val="ff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18. Todas as Unidades listadas na matriz possuem ementas?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Necessário ajuste. Não foi localizada a ementa do componente curricular de Língua Brasileira de Sinais. Incluir a respectiva ementa no PPC, observando o padrão utilizado para os demais componentes curriculares.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 As cargas horárias das Unidades Curriculares são múltiplas de 20 h?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 A soma das cargas horárias das ementas conferem com a matriz e a CH total do curso?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Após o ajuste da carga horária do Núcleo Politécnico, realizar nova conferência da matriz curricular, verificando a compatibilidade entre a carga horária dos núcleos de formação, a carga horária total declarada para o curso e as informações apresentadas nos demais campos do PPC.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 O eixo de formação corresponde ao planejamento do câmpus?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 Preencha os percentuais de oferta previsto no POCV do câmpus: período 2024 -2029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540.0" w:type="dxa"/>
              <w:jc w:val="left"/>
              <w:tblInd w:w="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1560"/>
              <w:gridCol w:w="810"/>
              <w:gridCol w:w="1527.0000000000002"/>
              <w:gridCol w:w="1037.9999999999998"/>
              <w:gridCol w:w="1470"/>
              <w:gridCol w:w="795"/>
              <w:gridCol w:w="1725"/>
              <w:gridCol w:w="615"/>
              <w:tblGridChange w:id="0">
                <w:tblGrid>
                  <w:gridCol w:w="1560"/>
                  <w:gridCol w:w="810"/>
                  <w:gridCol w:w="1527.0000000000002"/>
                  <w:gridCol w:w="1037.9999999999998"/>
                  <w:gridCol w:w="1470"/>
                  <w:gridCol w:w="795"/>
                  <w:gridCol w:w="1725"/>
                  <w:gridCol w:w="6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Cursos técnicos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64,5%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Formação de formadores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13,9%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Proeja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15,2%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Cursos Superiores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Legais e Normativos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Etapa 2. ANÁLISE DO PARECERISTA - CEPE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505.0" w:type="dxa"/>
        <w:jc w:val="left"/>
        <w:tblInd w:w="-169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25"/>
        <w:gridCol w:w="2490"/>
        <w:gridCol w:w="3705"/>
        <w:gridCol w:w="674"/>
        <w:gridCol w:w="676"/>
        <w:gridCol w:w="705"/>
        <w:gridCol w:w="5730"/>
        <w:tblGridChange w:id="0">
          <w:tblGrid>
            <w:gridCol w:w="525"/>
            <w:gridCol w:w="2490"/>
            <w:gridCol w:w="3705"/>
            <w:gridCol w:w="674"/>
            <w:gridCol w:w="676"/>
            <w:gridCol w:w="705"/>
            <w:gridCol w:w="5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Explicitação do dispositivo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Plano de Desenvolvimento Institucional (PDI) e Plano de Oferta de Cursos e Vagas (POCV)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referido curso consta na POCV do Campus?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goo.gl/RYFxHY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a resposta seja negativa é necessário solicitar justificativa ao câmpus do porquê não consta na POCV.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Nacional de Cursos Técnicos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denominação do curso está adequada ao CNCT?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goo.gl/aKXUqE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horária mínima, em horas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(Específico para Curso Técnico Subsequente e Concomitante)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curso possui carga horária igual ou superior ao estabelecido no CNCT?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CNCT Disponível em: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goo.gl/aKXUqE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horária mínima dos cursos técnicos  integrados ao 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cursos técnicos terão sua carga horária estabelecida a partir do mínimo definido nos Catálogos, nas Diretrizes Curriculares Nacionais e nas Diretrizes Internas do IFSC: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§ 2º Os cursos de Educação Profissional Técnica Integrada ao Ensino Médio do IFSC terão as cargas horárias totais de, no mínimo, 3.000, 3.100 ou 3.200 horas, conforme o número de horas para as respectivas habilitações profissionais definidas no Catálogo Nacional de Cursos Técnicos, ou seja de 800, 1.000 ou 1.200 horas.”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PPC atende a esse requisito?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CNCT e RDP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horária máxima. (RDP)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cursos técnicos terão sua carga horária máxima de até 10% (dez por cento) da CH mínima regulamentada.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“Art. 185. Os cursos técnicos e de graduação terão sua carga horária estabelecida a partir do mínimo definido nos Catálogos, nas Diretrizes Curriculares Nacionais e nas Diretrizes Internas do IFSC e seu máximo não deverá ultrapassar 10% (dez por cento) desse valor.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§ 1º Os estágios e TCC não serão incluídos neste valor máximo.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§ 2º Os cursos de Educação Profissional Técnica Integrada ao Ensino Médio do IFSC terão as cargas horárias totais de, no mínimo, 3.000, 3.100 ou 3.200 horas, conforme o número de horas para as respectivas habilitações profissionais definidas no Catálogo Nacional de Cursos Técnicos, ou seja de 800, 1.000 ou 1.200 horas.”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carga horária máxima atende esse requisito? (art. 185, RDP).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RDP - Resolução Consup nº 20 de 25 de junho de 2018,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Disponível em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vagas por turma.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Art. 6º. Os cursos terão oferta periódica ou não-periódica.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§5º As turmas deverão ser compostas por 40 (quarenta) alunos, otimizando os espaços físicos e a oferta de vagas, casos excepcionais deverão ser justificados no PPC.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cursos que preveem turmas com número de vagas inferior a 40 deverão apresentar justificativa. O PPC contempla este item?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Periodicidade e organização do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(Específico para Curso Técnico Subsequente ou Concomitante)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cursos técnicos concomitantes e subsequentes estão organizados de acordo com periodicidade semestral, em regime de matrícula por componente curricular (Matrícula por créditos)?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turno está definido no PPC?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turno integral se aplica ao curso ofertado inteira ou parcialmente em mais de um turno (manhã e tarde, manhã e noite, ou tarde e noite), exigindo a disponibilidade do estudante por mais de 6 horas diárias, durante a maior parte da semana, conforme o RDP.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os cursos a distância informar o turno quando houver atividades síncronas e/ou presenciais obrigatórias.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Ingresso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forma de ingresso descrita no PPC está prevista no regulamento de ingresso do IFSC?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Resolução Consup/IFSC nº 61 de 11 de dezembro de 2023.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Periodicidade e regime de matrícula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(Específico para Curso Técnico Integrado e Concomitante-unificado)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Curso está organizado com periodicidade semestral ou anual e regime de matrícula seriada (matrícula por bloco de UC em cada período letivo)? (art. 47, RDP).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Temas transversais citados na legislação para cursos técnicos integrados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(Específico para Curso Técnico Integrado e Concomitante-unificado)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temática sobre, IST, idoso, trânsito, educação alimentar e nutricional, direitos humanos e prevenção de todas as formas de violência contra a criança e o adolescente está presente nas unidades curriculares do curso de forma transversal?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IST: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Idoso: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Base Legislação da Presidência da República - Lei nº 10.741 de 01 de outubro de 2003 (presidencia.gov.br)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Trânsito: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Art 76 da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LEI Nº 9.503, DE 23 DE SETEMBRO DE 1997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Educação alimentar e nutricional -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Lei 13.666 de 2018 educação alimentar e nutricional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Art. 26, §9º LDB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 Nota Técnica </w:t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SEI/FNDE - 2810740 - Nota Técnica (</w:t>
              </w:r>
            </w:hyperlink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www.gov.br</w:t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Direitos humanos e prevenção de violências: </w:t>
            </w:r>
            <w:hyperlink r:id="rId23">
              <w:r w:rsidDel="00000000" w:rsidR="00000000" w:rsidRPr="00000000">
                <w:rPr>
                  <w:rFonts w:ascii="Trebuchet MS" w:cs="Trebuchet MS" w:eastAsia="Trebuchet MS" w:hAnsi="Trebuchet MS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Resolução CNE/CP nº 1, de 30 de maio de 2012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LEI Nº 9.394, DE 20 DE DEZEMBRO DE 1996 </w:t>
            </w: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Art. 26 LDB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Estatuto da Criança e do Adolescente: </w:t>
            </w: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Lei nº 8.069, de 13 de julho de 1990.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Diretrizes Curriculares Nacionais para Educação das Relações Étnico-raciais e para o Ensino de História e Cultura Afro-brasileira e Indígena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temática da História e Cultura Afro-Brasileira, Africana e Indígena e relações étnico-raciais está presente nas UC do curso?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em: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História e Cultura Afro-Brasileira, Africana e Indígena e relações étnico-raciais: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Lei Nº 11.645 de 2008 - Disponível em: </w:t>
            </w:r>
            <w:hyperlink r:id="rId2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goo.gl/P64akq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Resol. CNE/CP Nº01 de 2004 - Disponível em: </w:t>
            </w:r>
            <w:hyperlink r:id="rId2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goo.gl/uN6Yyi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Parecer CNE/CP N.º 003 de 10 de março de 2004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Parecer CNE/CEB no 15/2010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- com orientações para que material utilizado 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Educação Básica se coaduna com as políticas públicas para uma educação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antirracista.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PORTARIA No 470, DE 14 DE MAIO DE 2024 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Institui a Política Nacional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Equidade, Educação para as Relações Étnico-Raciais e Educação Escolar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Quilombola - PNEERQ.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Política de Educação Ambiental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educação ambiental está presente, de forma articulada, nas unidades curriculares do curso?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Conforme Resolução Consup/IFSC nº 28, de 21 de agosto de 2018, no seu art. 7º: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Art. 7º Os projetos pedagógicos de curso (PPC) do IFSC deverão atender a, pelo menos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uma, das seguintes diretrizes relacionadas à temática da sustentabilidade: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 – tratar-se de um curso com essa temática específica;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II – possuir uma ou mais unidades curriculares voltadas ao tema;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III – prever o tratamento da sustentabilidade como tema transversal, indicando explicitamente na ementa de uma ou mais unidades curriculares do curso;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IV – incluir ações de pesquisa e extensão.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Parágrafo único. A obrigatoriedade prevista no caput aplica-se somente a novos projetos e em casos de reestruturação dos projetos existentes.”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Lei Nº 9.795 de 27 de abril de 1999 - Disponível em: </w:t>
            </w:r>
            <w:hyperlink r:id="rId3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goo.gl/dKgHMw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Dec. Nº 4.281 de 25 de junho de 2002 - Disponível em: </w:t>
            </w:r>
            <w:hyperlink r:id="rId3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goo.gl/Lfcpvg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Política de Sustentabilidade do IFSC (Art. 7º da Resolução Consup/IFSC nº 28 de 21 de agosto de 2018) -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Política de Sustentabilidade do IFSC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 de integralização.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PPC prevê o tempo mínimo e máximo para a integralização, sendo este o dobro do tempo de duração do curso?  (art. 51, RDP).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3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Legislação específica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curso possui legislação específica? Se sim, verifique se o PPC está em conformidade com os requisitos da legislação específica para respectiva habilitação profissional se for profissão regulamentada atrelada aos Conselhos Profissionais, normas regulamentadoras etc.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 da oferta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justificativa da oferta apresenta a necessidade de oferta do curso na região de atuação/abrangência do Câmpus, constando, por exemplo, estudos qualitativos e quantitativos com as devidas fontes (como IBGE, Secretarias de estado, FIESC, etc.)?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Observar também se existe sombreamento de oferta na cidade ou região e se esse sombreamento pode ou não causar problemas na demanda para o curso considerando a especificidade do curso e região da oferta.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 Profissional do Egresso e Matriz Curricular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Perfil Profissional do Egresso está descrito no PPC? A matriz curricular apresentada está condizente com o perfil? O perfil está condizente com o CNCT?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RDP e Nota Técnica nº 01/2015/CEPE – Carga horária e créditos.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carga horária mínima de uma unidade curricular será de uma hora por semana, totalizando 20 horas semestrais, correspondente a um crédito (Art. 10, § 6º do RDP). A carga horária das UCs estão organizadas em múltiplos de 20 horas? Caso não esteja, há justificativa?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3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Estratégias de ensino e aprendizagem da UC (antiga “metodologia de Abordagem”)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Consta, no PPC, as estratégias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ensino e aprendizagem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 serão aplicadas em cada Unidade Curricular? As  especificidades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 estratégias de ensino e aprendizagem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cada UC são apresentadas ou estão com a mesma redação em todas as UCs?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9211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Resolução CNE/CP º1 de 5 de janeiro de 2021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currículos dos cursos de Educação Profissional Técnica de Nível Médio devem considerar o que prevê o Art. 20 da Resolução CNE nº 1 de 2021 (incisos I ao X).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 possível inferir que estes quesitos estão contemplados no currículo?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Existência de avaliação presencial para curso EaD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o PPC estabeleça atividades presenciais como avaliações, estágios, práticas profissionais e de laboratório e defesa de trabalhos, estas são realizadas no NEAD do IFSC, no polo de educação a distância ou em ambiente profissional, de acordo com as Diretrizes Curriculares Nacionais. O PPC atende a esse requisito?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Decreto nº 9057 de 25 de maio de 2017.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Diretrizes para a oferta de cursos e componentes curriculares na modalidade à distância no IFSC.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(Aplicável para cursos com carga horária ou totalmente EaD)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PPC contém a metodologia das atividades de ensino-aprendizagem e avaliação? Os mecanismos de interação entre professores e alunos? A disponibilização de infraestrutura física e tecnológica para viabilizar a oferta? Além disso, se o corpo docente que atuará no curso possui experiência e/ou formação nesta modalidade? (art. 11 da referida resolução).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Resolução CEPE/IFSC nº 72 de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 </w:t>
            </w:r>
            <w:hyperlink r:id="rId3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Diretrizes para a oferta de cursos e componentes curriculares na modalidade à distância no IFSC.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(Aplicável para cursos com carga horária ou totalmente EaD)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indicação, no PPC, dos componentes curriculares que possuem carga horária EaD? Além disso, há ainda a indicação da carga horária presencial e a distância do curso? (art. 11 da referida resolução)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Resolução CEPE/IFSC nº 72 de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 </w:t>
            </w:r>
            <w:hyperlink r:id="rId3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Diretrizes para a oferta de cursos e componentes curriculares na modalidade à distância no IFSC.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Conforme Resolução CEPE/IFSC nº 72 de 2020 fica vedada a inclusão de CH EAD nos cursos técnicos integrados. O PPC apresenta alguma CH EaD?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Resolução CEPE/IFSC nº 72 de 2020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 </w:t>
            </w:r>
            <w:hyperlink r:id="rId4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Acervo bibliográfico – análise de conteúdo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conteúdo e as referências bibliográficas utilizadas são adequados à temática das respectivas UCs? Por favor, consulte o “parecer da biblioteca” contido no processo do SIPAC.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horária total do PPC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carga horária total do curso submetida é igual à carga horária total da matriz curricular apresentada e do cômputo das ementas?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Estágio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procedimentos, normas e avaliação do estágio estão de acordo com o Regulamento de Estágio do IFSC e com o RDP?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Regulamento de Estágio do IFSC - </w:t>
            </w:r>
            <w:hyperlink r:id="rId4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Resolução CEPE/IFSC nº 74, de 8 de dezembro de 2016.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4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Certificação Intermediária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curso possui certificação intermediária? Se sim, está em conformidade com o CNCT?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Disponível em: </w:t>
            </w:r>
            <w:hyperlink r:id="rId4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goo.gl/aKXUqE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Permanência e êxito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Consta, no PPC, ações de permanência e êxito alinhadas ao Plano Estratégico de Permanência e Êxito dos Estudantes do IFSC?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Plano Estratégico de Acesso, Permanência e Êxito dos Estudantes do IFSC - </w:t>
            </w:r>
            <w:hyperlink r:id="rId4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Resolução CONSUP/IFSC nº 98 de 22 de julho de 2024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- Disponível em </w:t>
            </w:r>
            <w:hyperlink r:id="rId4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Recuperação de estudos.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PPC propõe alguma metodologia que prejudique a continuidade do aluno em pendência ou reprovação? (art. 98, RDP)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RDP - Resolução Consup nº 20 de 25 de junho de 2018, disponível em </w:t>
            </w:r>
            <w:hyperlink r:id="rId4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Sigrh Colegiados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Infraestrutura mínima requerida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Câmpus possui a infraestrutura mínima requerida pelo CNCT para funcionamento do curso?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CNCT Disponível em: </w:t>
            </w:r>
            <w:hyperlink r:id="rId4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goo.gl/aKXUqE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Observar no caso dos cursos técnicos integrados as instalações mínimas para atendimento das unidades curriculares da formação geral (quadras esportivas, laboratórios, sala de artes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Humanos necessários para viabilizar a oferta (professores e técnicos-administrativos)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PPC apresenta os recursos humanos necessários para a integralização da oferta? Os professores são habilitados para a área de atuação no curso?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DESPACHO DO PARECERISTA CEPE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Trata-se de uma solicitação de ……………… (criação, alteração, suspensão, extinção, autorização de oferta) do PPC do curso Técnico em………….………., do Câmpus ……………...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Pontos da Análise do PPC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Apresentar os principais pontos da solicitação;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Modalidade (presencial ou EaD):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vagas por turma: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Turno de oferta: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horária total: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Duração do curso: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Periodicidade de ingresso no curso: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de ingresso: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Previsão de início da oferta: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0" w:hanging="22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Profissional: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Outras informações que julgar relevantes: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A solicitação é justificada ………….…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Descrever os principais itens corrigidos/melhorados.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Voto do Parecerista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Feitas essas considerações, sou de parecer …………………………… (FAVORÁVEL ou DESFAVORÁVEL) a aprovação da solicitação.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nome e data.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8" w:type="default"/>
      <w:footerReference r:id="rId49" w:type="default"/>
      <w:pgSz w:h="11906" w:w="16838" w:orient="landscape"/>
      <w:pgMar w:bottom="1831" w:top="1693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Trebuchet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555" w:right="0" w:firstLine="0"/>
      <w:jc w:val="left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75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  <w:rtl w:val="0"/>
      </w:rPr>
      <w:t xml:space="preserve">Instituto Federal de Santa Catarina – Reitoria | </w:t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Rua: 14 de julho, 150  |  Coqueiros  |   Florianópolis /SC  |  CEP: 88.075-010 | Fone: (48) 3877-9000   |   www.ifsc.edu.br  |  CNPJ 11.402.887/0001-60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-269871</wp:posOffset>
          </wp:positionH>
          <wp:positionV relativeFrom="paragraph">
            <wp:posOffset>-184145</wp:posOffset>
          </wp:positionV>
          <wp:extent cx="9830435" cy="840740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30435" cy="8407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2"/>
      <w:lvlJc w:val="left"/>
      <w:pPr>
        <w:ind w:left="576" w:hanging="576"/>
      </w:pPr>
      <w:rPr/>
    </w:lvl>
    <w:lvl w:ilvl="2">
      <w:start w:val="1"/>
      <w:numFmt w:val="decimal"/>
      <w:lvlText w:val="%3"/>
      <w:lvlJc w:val="left"/>
      <w:pPr>
        <w:ind w:left="720" w:hanging="720"/>
      </w:pPr>
      <w:rPr/>
    </w:lvl>
    <w:lvl w:ilvl="3">
      <w:start w:val="1"/>
      <w:numFmt w:val="decimal"/>
      <w:lvlText w:val="%4"/>
      <w:lvlJc w:val="left"/>
      <w:pPr>
        <w:ind w:left="864" w:hanging="864"/>
      </w:pPr>
      <w:rPr/>
    </w:lvl>
    <w:lvl w:ilvl="4">
      <w:start w:val="1"/>
      <w:numFmt w:val="decimal"/>
      <w:lvlText w:val="%5"/>
      <w:lvlJc w:val="left"/>
      <w:pPr>
        <w:ind w:left="1008" w:hanging="1008"/>
      </w:pPr>
      <w:rPr/>
    </w:lvl>
    <w:lvl w:ilvl="5">
      <w:start w:val="1"/>
      <w:numFmt w:val="decimal"/>
      <w:lvlText w:val="%6"/>
      <w:lvlJc w:val="left"/>
      <w:pPr>
        <w:ind w:left="1152" w:hanging="1152"/>
      </w:pPr>
      <w:rPr/>
    </w:lvl>
    <w:lvl w:ilvl="6">
      <w:start w:val="1"/>
      <w:numFmt w:val="decimal"/>
      <w:lvlText w:val="%7"/>
      <w:lvlJc w:val="left"/>
      <w:pPr>
        <w:ind w:left="1296" w:hanging="1296"/>
      </w:pPr>
      <w:rPr/>
    </w:lvl>
    <w:lvl w:ilvl="7">
      <w:start w:val="1"/>
      <w:numFmt w:val="decimal"/>
      <w:lvlText w:val="%8"/>
      <w:lvlJc w:val="left"/>
      <w:pPr>
        <w:ind w:left="1440" w:hanging="1440"/>
      </w:pPr>
      <w:rPr/>
    </w:lvl>
    <w:lvl w:ilvl="8">
      <w:start w:val="1"/>
      <w:numFmt w:val="decimal"/>
      <w:lvlText w:val="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27" w:hanging="227"/>
      </w:pPr>
      <w:rPr/>
    </w:lvl>
    <w:lvl w:ilvl="1">
      <w:start w:val="1"/>
      <w:numFmt w:val="bullet"/>
      <w:lvlText w:val="●"/>
      <w:lvlJc w:val="left"/>
      <w:pPr>
        <w:ind w:left="454" w:hanging="227"/>
      </w:pPr>
      <w:rPr/>
    </w:lvl>
    <w:lvl w:ilvl="2">
      <w:start w:val="1"/>
      <w:numFmt w:val="bullet"/>
      <w:lvlText w:val="●"/>
      <w:lvlJc w:val="left"/>
      <w:pPr>
        <w:ind w:left="680" w:hanging="227"/>
      </w:pPr>
      <w:rPr/>
    </w:lvl>
    <w:lvl w:ilvl="3">
      <w:start w:val="1"/>
      <w:numFmt w:val="bullet"/>
      <w:lvlText w:val="●"/>
      <w:lvlJc w:val="left"/>
      <w:pPr>
        <w:ind w:left="907" w:hanging="227"/>
      </w:pPr>
      <w:rPr/>
    </w:lvl>
    <w:lvl w:ilvl="4">
      <w:start w:val="1"/>
      <w:numFmt w:val="bullet"/>
      <w:lvlText w:val="●"/>
      <w:lvlJc w:val="left"/>
      <w:pPr>
        <w:ind w:left="1134" w:hanging="227"/>
      </w:pPr>
      <w:rPr/>
    </w:lvl>
    <w:lvl w:ilvl="5">
      <w:start w:val="1"/>
      <w:numFmt w:val="bullet"/>
      <w:lvlText w:val="●"/>
      <w:lvlJc w:val="left"/>
      <w:pPr>
        <w:ind w:left="1361" w:hanging="227"/>
      </w:pPr>
      <w:rPr/>
    </w:lvl>
    <w:lvl w:ilvl="6">
      <w:start w:val="1"/>
      <w:numFmt w:val="bullet"/>
      <w:lvlText w:val="●"/>
      <w:lvlJc w:val="left"/>
      <w:pPr>
        <w:ind w:left="1587" w:hanging="227"/>
      </w:pPr>
      <w:rPr/>
    </w:lvl>
    <w:lvl w:ilvl="7">
      <w:start w:val="1"/>
      <w:numFmt w:val="bullet"/>
      <w:lvlText w:val="●"/>
      <w:lvlJc w:val="left"/>
      <w:pPr>
        <w:ind w:left="1814" w:hanging="226"/>
      </w:pPr>
      <w:rPr/>
    </w:lvl>
    <w:lvl w:ilvl="8">
      <w:start w:val="1"/>
      <w:numFmt w:val="bullet"/>
      <w:lvlText w:val="●"/>
      <w:lvlJc w:val="left"/>
      <w:pPr>
        <w:ind w:left="2041" w:hanging="227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576" w:right="0" w:hanging="57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pac.ifsc.edu.br/sigrh/public/colegiados/filtro_busca.jsf" TargetMode="External"/><Relationship Id="rId42" Type="http://schemas.openxmlformats.org/officeDocument/2006/relationships/hyperlink" Target="https://sipac.ifsc.edu.br/sigrh/public/colegiados/filtro_busca.jsf" TargetMode="External"/><Relationship Id="rId41" Type="http://schemas.openxmlformats.org/officeDocument/2006/relationships/hyperlink" Target="https://sigrh.ifsc.edu.br/sigrh/downloadArquivo?idArquivo=2810829&amp;key=d6b16398184cbb2a6be0c12098f37819" TargetMode="External"/><Relationship Id="rId44" Type="http://schemas.openxmlformats.org/officeDocument/2006/relationships/hyperlink" Target="https://sipac.ifsc.edu.br/sigrh/downloadArquivo?idArquivo=3660018&amp;key=986278ae68984d58e5499c7efc376927" TargetMode="External"/><Relationship Id="rId43" Type="http://schemas.openxmlformats.org/officeDocument/2006/relationships/hyperlink" Target="http://cnct.mec.gov.br/" TargetMode="External"/><Relationship Id="rId46" Type="http://schemas.openxmlformats.org/officeDocument/2006/relationships/hyperlink" Target="https://sipac.ifsc.edu.br/sigrh/public/colegiados/filtro_busca.jsf" TargetMode="External"/><Relationship Id="rId45" Type="http://schemas.openxmlformats.org/officeDocument/2006/relationships/hyperlink" Target="https://sipac.ifsc.edu.br/sigrh/public/colegiados/filtro_busca.js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nct.mec.gov.br/" TargetMode="External"/><Relationship Id="rId48" Type="http://schemas.openxmlformats.org/officeDocument/2006/relationships/header" Target="header1.xml"/><Relationship Id="rId47" Type="http://schemas.openxmlformats.org/officeDocument/2006/relationships/hyperlink" Target="http://cnct.mec.gov.br/" TargetMode="Externa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nct.mec.gov.br/" TargetMode="External"/><Relationship Id="rId8" Type="http://schemas.openxmlformats.org/officeDocument/2006/relationships/hyperlink" Target="http://goo.gl/RYFxHY" TargetMode="External"/><Relationship Id="rId31" Type="http://schemas.openxmlformats.org/officeDocument/2006/relationships/hyperlink" Target="http://goo.gl/dKgHMw" TargetMode="External"/><Relationship Id="rId30" Type="http://schemas.openxmlformats.org/officeDocument/2006/relationships/hyperlink" Target="https://abmes.org.br/public/legislacoes/detalhe/4724/portaria-mec-n-470" TargetMode="External"/><Relationship Id="rId33" Type="http://schemas.openxmlformats.org/officeDocument/2006/relationships/hyperlink" Target="https://sigrh.ifsc.edu.br/sigrh/downloadArquivo?idArquivo=287113&amp;key=4e70c796293894a3ba0db94162d0971b" TargetMode="External"/><Relationship Id="rId32" Type="http://schemas.openxmlformats.org/officeDocument/2006/relationships/hyperlink" Target="http://goo.gl/Lfcpvg" TargetMode="External"/><Relationship Id="rId35" Type="http://schemas.openxmlformats.org/officeDocument/2006/relationships/hyperlink" Target="https://sipac.ifsc.edu.br/sigrh/public/colegiados/filtro_busca.jsf" TargetMode="External"/><Relationship Id="rId34" Type="http://schemas.openxmlformats.org/officeDocument/2006/relationships/hyperlink" Target="https://sipac.ifsc.edu.br/sigrh/public/colegiados/filtro_busca.jsf" TargetMode="External"/><Relationship Id="rId37" Type="http://schemas.openxmlformats.org/officeDocument/2006/relationships/hyperlink" Target="http://www.planalto.gov.br/ccivil_03/_Ato2015-2018/2017/Decreto/D9057.htm#art24" TargetMode="External"/><Relationship Id="rId36" Type="http://schemas.openxmlformats.org/officeDocument/2006/relationships/hyperlink" Target="https://abmes.org.br/arquivos/legislacoes/Resolucao-cne-cp-001-2021-01-05.pdf" TargetMode="External"/><Relationship Id="rId39" Type="http://schemas.openxmlformats.org/officeDocument/2006/relationships/hyperlink" Target="https://sipac.ifsc.edu.br/sigrh/public/colegiados/filtro_busca.jsf" TargetMode="External"/><Relationship Id="rId38" Type="http://schemas.openxmlformats.org/officeDocument/2006/relationships/hyperlink" Target="https://sipac.ifsc.edu.br/sigrh/public/colegiados/filtro_busca.jsf" TargetMode="External"/><Relationship Id="rId20" Type="http://schemas.openxmlformats.org/officeDocument/2006/relationships/hyperlink" Target="https://www.gov.br/fnde/pt-br/acesso-a-informacao/acoes-e-programas/programas/pnae/legislacao/SEI_FNDE2810740NotaTcnica.pdf" TargetMode="External"/><Relationship Id="rId22" Type="http://schemas.openxmlformats.org/officeDocument/2006/relationships/hyperlink" Target="https://www.gov.br/fnde/pt-br/acesso-a-informacao/acoes-e-programas/programas/pnae/legislacao/SEI_FNDE2810740NotaTcnica.pdf" TargetMode="External"/><Relationship Id="rId21" Type="http://schemas.openxmlformats.org/officeDocument/2006/relationships/hyperlink" Target="http://www.gov.br/" TargetMode="External"/><Relationship Id="rId24" Type="http://schemas.openxmlformats.org/officeDocument/2006/relationships/hyperlink" Target="https://www.planalto.gov.br/ccivil_03/LEIS/L9394.htm" TargetMode="External"/><Relationship Id="rId23" Type="http://schemas.openxmlformats.org/officeDocument/2006/relationships/hyperlink" Target="http://portal.mec.gov.br/dmdocuments/rcp001_12.pdf" TargetMode="External"/><Relationship Id="rId26" Type="http://schemas.openxmlformats.org/officeDocument/2006/relationships/hyperlink" Target="http://goo.gl/P64akq" TargetMode="External"/><Relationship Id="rId25" Type="http://schemas.openxmlformats.org/officeDocument/2006/relationships/hyperlink" Target="http://legislacao.planalto.gov.br/legisla/legislacao.nsf/Viw_Identificacao/lei%208.069-1990?OpenDocument" TargetMode="External"/><Relationship Id="rId28" Type="http://schemas.openxmlformats.org/officeDocument/2006/relationships/hyperlink" Target="http://portal.mec.gov.br/cne/arquivos/pdf/003.pdf" TargetMode="External"/><Relationship Id="rId27" Type="http://schemas.openxmlformats.org/officeDocument/2006/relationships/hyperlink" Target="http://goo.gl/uN6Yyi" TargetMode="External"/><Relationship Id="rId29" Type="http://schemas.openxmlformats.org/officeDocument/2006/relationships/hyperlink" Target="http://portal.mec.gov.br/index.php?option=com_docman&amp;view=download&amp;alias=6702-pceb015-10&amp;category_slug=setembro-2010-pdf&amp;Itemid=30192" TargetMode="External"/><Relationship Id="rId11" Type="http://schemas.openxmlformats.org/officeDocument/2006/relationships/hyperlink" Target="https://sigrh.ifsc.edu.br/sigrh/downloadArquivo?idArquivo=2335421&amp;key=bfeccdb1cb55be60d32925487f019f34" TargetMode="External"/><Relationship Id="rId10" Type="http://schemas.openxmlformats.org/officeDocument/2006/relationships/hyperlink" Target="http://cnct.mec.gov.br/" TargetMode="External"/><Relationship Id="rId13" Type="http://schemas.openxmlformats.org/officeDocument/2006/relationships/hyperlink" Target="https://sipac.ifsc.edu.br/sigrh/public/colegiados/filtro_busca.jsf" TargetMode="External"/><Relationship Id="rId12" Type="http://schemas.openxmlformats.org/officeDocument/2006/relationships/hyperlink" Target="https://sipac.ifsc.edu.br/sigrh/public/colegiados/filtro_busca.jsf" TargetMode="External"/><Relationship Id="rId15" Type="http://schemas.openxmlformats.org/officeDocument/2006/relationships/hyperlink" Target="https://sipac.ifsc.edu.br/sigrh/public/colegiados/filtro_busca.jsf" TargetMode="External"/><Relationship Id="rId14" Type="http://schemas.openxmlformats.org/officeDocument/2006/relationships/hyperlink" Target="https://sipac.ifsc.edu.br/sigrh/public/colegiados/filtro_busca.jsf" TargetMode="External"/><Relationship Id="rId17" Type="http://schemas.openxmlformats.org/officeDocument/2006/relationships/hyperlink" Target="http://legislacao.planalto.gov.br/legisla/legislacao.nsf/Viw_Identificacao/lei%209.503-1997?OpenDocument" TargetMode="External"/><Relationship Id="rId16" Type="http://schemas.openxmlformats.org/officeDocument/2006/relationships/hyperlink" Target="https://legislacao.presidencia.gov.br/atos/?tipo=LEI&amp;numero=10741&amp;ano=2003&amp;ato=c8egXU610dRpWT951" TargetMode="External"/><Relationship Id="rId19" Type="http://schemas.openxmlformats.org/officeDocument/2006/relationships/hyperlink" Target="https://www.planalto.gov.br/ccivil_03/LEIS/L9394.htm" TargetMode="External"/><Relationship Id="rId18" Type="http://schemas.openxmlformats.org/officeDocument/2006/relationships/hyperlink" Target="https://www.planalto.gov.br/ccivil_03/_ato2015-2018/2018/lei/l13666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1QKJP1BQwMcZNPsYeCxHbiCpg==">CgMxLjAaHwoBMBIaChgICVIUChJ0YWJsZS5xY3ljdG93MWZ4NmM4AHIhMS02UHQ3NWVOOGNQNXRvbVRiUXpWaC0zUVlHWm5iX0ZI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