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1440" w:firstLine="720"/>
        <w:rPr>
          <w:b w:val="1"/>
          <w:sz w:val="34"/>
          <w:szCs w:val="34"/>
          <w:u w:val="single"/>
        </w:rPr>
      </w:pPr>
      <w:bookmarkStart w:colFirst="0" w:colLast="0" w:name="_wok9362vqrli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🧪 </w:t>
      </w:r>
      <w:r w:rsidDel="00000000" w:rsidR="00000000" w:rsidRPr="00000000">
        <w:rPr>
          <w:b w:val="1"/>
          <w:sz w:val="34"/>
          <w:szCs w:val="34"/>
          <w:u w:val="single"/>
          <w:rtl w:val="0"/>
        </w:rPr>
        <w:t xml:space="preserve">Tareas de Testing: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67nw91ycdob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b w:val="1"/>
          <w:color w:val="000000"/>
          <w:sz w:val="26"/>
          <w:szCs w:val="26"/>
        </w:rPr>
      </w:pPr>
      <w:bookmarkStart w:colFirst="0" w:colLast="0" w:name="_4yql2hbw1xy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b w:val="1"/>
          <w:color w:val="000000"/>
          <w:sz w:val="26"/>
          <w:szCs w:val="26"/>
        </w:rPr>
      </w:pPr>
      <w:bookmarkStart w:colFirst="0" w:colLast="0" w:name="_scebdcc8air5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Revisión de requerimientos: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 validaron los siguientes objetivos como claros y alcanzables: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Presentar visualmente la identidad de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Velocity-Moto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Mostrar catálogo de productos/servicios relacionados con el mundo de las motocicletas.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Permitir a los usuarios informarse, contactar y explorar la marca de manera intuitiva.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Garantizar una experiencia responsive para múltiples dispositivos.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rFonts w:ascii="Courier New" w:cs="Courier New" w:eastAsia="Courier New" w:hAnsi="Courier New"/>
          <w:i w:val="1"/>
          <w:sz w:val="26"/>
          <w:szCs w:val="26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z w:val="26"/>
          <w:szCs w:val="26"/>
          <w:u w:val="single"/>
          <w:rtl w:val="0"/>
        </w:rPr>
        <w:t xml:space="preserve">Checklist de funcionalidades esperadas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731200" cy="284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b w:val="1"/>
          <w:color w:val="000000"/>
          <w:sz w:val="26"/>
          <w:szCs w:val="26"/>
        </w:rPr>
      </w:pPr>
      <w:bookmarkStart w:colFirst="0" w:colLast="0" w:name="_5i77hp8uudc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b w:val="1"/>
          <w:color w:val="000000"/>
          <w:sz w:val="26"/>
          <w:szCs w:val="26"/>
        </w:rPr>
      </w:pPr>
      <w:bookmarkStart w:colFirst="0" w:colLast="0" w:name="_j5lb5dgcu1e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b w:val="1"/>
          <w:color w:val="000000"/>
          <w:sz w:val="26"/>
          <w:szCs w:val="26"/>
          <w:u w:val="single"/>
        </w:rPr>
      </w:pPr>
      <w:bookmarkStart w:colFirst="0" w:colLast="0" w:name="_18rhq1fcdo3y" w:id="6"/>
      <w:bookmarkEnd w:id="6"/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6"/>
          <w:szCs w:val="26"/>
          <w:rtl w:val="0"/>
        </w:rPr>
        <w:t xml:space="preserve">👥 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6"/>
          <w:szCs w:val="26"/>
          <w:u w:val="single"/>
          <w:rtl w:val="0"/>
        </w:rPr>
        <w:t xml:space="preserve">Revisión entre pares de mockups: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 realizó una revisión cruzada entre Ricardo e Ignacio.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 detectaron y corrigieron: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216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Incongruencias en el menú de navegación móvil.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216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2.Botones sin función clara.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216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Espacios en blanco excesivos en versión escritorio.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u w:val="single"/>
          <w:rtl w:val="0"/>
        </w:rPr>
        <w:t xml:space="preserve">Resultado: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El diseño final mantiene una buena coherencia visual y flujo de usuario lógico.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b w:val="1"/>
          <w:i w:val="1"/>
          <w:color w:val="000000"/>
          <w:sz w:val="26"/>
          <w:szCs w:val="26"/>
        </w:rPr>
      </w:pPr>
      <w:bookmarkStart w:colFirst="0" w:colLast="0" w:name="_jw7t0bfpkmfu" w:id="7"/>
      <w:bookmarkEnd w:id="7"/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6"/>
          <w:szCs w:val="26"/>
          <w:rtl w:val="0"/>
        </w:rPr>
        <w:t xml:space="preserve">🗃️ Verificación del diseño de base de datos: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00"/>
          <w:sz w:val="26"/>
          <w:szCs w:val="26"/>
          <w:rtl w:val="0"/>
        </w:rPr>
        <w:t xml:space="preserve">(si aplica, para secciones dinámicas o futuras mejoras)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¿Hay redundancia de datos?</w:t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🔍 No se detectó redundancia en las estructuras actuales (tablas como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productos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usuarios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mensajes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¿Faltan relaciones clave?</w:t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⚠️ Se detectó inicialmente falta de una relación entre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productos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categorías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 Ya fue corregido.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¿Las tablas están bien nombradas?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Sí. Se utilizaron nombres claros, en minúsculas y en singular/plural según convención (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usuarios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mensajes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productos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