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DM Sans" w:cs="DM Sans" w:eastAsia="DM Sans" w:hAnsi="DM Sans"/>
          <w:b w:val="1"/>
          <w:color w:val="121212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72"/>
          <w:szCs w:val="72"/>
          <w:shd w:fill="e0ff00" w:val="clear"/>
          <w:rtl w:val="0"/>
        </w:rPr>
        <w:t xml:space="preserve">Clase 16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72"/>
          <w:szCs w:val="72"/>
          <w:shd w:fill="e0ff00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DM Sans" w:cs="DM Sans" w:eastAsia="DM Sans" w:hAnsi="DM Sans"/>
          <w:b w:val="1"/>
          <w:color w:val="121212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72"/>
          <w:szCs w:val="72"/>
          <w:shd w:fill="e0ff00" w:val="clear"/>
          <w:rtl w:val="0"/>
        </w:rPr>
        <w:t xml:space="preserve">Stored procedures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DM Sans" w:cs="DM Sans" w:eastAsia="DM Sans" w:hAnsi="DM Sans"/>
          <w:i w:val="1"/>
          <w:color w:val="121212"/>
          <w:sz w:val="72"/>
          <w:szCs w:val="72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CONCEPTO GENERAL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Un Stored Procedure 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Procedimiento Almacenado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representa un conjunto de sentencias almacenado físicamente en una DB, creado para cumplir tareas específicas.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Permite también establecer niveles de seguridad y manipular operaciones complejas o extensas del lado del servidor, evitando un ida y vuelta de datos que termine sobrecargando una red o servidor.Su estructura es similar a las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Funciones SQL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que vimos en la clase anterior pero, a diferencia de éstas, en un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Stored Procedure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su objetivo es resolver desde una operación simple hasta operaciones complejas que requieran modificar varias tablas y/o datos almacenados en una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Lenguaje de programación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es el lenguaje usado para crear su lógica e integra también muchos comandos del tipo condicional, variables de entrada y de salida, potenciando así su poder de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En el manejo de procesos complejos los S.P. Se usan como una especie de API que ejecuta consultas, compara resultados, actualiza datos en algunas tablas y/o elimina datos de otras. Todo esto bajo un proceso controlado mediante una transacción, la cual puede deshacerse si algo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BENEFICIOS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El motor de DB controla las operaciones.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Se ejecuta en un servidor independiente.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Devuelve al cliente el resultado final, evitando sobrecargar su computadora con procesos.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Evita programar una lógica compleja del lado del cliente.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Minimiza los errores concentrando las operaciones.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firstLine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TIPOS DE STORED PROCEDURES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Procedimiento Almacenado básico.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Procedimiento Almacenado con parámetro(s) de entrada.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Procedimiento Almacenado con parámetro(s) de salida.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Procedimiento Almacenado con parámetro(s) de entrada y salida.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IMPLEMENTACIÓN EFICAZ DE UN S.P.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Imaginemos una empresa que venda un producto con alta demanda de público, existen varios canales de venta y un stock de producto limitado.</w:t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¿Cómo implementar un Stored Procedure efectivo?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Cada canal de venta (</w:t>
      </w: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highlight w:val="white"/>
          <w:rtl w:val="0"/>
        </w:rPr>
        <w:t xml:space="preserve">telefónico, físico, e-commerce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), invoca al Stored Procedure para registrar una venta del producto.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DM Sans" w:cs="DM Sans" w:eastAsia="DM Sans" w:hAnsi="DM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El S.P. busca 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precio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actualizado, crea 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factura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de venta, descuenta 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stock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, informa 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logística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para el despacho, registra el movimiento en la tabla de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, asigna 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comisión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al vendedor, registra en el área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contable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 la ganancia por venta.</w:t>
      </w: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highlight w:val="white"/>
          <w:rtl w:val="0"/>
        </w:rPr>
        <w:t xml:space="preserve">Todas estas transacciones en diferentes tablas deben ser consistentes. Si uno de los puntos de estos procesos fallase, debería deshacerse todo lo anterior.</w:t>
      </w:r>
    </w:p>
    <w:p w:rsidR="00000000" w:rsidDel="00000000" w:rsidP="00000000" w:rsidRDefault="00000000" w:rsidRPr="00000000" w14:paraId="00000026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👉 Eso es lo que podemos lograr con un Stored Procedure, de forma fácil y controlada, evitando que un error de código de una aplicación web o móvil, rompa la consistencia de datos.</w:t>
      </w:r>
    </w:p>
    <w:p w:rsidR="00000000" w:rsidDel="00000000" w:rsidP="00000000" w:rsidRDefault="00000000" w:rsidRPr="00000000" w14:paraId="00000027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SINTAXIS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La sintaxis de un Stored Procedure se asimila en muchos puntos a lo que vimos la clase pasada (</w:t>
      </w: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highlight w:val="white"/>
          <w:rtl w:val="0"/>
        </w:rPr>
        <w:t xml:space="preserve">Functions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). Pero, a diferencia de las funciones, un S.P. puede o no tener parámetros de entrada, salida, y/o combinar ambos.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Se inicia con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DELIMITER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seguida de un conjunto de caracteres que no usarás dentro del S.P.</w:t>
      </w:r>
    </w:p>
    <w:p w:rsidR="00000000" w:rsidDel="00000000" w:rsidP="00000000" w:rsidRDefault="00000000" w:rsidRPr="00000000" w14:paraId="0000002E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</w:rPr>
        <w:drawing>
          <wp:inline distB="114300" distT="114300" distL="114300" distR="114300">
            <wp:extent cx="4972050" cy="981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Luego define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CREATE PROCEDURE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seguida del nombre del mismo.</w:t>
      </w:r>
    </w:p>
    <w:p w:rsidR="00000000" w:rsidDel="00000000" w:rsidP="00000000" w:rsidRDefault="00000000" w:rsidRPr="00000000" w14:paraId="00000031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</w:rPr>
        <w:drawing>
          <wp:inline distB="114300" distT="114300" distL="114300" distR="114300">
            <wp:extent cx="5731200" cy="1016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Integra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para determinar dónde inicia y finaliza el código del procedimiento almacenado.</w:t>
      </w:r>
    </w:p>
    <w:p w:rsidR="00000000" w:rsidDel="00000000" w:rsidP="00000000" w:rsidRDefault="00000000" w:rsidRPr="00000000" w14:paraId="00000034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 dentro de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el código que le dará vida a tu procedimiento almacenado.</w:t>
      </w:r>
    </w:p>
    <w:p w:rsidR="00000000" w:rsidDel="00000000" w:rsidP="00000000" w:rsidRDefault="00000000" w:rsidRPr="00000000" w14:paraId="00000037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PARÁMETROS DE ENTRADA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Dentro de un S.P., podemos definir parámetros de entrada, los cuales recibirán valores cuando ejecutamos el S.P., de la misma forma que le enviamos parámetros a una Función SQL.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Para definirlos, debemos utilizar la palabra reservada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0ff00" w:val="clear"/>
          <w:rtl w:val="0"/>
        </w:rPr>
        <w:t xml:space="preserve">IN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, y especificar el tipo de dato que soportan.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Definido el o los parámetros de entrada en el encabezado, podrás utilizarlos luego dentro del código.</w:t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</w:rPr>
        <w:drawing>
          <wp:inline distB="114300" distT="114300" distL="114300" distR="114300">
            <wp:extent cx="5731200" cy="1612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PARÁMETROS DE SALIDA</w:t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En el S.P. puedes definir también parámetros de salida, los cuales funcionan como un cursos, recibiendo valores directamente del código del S.P.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Para definirlos, debemos utilizar la palabra reservada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0ff00" w:val="clear"/>
          <w:rtl w:val="0"/>
        </w:rPr>
        <w:t xml:space="preserve">OUT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  <w:rtl w:val="0"/>
        </w:rPr>
        <w:t xml:space="preserve">, y especificando también el tipo de dato.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Definido el o los parámetros de entrada en el encabezado, podrás utilizarlos luego dentro del código.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0ff00" w:val="clear"/>
        </w:rPr>
        <w:drawing>
          <wp:inline distB="114300" distT="114300" distL="114300" distR="114300">
            <wp:extent cx="5731200" cy="166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42"/>
          <w:szCs w:val="42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42"/>
          <w:szCs w:val="42"/>
          <w:rtl w:val="0"/>
        </w:rPr>
        <w:t xml:space="preserve">INTEGRAR CONDICIONALES</w:t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CONTROLAR LA EJECUCIÓN DEL S.P. MEDIANTE EL USO DE CONDICIONALES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sz w:val="34"/>
          <w:szCs w:val="34"/>
          <w:rtl w:val="0"/>
        </w:rPr>
        <w:t xml:space="preserve">INTEGRAR CONDICIONALES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lenguaje de programación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soporta el uso de condicionales, como cualquier otro lenguaje de programación.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DM Sans" w:cs="DM Sans" w:eastAsia="DM Sans" w:hAnsi="DM Sans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DM Sans" w:cs="DM Sans" w:eastAsia="DM Sans" w:hAnsi="DM Sans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</w:rPr>
        <w:drawing>
          <wp:inline distB="114300" distT="114300" distL="114300" distR="114300">
            <wp:extent cx="5429250" cy="14382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before="200"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IF ... THEN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center"/>
        <w:rPr>
          <w:rFonts w:ascii="DM Sans" w:cs="DM Sans" w:eastAsia="DM Sans" w:hAnsi="DM Sans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center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 THEN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 es el condicional más utilizado y común a todos los lenguajes de programación. El código que se defina dentro de este bloque solo se ejecutará si se cumple la expresión que estamos evaluando (condicion = 1).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center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4057650" cy="1200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INTEGRAR CONDICIONALES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center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En este caso, condicion es una variable y el valor que tenga asignado puede provenir como un parámetro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 del Stored Procedure o como el resultado de un cálculo o consulta interna, realizados dentro del S.P.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648325" cy="1362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rFonts w:ascii="DM Sans" w:cs="DM Sans" w:eastAsia="DM Sans" w:hAnsi="DM Sans"/>
          <w:color w:val="12121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 ELSE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jc w:val="center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 se utiliza solo en combinación con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 y permite definir un path o ruta alternativa de ejecución, si la condición evaluada por IF, no se cumple.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067300" cy="17430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DEFINIR VARIABLES DENTRO DE UN S.P.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jc w:val="center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Tal como vimos con las funciones, las variables también pueden ser declaradas dentro de un S.P. Esto lo realizamos utilizando la palabra reservada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, seguida del nombre de la variable, que debe incluir el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 en primer lugar.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4438650" cy="106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jc w:val="left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CONVERTIR STRINGS SQL EN CLÁUSULAS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Si utilizamos cadenas de strings y/o variables para armar una estructura del tipo DML con el nombre de un campo, un valor a buscar, y/o una consulta SQL, deberemos concatenar todo previo a ejecutar dicha instrucción SQL.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  <w:rtl w:val="0"/>
        </w:rPr>
        <w:t xml:space="preserve">Para que todo esto funcione, debemos integrar en el S.P.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shd w:fill="e0ff00" w:val="clear"/>
          <w:rtl w:val="0"/>
        </w:rPr>
        <w:t xml:space="preserve">PREPARE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shd w:fill="e0ff00" w:val="clear"/>
          <w:rtl w:val="0"/>
        </w:rPr>
        <w:t xml:space="preserve">EXECUTE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shd w:fill="e0ff00" w:val="clear"/>
          <w:rtl w:val="0"/>
        </w:rPr>
        <w:t xml:space="preserve">DEALLOCATE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PREPARE 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convierte una cláusula SQL a un elemento u objeto que el Motor SQL podrá interpretar mejor. Las cláusulas SQL escritas en una ventana de script o variable SQL no son más que una cadena de string.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shd w:fill="e0ff00" w:val="clear"/>
          <w:rtl w:val="0"/>
        </w:rPr>
        <w:t xml:space="preserve">El motor SQL necesita un objeto SQL para entenderlo y ejecutarlo, y es allí donde PREPARE entra en acción.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La cláusula SQL debe almacenarse en una variable específica, declarada junto a la sentencia PREPARE, referenciando la misma con el origen de la cláusula SQL en formato string.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200650" cy="1133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34"/>
          <w:szCs w:val="34"/>
          <w:rtl w:val="0"/>
        </w:rPr>
        <w:t xml:space="preserve">EJECUTAR LA CLÁUSULA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DM Sans" w:cs="DM Sans" w:eastAsia="DM Sans" w:hAnsi="DM Sans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Finalmente, con la cláusula preparada como “un objeto entendible por el motor SQL”, solo nos queda ejecutarla utilizando la sentencia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438775" cy="11334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>
          <w:rFonts w:ascii="DM Sans" w:cs="DM Sans" w:eastAsia="DM Sans" w:hAnsi="DM Sans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Una vez ejecutada la sentencia SQL, podemos deshacer el objeto interpretable por el motor SQL, invocando la sentencia </w:t>
      </w:r>
      <w:r w:rsidDel="00000000" w:rsidR="00000000" w:rsidRPr="00000000">
        <w:rPr>
          <w:rFonts w:ascii="DM Sans" w:cs="DM Sans" w:eastAsia="DM Sans" w:hAnsi="DM Sans"/>
          <w:b w:val="1"/>
          <w:color w:val="121212"/>
          <w:sz w:val="24"/>
          <w:szCs w:val="24"/>
          <w:rtl w:val="0"/>
        </w:rPr>
        <w:t xml:space="preserve">DEALLOCATE PREPARE</w:t>
      </w:r>
      <w:r w:rsidDel="00000000" w:rsidR="00000000" w:rsidRPr="00000000">
        <w:rPr>
          <w:rFonts w:ascii="DM Sans" w:cs="DM Sans" w:eastAsia="DM Sans" w:hAnsi="DM Sans"/>
          <w:color w:val="12121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left"/>
        <w:rPr>
          <w:rFonts w:ascii="DM Sans" w:cs="DM Sans" w:eastAsia="DM Sans" w:hAnsi="DM Sans"/>
          <w:sz w:val="36"/>
          <w:szCs w:val="36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highlight w:val="white"/>
        </w:rPr>
        <w:drawing>
          <wp:inline distB="114300" distT="114300" distL="114300" distR="114300">
            <wp:extent cx="5000625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2" name="image14.png"/>
          <a:graphic>
            <a:graphicData uri="http://schemas.openxmlformats.org/drawingml/2006/picture">
              <pic:pic>
                <pic:nvPicPr>
                  <pic:cNvPr descr="encabezado: material complementario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