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 de Conocimiento – Servicio de Gestión de Alérgenos de Digitalencia</w:t>
        <w:br/>
        <w:t>(Manual para Entrenamiento de IA y Consultoría Profesional)</w:t>
      </w:r>
    </w:p>
    <w:p>
      <w:r>
        <w:t>Este documento constituye la base semántica y operativa para que una inteligencia artificial pueda responder a cualquier consulta relacionada con el servicio profesional de gestión de alérgenos que ofrece Digitalencia a restaurantes, hoteles y empresas de catering. Incluye marco legal, fundamentos científicos, procedimientos técnicos, protocolos de seguridad, digitalización, comunicación con clientes, gestión de riesgos, responsabilidad jurídica y modelo de negocio.</w:t>
      </w:r>
    </w:p>
    <w:p>
      <w:pPr>
        <w:pStyle w:val="Heading2"/>
      </w:pPr>
      <w:r>
        <w:t>1. Marco Legal y Normativo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  <w:r>
        <w:t>Reglamento (UE) 1169/2011, Reglamento (CE) 178/2002, Reglamento (CE) 852/2004, legislación española, obligaciones del operador alimentario, información al consumidor, régimen sancionador, responsabilidades civiles y penales, inspecciones sanitarias, documentación exigible.</w:t>
      </w:r>
    </w:p>
    <w:p>
      <w:pPr>
        <w:spacing w:after="240"/>
      </w:pPr>
    </w:p>
    <w:p>
      <w:pPr>
        <w:pStyle w:val="Heading2"/>
      </w:pPr>
      <w:r>
        <w:t>2. Fundamentos Médicos de Alergias e Intolerancias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  <w:r>
        <w:t>Definición de alergia alimentaria, intolerancia, mecanismos inmunológicos, anafilaxia, síntomas, grupos de riesgo, trazas, umbrales, impacto en hostelería.</w:t>
      </w:r>
    </w:p>
    <w:p>
      <w:pPr>
        <w:spacing w:after="240"/>
      </w:pPr>
    </w:p>
    <w:p>
      <w:pPr>
        <w:pStyle w:val="Heading2"/>
      </w:pPr>
      <w:r>
        <w:t>3. Los 14 Alérgenos de Declaración Obligatoria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  <w:r>
        <w:t>Descripción técnica de cada alérgeno, fuentes habituales, derivados ocultos, riesgos de contaminación cruzada, ejemplos de platos, sustituciones seguras.</w:t>
      </w:r>
    </w:p>
    <w:p>
      <w:pPr>
        <w:spacing w:after="240"/>
      </w:pPr>
    </w:p>
    <w:p>
      <w:pPr>
        <w:pStyle w:val="Heading2"/>
      </w:pPr>
      <w:r>
        <w:t>4. Gestión de la Información al Consumidor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  <w:r>
        <w:t>Cartas físicas, cartas digitales, QR, fichas técnicas, comunicación verbal, formación del personal, responsabilidad en la información incorrecta.</w:t>
      </w:r>
    </w:p>
    <w:p>
      <w:pPr>
        <w:spacing w:after="240"/>
      </w:pPr>
    </w:p>
    <w:p>
      <w:pPr>
        <w:pStyle w:val="Heading2"/>
      </w:pPr>
      <w:r>
        <w:t>5. Contaminación Cruzada y APPCC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  <w:r>
        <w:t>Puntos críticos, segregación, limpieza, trazabilidad, registros, acciones correctoras, auditorías.</w:t>
      </w:r>
    </w:p>
    <w:p>
      <w:pPr>
        <w:spacing w:after="240"/>
      </w:pPr>
    </w:p>
    <w:p>
      <w:pPr>
        <w:pStyle w:val="Heading2"/>
      </w:pPr>
      <w:r>
        <w:t>6. Digitalización del Sistema de Alérgenos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  <w:r>
        <w:t>Cartas QR, bases de datos de ingredientes, automatización, integraciones, actualizaciones en tiempo real, cumplimiento normativo digital, protección de datos.</w:t>
      </w:r>
    </w:p>
    <w:p>
      <w:pPr>
        <w:spacing w:after="240"/>
      </w:pPr>
    </w:p>
    <w:p>
      <w:pPr>
        <w:pStyle w:val="Heading2"/>
      </w:pPr>
      <w:r>
        <w:t>7. Procedimientos Operativos Estandarizados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  <w:r>
        <w:t>Recepción, almacenamiento, producción, servicio, gestión de pedidos especiales, respuesta a incidencias.</w:t>
      </w:r>
    </w:p>
    <w:p>
      <w:pPr>
        <w:spacing w:after="240"/>
      </w:pPr>
    </w:p>
    <w:p>
      <w:pPr>
        <w:pStyle w:val="Heading2"/>
      </w:pPr>
      <w:r>
        <w:t>8. Protocolo de Atención al Cliente Alérgico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  <w:r>
        <w:t>Entrevista alimentaria, comunicación segura, registro, servicio diferenciado, prevención de errores.</w:t>
      </w:r>
    </w:p>
    <w:p>
      <w:pPr>
        <w:spacing w:after="240"/>
      </w:pPr>
    </w:p>
    <w:p>
      <w:pPr>
        <w:pStyle w:val="Heading2"/>
      </w:pPr>
      <w:r>
        <w:t>9. Actuación ante Reacciones Alérgicas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  <w:r>
        <w:t>Reconocimiento de síntomas, primeros auxilios, activación de emergencias, responsabilidad legal.</w:t>
      </w:r>
    </w:p>
    <w:p>
      <w:pPr>
        <w:spacing w:after="240"/>
      </w:pPr>
    </w:p>
    <w:p>
      <w:pPr>
        <w:pStyle w:val="Heading2"/>
      </w:pPr>
      <w:r>
        <w:t>10. Formación del Personal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  <w:r>
        <w:t>Programas formativos, evaluación, certificación, cultura de seguridad alimentaria.</w:t>
      </w:r>
    </w:p>
    <w:p>
      <w:pPr>
        <w:spacing w:after="240"/>
      </w:pPr>
    </w:p>
    <w:p>
      <w:pPr>
        <w:pStyle w:val="Heading2"/>
      </w:pPr>
      <w:r>
        <w:t>11. Modelo de Servicio Digitalencia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  <w:r>
        <w:t>Auditoría inicial, implantación, documentación, mantenimiento, actualización, soporte, valor diferencial.</w:t>
      </w:r>
    </w:p>
    <w:p>
      <w:pPr>
        <w:spacing w:after="240"/>
      </w:pPr>
    </w:p>
    <w:p>
      <w:pPr>
        <w:pStyle w:val="Heading2"/>
      </w:pPr>
      <w:r>
        <w:t>12. Argumentario Comercial y Marketing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  <w:r>
        <w:t>Riesgo de sanciones, valor legal, tranquilidad del cliente, diferenciación competitiva, confianza.</w:t>
      </w:r>
    </w:p>
    <w:p>
      <w:pPr>
        <w:spacing w:after="240"/>
      </w:pPr>
    </w:p>
    <w:p>
      <w:pPr>
        <w:pStyle w:val="Heading2"/>
      </w:pPr>
      <w:r>
        <w:t>13. Casos Prácticos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  <w:r>
        <w:t>Restaurante, hotel, catering, eventos, bufés, colectividades.</w:t>
      </w:r>
    </w:p>
    <w:p>
      <w:pPr>
        <w:spacing w:after="240"/>
      </w:pPr>
    </w:p>
    <w:p>
      <w:pPr>
        <w:pStyle w:val="Heading2"/>
      </w:pPr>
      <w:r>
        <w:t>14. Tecnología, IA y Automatización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  <w:r>
        <w:t>Asistentes virtuales, respuesta a inspecciones, analítica de riesgos, mejora continua.</w:t>
      </w:r>
    </w:p>
    <w:p>
      <w:pPr>
        <w:spacing w:after="2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