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Base de Conocimiento – Gestión Fiscal para PYMEs</w:t>
        <w:br/>
        <w:t>Ley General Tributaria, IVA, IRPF, Impuesto sobre Sociedades</w:t>
        <w:br/>
        <w:t>Manual para Entrenamiento de IA y Consultoría de Digitalencia</w:t>
      </w:r>
    </w:p>
    <w:p>
      <w:r>
        <w:t>Este documento constituye la base de conocimiento integral del Curso de Gestión Fiscal para PYMEs, orientado a la comprensión, aplicación y asesoramiento práctico de la normativa tributaria española. Está diseñado para entrenar un Asistente de Inteligencia Artificial de Digitalencia y para apoyar la consultoría fiscal a autónomos, microempresas y PYMEs, incluyendo hostelería, comercio y servicios. Permite responder con rigor a consultas sobre obligaciones fiscales, planificación tributaria, procedimientos ante la Agencia Tributaria, inspecciones, recursos, sanciones y optimización fiscal legal.</w:t>
      </w:r>
    </w:p>
    <w:p>
      <w:pPr>
        <w:pStyle w:val="Heading2"/>
      </w:pPr>
      <w:r>
        <w:t>Sistema tributario español y marco legal</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Sistema tributario español y marco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Ley General Tributaria: principios y derechos del contribuyente</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Ley General Tributaria: principios y derechos del contribuyente.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Obligaciones formales y censales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Obligaciones formales y censales.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Altas, bajas y modificaciones en Hacienda</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Altas, bajas y modificaciones en Hacienda.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Impuesto sobre el Valor Añadido (IVA): fundamentos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el Valor Añadido (IVA):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IVA: regímenes especiales y prorrata</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IVA: regímenes especiales y prorrata.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Declaraciones periódicas de IVA</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periódicas de IVA.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IRPF para autónomos y profesionales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IRPF para autónomos y profesionales.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Retenciones e ingresos a cuenta</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Retenciones e ingresos a cuenta.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Impuesto sobre Sociedades: fundamentos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Impuesto sobre Sociedades: fundamentos.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Empresas de Reducida Dimensión</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Empresas de Reducida Dimensión.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Amortizaciones y provisiones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Amortizaciones y provisiones.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Gastos deducibles y no deducibles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Gastos deducibles y no deducibles.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Bases imponibles y compensación de pérdidas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Bases imponibles y compensación de pérdidas.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Pagos fraccionados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Pagos fraccionados.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Cierre fiscal y contable</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Cierre fiscal y contable.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Declaraciones informativas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Declaraciones informativas.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Procedimientos de comprobación e inspección</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Procedimientos de comprobación e inspección.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Sanciones tributarias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Sanciones tributarias.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Recursos y reclamaciones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Recursos y reclamaciones.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Planificación fiscal legal</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Planificación fiscal legal.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Fiscalidad en hostelería y turismo</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hostelería y turismo.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Fiscalidad en comercio y servicios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Fiscalidad en comercio y servicios.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Relación con gestoría y asesoría</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Relación con gestoría y asesoría.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Digitalización y facturación electrónica</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Digitalización y facturación electrónica.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Veri*Factu y sistemas de control</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Veri*Factu y sistemas de control.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Automatización fiscal con IA</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Automatización fiscal con 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Cuadros de mando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Cuadros de mando fiscales.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Calendario fiscal anual</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Calendario fiscal anual.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Riesgos fiscales y compliance</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Riesgos fiscales y compliance.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Modelo de servicio fiscal de Digitalencia</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Modelo de servicio fiscal de Digitalencia.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Argumentario comercial</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Argumentario comercial.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p>
      <w:pPr>
        <w:pStyle w:val="Heading2"/>
      </w:pPr>
      <w:r>
        <w:t>Base semántica para entrenamiento de IA fiscal</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r>
        <w:t>Base semántica para entrenamiento de IA fiscal. Este bloque desarrolla en profundidad la normativa aplicable, procedimientos administrativos, modelos oficiales, plazos, ejemplos prácticos, criterios de interpretación, jurisprudencia básica, impacto económico en la empresa, riesgos, buenas prácticas, herramientas digitales y aplicaciones concretas en PYMEs, especialmente en sectores como hostelería, comercio y servicios. Se integran además enfoques de automatización, control interno, planificación y toma de decisiones basadas en datos fiscales.</w:t>
      </w:r>
    </w:p>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