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392D" w14:textId="77777777" w:rsidR="00DE4516" w:rsidRDefault="00DE4516" w:rsidP="00277472">
      <w:pPr>
        <w:pStyle w:val="DocTitle"/>
        <w:rPr>
          <w:caps w:val="0"/>
          <w:szCs w:val="24"/>
        </w:rPr>
      </w:pPr>
      <w:r>
        <w:rPr>
          <w:szCs w:val="24"/>
        </w:rPr>
        <w:t>TRADE POLICY REVIEW</w:t>
      </w:r>
    </w:p>
    <w:p w14:paraId="0901658B" w14:textId="77777777" w:rsidR="00DE4516" w:rsidRDefault="00DE4516" w:rsidP="0066613D">
      <w:pPr>
        <w:pStyle w:val="DocSubtitle"/>
      </w:pPr>
      <w:r>
        <w:t>REPORT BY THE SECRETARIAT</w:t>
      </w:r>
    </w:p>
    <w:p w14:paraId="15A13215" w14:textId="77777777" w:rsidR="00DE4516" w:rsidRDefault="00DE4516">
      <w:pPr>
        <w:pStyle w:val="DocCountry"/>
        <w:autoSpaceDE w:val="0"/>
        <w:autoSpaceDN w:val="0"/>
        <w:adjustRightInd w:val="0"/>
        <w:rPr>
          <w:smallCaps w:val="0"/>
          <w:szCs w:val="24"/>
        </w:rPr>
      </w:pPr>
      <w:r>
        <w:rPr>
          <w:szCs w:val="24"/>
        </w:rPr>
        <w:t>Oman</w:t>
      </w:r>
    </w:p>
    <w:p w14:paraId="640B0606" w14:textId="77777777" w:rsidR="00DE4516" w:rsidRDefault="00DE4516">
      <w:pPr>
        <w:pStyle w:val="CoverText"/>
        <w:autoSpaceDE w:val="0"/>
        <w:autoSpaceDN w:val="0"/>
        <w:adjustRightInd w:val="0"/>
        <w:rPr>
          <w:szCs w:val="24"/>
        </w:rPr>
      </w:pPr>
      <w:r>
        <w:rPr>
          <w:szCs w:val="24"/>
        </w:rPr>
        <w:t>This report, prepared for the third Trade Policy Review of Oman, has been drawn up by the WTO Secretariat on its own responsibility. The Secretariat has, as required by the Agreement establishing the Trade Policy Review Mechanism (Annex 3 of the Marrakesh Agreement Establishing the World Trade Organization), sought clarification from Oman on its trade policies and practices.</w:t>
      </w:r>
    </w:p>
    <w:p w14:paraId="15F30F71" w14:textId="77777777" w:rsidR="00DE4516" w:rsidRDefault="00DE4516">
      <w:pPr>
        <w:pStyle w:val="CoverText"/>
        <w:autoSpaceDE w:val="0"/>
        <w:autoSpaceDN w:val="0"/>
        <w:adjustRightInd w:val="0"/>
        <w:rPr>
          <w:szCs w:val="24"/>
        </w:rPr>
      </w:pPr>
      <w:r>
        <w:rPr>
          <w:szCs w:val="24"/>
        </w:rPr>
        <w:t xml:space="preserve">Any technical questions arising from this report may be addressed to Arne </w:t>
      </w:r>
      <w:proofErr w:type="spellStart"/>
      <w:r>
        <w:rPr>
          <w:szCs w:val="24"/>
        </w:rPr>
        <w:t>Klau</w:t>
      </w:r>
      <w:proofErr w:type="spellEnd"/>
      <w:r>
        <w:rPr>
          <w:szCs w:val="24"/>
        </w:rPr>
        <w:t xml:space="preserve"> (tel. 022 739 5706), and Xinyi Li (tel. 022 739 5579).</w:t>
      </w:r>
    </w:p>
    <w:p w14:paraId="28A40DD0" w14:textId="77777777" w:rsidR="00DE4516" w:rsidRDefault="00DE4516">
      <w:pPr>
        <w:pStyle w:val="CoverText"/>
        <w:autoSpaceDE w:val="0"/>
        <w:autoSpaceDN w:val="0"/>
        <w:adjustRightInd w:val="0"/>
        <w:rPr>
          <w:szCs w:val="24"/>
        </w:rPr>
      </w:pPr>
      <w:r>
        <w:rPr>
          <w:szCs w:val="24"/>
        </w:rPr>
        <w:t>Document WT/TPR/G/418 contains the policy statement submitted by Oman.</w:t>
      </w:r>
    </w:p>
    <w:p w14:paraId="38B29B09" w14:textId="77777777" w:rsidR="00DE4516" w:rsidRDefault="00DE4516">
      <w:pPr>
        <w:pStyle w:val="Non-XMLText"/>
        <w:autoSpaceDE w:val="0"/>
        <w:autoSpaceDN w:val="0"/>
        <w:adjustRightInd w:val="0"/>
      </w:pPr>
      <w:r>
        <w:t>[REMOVED ADVANCE FIELD]</w:t>
      </w:r>
    </w:p>
    <w:p w14:paraId="36F28422" w14:textId="77777777" w:rsidR="00DE4516" w:rsidRDefault="00DE4516">
      <w:pPr>
        <w:pStyle w:val="CoverNote"/>
        <w:autoSpaceDE w:val="0"/>
        <w:autoSpaceDN w:val="0"/>
        <w:adjustRightInd w:val="0"/>
        <w:rPr>
          <w:szCs w:val="24"/>
        </w:rPr>
      </w:pPr>
      <w:r>
        <w:rPr>
          <w:szCs w:val="24"/>
        </w:rPr>
        <w:t>Note: This report is subject to restricted circulation and press embargo until the end of the first session of the meeting of the Trade Policy Review Body on Oman. This report was drafted in English.</w:t>
      </w:r>
    </w:p>
    <w:p w14:paraId="10C3DA5B" w14:textId="77777777" w:rsidR="00DE4516" w:rsidRDefault="00DE4516">
      <w:pPr>
        <w:pStyle w:val="TOCHeading"/>
        <w:autoSpaceDE w:val="0"/>
        <w:autoSpaceDN w:val="0"/>
        <w:adjustRightInd w:val="0"/>
        <w:rPr>
          <w:bCs w:val="0"/>
          <w:szCs w:val="24"/>
        </w:rPr>
      </w:pPr>
      <w:r>
        <w:rPr>
          <w:bCs w:val="0"/>
          <w:szCs w:val="24"/>
        </w:rPr>
        <w:t>CONTENTS</w:t>
      </w:r>
    </w:p>
    <w:p w14:paraId="449C8BE8" w14:textId="77777777" w:rsidR="00DE4516" w:rsidRPr="00BE1B87" w:rsidRDefault="00DE4516">
      <w:pPr>
        <w:pStyle w:val="TOC1"/>
        <w:tabs>
          <w:tab w:val="right" w:leader="dot" w:pos="9016"/>
        </w:tabs>
        <w:autoSpaceDE w:val="0"/>
        <w:autoSpaceDN w:val="0"/>
        <w:adjustRightInd w:val="0"/>
        <w:rPr>
          <w:rFonts w:asciiTheme="minorHAnsi" w:eastAsiaTheme="minorEastAsia" w:hAnsiTheme="minorHAnsi"/>
          <w:b w:val="0"/>
          <w:caps w:val="0"/>
          <w:noProof/>
          <w:sz w:val="22"/>
          <w:szCs w:val="22"/>
        </w:rPr>
      </w:pPr>
      <w:r>
        <w:rPr>
          <w:b w:val="0"/>
          <w:caps w:val="0"/>
          <w:szCs w:val="24"/>
        </w:rPr>
        <w:fldChar w:fldCharType="begin"/>
      </w:r>
      <w:r>
        <w:rPr>
          <w:b w:val="0"/>
          <w:caps w:val="0"/>
          <w:szCs w:val="24"/>
        </w:rPr>
        <w:instrText xml:space="preserve"> TOC \o "1-5" \h \z \u </w:instrText>
      </w:r>
      <w:r>
        <w:rPr>
          <w:b w:val="0"/>
          <w:caps w:val="0"/>
          <w:szCs w:val="24"/>
        </w:rPr>
        <w:fldChar w:fldCharType="separate"/>
      </w:r>
      <w:hyperlink w:anchor="_Toc83195932" w:history="1">
        <w:r w:rsidRPr="00D5600E">
          <w:rPr>
            <w:caps w:val="0"/>
            <w:color w:val="0000FF"/>
            <w:szCs w:val="24"/>
            <w:u w:val="single"/>
          </w:rPr>
          <w:t>SUMMARY</w:t>
        </w:r>
        <w:r w:rsidRPr="00BE1B87">
          <w:rPr>
            <w:caps w:val="0"/>
            <w:noProof/>
            <w:webHidden/>
            <w:szCs w:val="24"/>
          </w:rPr>
          <w:tab/>
        </w:r>
        <w:r w:rsidRPr="00BE1B87">
          <w:rPr>
            <w:caps w:val="0"/>
            <w:noProof/>
            <w:webHidden/>
            <w:szCs w:val="24"/>
          </w:rPr>
          <w:fldChar w:fldCharType="begin" w:fldLock="1"/>
        </w:r>
        <w:r w:rsidRPr="00BE1B87">
          <w:rPr>
            <w:caps w:val="0"/>
            <w:noProof/>
            <w:webHidden/>
            <w:szCs w:val="24"/>
          </w:rPr>
          <w:instrText xml:space="preserve"> PAGEREF _Toc83195932 \h </w:instrText>
        </w:r>
        <w:r w:rsidRPr="00BE1B87">
          <w:rPr>
            <w:caps w:val="0"/>
            <w:noProof/>
            <w:webHidden/>
            <w:szCs w:val="24"/>
          </w:rPr>
        </w:r>
        <w:r w:rsidRPr="00BE1B87">
          <w:rPr>
            <w:caps w:val="0"/>
            <w:noProof/>
            <w:webHidden/>
            <w:szCs w:val="24"/>
          </w:rPr>
          <w:fldChar w:fldCharType="separate"/>
        </w:r>
        <w:r w:rsidRPr="00BE1B87">
          <w:rPr>
            <w:caps w:val="0"/>
            <w:noProof/>
            <w:webHidden/>
            <w:szCs w:val="24"/>
          </w:rPr>
          <w:t>6</w:t>
        </w:r>
        <w:r w:rsidRPr="00BE1B87">
          <w:rPr>
            <w:caps w:val="0"/>
            <w:noProof/>
            <w:webHidden/>
            <w:szCs w:val="24"/>
          </w:rPr>
          <w:fldChar w:fldCharType="end"/>
        </w:r>
      </w:hyperlink>
    </w:p>
    <w:p w14:paraId="44B01B9F" w14:textId="77777777" w:rsidR="00DE4516" w:rsidRPr="00BE1B87" w:rsidRDefault="00DE4516">
      <w:pPr>
        <w:pStyle w:val="TOC1"/>
        <w:tabs>
          <w:tab w:val="right" w:leader="dot" w:pos="9016"/>
        </w:tabs>
        <w:autoSpaceDE w:val="0"/>
        <w:autoSpaceDN w:val="0"/>
        <w:adjustRightInd w:val="0"/>
        <w:rPr>
          <w:rFonts w:asciiTheme="minorHAnsi" w:eastAsiaTheme="minorEastAsia" w:hAnsiTheme="minorHAnsi"/>
          <w:b w:val="0"/>
          <w:caps w:val="0"/>
          <w:noProof/>
          <w:sz w:val="22"/>
          <w:szCs w:val="22"/>
        </w:rPr>
      </w:pPr>
      <w:hyperlink w:anchor="_Toc83195933" w:history="1">
        <w:r w:rsidRPr="00D5600E">
          <w:rPr>
            <w:caps w:val="0"/>
            <w:color w:val="0000FF"/>
            <w:szCs w:val="24"/>
            <w:u w:val="single"/>
          </w:rPr>
          <w:t>1 ECONOMIC ENVIRONMENT</w:t>
        </w:r>
        <w:r w:rsidRPr="00BE1B87">
          <w:rPr>
            <w:caps w:val="0"/>
            <w:noProof/>
            <w:webHidden/>
            <w:szCs w:val="24"/>
          </w:rPr>
          <w:tab/>
        </w:r>
        <w:r w:rsidRPr="00BE1B87">
          <w:rPr>
            <w:caps w:val="0"/>
            <w:noProof/>
            <w:webHidden/>
            <w:szCs w:val="24"/>
          </w:rPr>
          <w:fldChar w:fldCharType="begin" w:fldLock="1"/>
        </w:r>
        <w:r w:rsidRPr="00BE1B87">
          <w:rPr>
            <w:caps w:val="0"/>
            <w:noProof/>
            <w:webHidden/>
            <w:szCs w:val="24"/>
          </w:rPr>
          <w:instrText xml:space="preserve"> PAGEREF _Toc83195933 \h </w:instrText>
        </w:r>
        <w:r w:rsidRPr="00BE1B87">
          <w:rPr>
            <w:caps w:val="0"/>
            <w:noProof/>
            <w:webHidden/>
            <w:szCs w:val="24"/>
          </w:rPr>
        </w:r>
        <w:r w:rsidRPr="00BE1B87">
          <w:rPr>
            <w:caps w:val="0"/>
            <w:noProof/>
            <w:webHidden/>
            <w:szCs w:val="24"/>
          </w:rPr>
          <w:fldChar w:fldCharType="separate"/>
        </w:r>
        <w:r w:rsidRPr="00BE1B87">
          <w:rPr>
            <w:caps w:val="0"/>
            <w:noProof/>
            <w:webHidden/>
            <w:szCs w:val="24"/>
          </w:rPr>
          <w:t>10</w:t>
        </w:r>
        <w:r w:rsidRPr="00BE1B87">
          <w:rPr>
            <w:caps w:val="0"/>
            <w:noProof/>
            <w:webHidden/>
            <w:szCs w:val="24"/>
          </w:rPr>
          <w:fldChar w:fldCharType="end"/>
        </w:r>
      </w:hyperlink>
    </w:p>
    <w:p w14:paraId="33208285" w14:textId="77777777" w:rsidR="00DE4516" w:rsidRDefault="00DE4516">
      <w:pPr>
        <w:pStyle w:val="TOC2"/>
        <w:rPr>
          <w:rFonts w:asciiTheme="minorHAnsi" w:eastAsiaTheme="minorEastAsia" w:hAnsiTheme="minorHAnsi"/>
          <w:noProof/>
          <w:sz w:val="22"/>
          <w:szCs w:val="22"/>
        </w:rPr>
      </w:pPr>
      <w:hyperlink w:anchor="_Toc83195934" w:history="1">
        <w:r w:rsidRPr="00D5600E">
          <w:rPr>
            <w:color w:val="0000FF"/>
            <w:u w:val="single"/>
          </w:rPr>
          <w:t>1.1 Main Features of the Economy</w:t>
        </w:r>
        <w:r>
          <w:rPr>
            <w:noProof/>
            <w:webHidden/>
          </w:rPr>
          <w:tab/>
        </w:r>
        <w:r>
          <w:rPr>
            <w:noProof/>
            <w:webHidden/>
          </w:rPr>
          <w:fldChar w:fldCharType="begin" w:fldLock="1"/>
        </w:r>
        <w:r>
          <w:rPr>
            <w:noProof/>
            <w:webHidden/>
          </w:rPr>
          <w:instrText xml:space="preserve"> PAGEREF _Toc83195934 \h </w:instrText>
        </w:r>
        <w:r>
          <w:rPr>
            <w:noProof/>
            <w:webHidden/>
          </w:rPr>
        </w:r>
        <w:r>
          <w:rPr>
            <w:noProof/>
            <w:webHidden/>
          </w:rPr>
          <w:fldChar w:fldCharType="separate"/>
        </w:r>
        <w:r>
          <w:rPr>
            <w:noProof/>
            <w:webHidden/>
          </w:rPr>
          <w:t>10</w:t>
        </w:r>
        <w:r>
          <w:rPr>
            <w:noProof/>
            <w:webHidden/>
          </w:rPr>
          <w:fldChar w:fldCharType="end"/>
        </w:r>
      </w:hyperlink>
    </w:p>
    <w:p w14:paraId="013C0768" w14:textId="77777777" w:rsidR="00DE4516" w:rsidRDefault="00DE4516">
      <w:pPr>
        <w:pStyle w:val="TOC2"/>
        <w:rPr>
          <w:rFonts w:asciiTheme="minorHAnsi" w:eastAsiaTheme="minorEastAsia" w:hAnsiTheme="minorHAnsi"/>
          <w:noProof/>
          <w:sz w:val="22"/>
          <w:szCs w:val="22"/>
        </w:rPr>
      </w:pPr>
      <w:hyperlink w:anchor="_Toc83195935" w:history="1">
        <w:r w:rsidRPr="00D5600E">
          <w:rPr>
            <w:color w:val="0000FF"/>
            <w:u w:val="single"/>
          </w:rPr>
          <w:t>1.2 Recent Economic Developments</w:t>
        </w:r>
        <w:r>
          <w:rPr>
            <w:noProof/>
            <w:webHidden/>
          </w:rPr>
          <w:tab/>
        </w:r>
        <w:r>
          <w:rPr>
            <w:noProof/>
            <w:webHidden/>
          </w:rPr>
          <w:fldChar w:fldCharType="begin" w:fldLock="1"/>
        </w:r>
        <w:r>
          <w:rPr>
            <w:noProof/>
            <w:webHidden/>
          </w:rPr>
          <w:instrText xml:space="preserve"> PAGEREF _Toc83195935 \h </w:instrText>
        </w:r>
        <w:r>
          <w:rPr>
            <w:noProof/>
            <w:webHidden/>
          </w:rPr>
        </w:r>
        <w:r>
          <w:rPr>
            <w:noProof/>
            <w:webHidden/>
          </w:rPr>
          <w:fldChar w:fldCharType="separate"/>
        </w:r>
        <w:r>
          <w:rPr>
            <w:noProof/>
            <w:webHidden/>
          </w:rPr>
          <w:t>11</w:t>
        </w:r>
        <w:r>
          <w:rPr>
            <w:noProof/>
            <w:webHidden/>
          </w:rPr>
          <w:fldChar w:fldCharType="end"/>
        </w:r>
      </w:hyperlink>
    </w:p>
    <w:p w14:paraId="76F4C126" w14:textId="77777777" w:rsidR="00DE4516" w:rsidRDefault="00DE4516">
      <w:pPr>
        <w:pStyle w:val="TOC2"/>
        <w:rPr>
          <w:rFonts w:asciiTheme="minorHAnsi" w:eastAsiaTheme="minorEastAsia" w:hAnsiTheme="minorHAnsi"/>
          <w:noProof/>
          <w:sz w:val="22"/>
          <w:szCs w:val="22"/>
        </w:rPr>
      </w:pPr>
      <w:hyperlink w:anchor="_Toc83195936" w:history="1">
        <w:r w:rsidRPr="00D5600E">
          <w:rPr>
            <w:color w:val="0000FF"/>
            <w:u w:val="single"/>
          </w:rPr>
          <w:t>1.3 Developments in Trade and Investment</w:t>
        </w:r>
        <w:r>
          <w:rPr>
            <w:noProof/>
            <w:webHidden/>
          </w:rPr>
          <w:tab/>
        </w:r>
        <w:r>
          <w:rPr>
            <w:noProof/>
            <w:webHidden/>
          </w:rPr>
          <w:fldChar w:fldCharType="begin" w:fldLock="1"/>
        </w:r>
        <w:r>
          <w:rPr>
            <w:noProof/>
            <w:webHidden/>
          </w:rPr>
          <w:instrText xml:space="preserve"> PAGEREF _Toc83195936 \h </w:instrText>
        </w:r>
        <w:r>
          <w:rPr>
            <w:noProof/>
            <w:webHidden/>
          </w:rPr>
        </w:r>
        <w:r>
          <w:rPr>
            <w:noProof/>
            <w:webHidden/>
          </w:rPr>
          <w:fldChar w:fldCharType="separate"/>
        </w:r>
        <w:r>
          <w:rPr>
            <w:noProof/>
            <w:webHidden/>
          </w:rPr>
          <w:t>17</w:t>
        </w:r>
        <w:r>
          <w:rPr>
            <w:noProof/>
            <w:webHidden/>
          </w:rPr>
          <w:fldChar w:fldCharType="end"/>
        </w:r>
      </w:hyperlink>
    </w:p>
    <w:p w14:paraId="26A2BAA1" w14:textId="77777777" w:rsidR="00DE4516" w:rsidRDefault="00DE4516">
      <w:pPr>
        <w:pStyle w:val="TOC3"/>
        <w:rPr>
          <w:rFonts w:asciiTheme="minorHAnsi" w:eastAsiaTheme="minorEastAsia" w:hAnsiTheme="minorHAnsi"/>
          <w:noProof/>
          <w:sz w:val="22"/>
          <w:szCs w:val="22"/>
        </w:rPr>
      </w:pPr>
      <w:hyperlink w:anchor="_Toc83195937" w:history="1">
        <w:r w:rsidRPr="00D5600E">
          <w:rPr>
            <w:color w:val="0000FF"/>
            <w:u w:val="single"/>
          </w:rPr>
          <w:t>1.3.1 Trends and patterns in merchandise and services trade</w:t>
        </w:r>
        <w:r>
          <w:rPr>
            <w:noProof/>
            <w:webHidden/>
          </w:rPr>
          <w:tab/>
        </w:r>
        <w:r>
          <w:rPr>
            <w:noProof/>
            <w:webHidden/>
          </w:rPr>
          <w:fldChar w:fldCharType="begin" w:fldLock="1"/>
        </w:r>
        <w:r>
          <w:rPr>
            <w:noProof/>
            <w:webHidden/>
          </w:rPr>
          <w:instrText xml:space="preserve"> PAGEREF _Toc83195937 \h </w:instrText>
        </w:r>
        <w:r>
          <w:rPr>
            <w:noProof/>
            <w:webHidden/>
          </w:rPr>
        </w:r>
        <w:r>
          <w:rPr>
            <w:noProof/>
            <w:webHidden/>
          </w:rPr>
          <w:fldChar w:fldCharType="separate"/>
        </w:r>
        <w:r>
          <w:rPr>
            <w:noProof/>
            <w:webHidden/>
          </w:rPr>
          <w:t>17</w:t>
        </w:r>
        <w:r>
          <w:rPr>
            <w:noProof/>
            <w:webHidden/>
          </w:rPr>
          <w:fldChar w:fldCharType="end"/>
        </w:r>
      </w:hyperlink>
    </w:p>
    <w:p w14:paraId="4BDE8030" w14:textId="77777777" w:rsidR="00DE4516" w:rsidRDefault="00DE4516">
      <w:pPr>
        <w:pStyle w:val="TOC3"/>
        <w:rPr>
          <w:rFonts w:asciiTheme="minorHAnsi" w:eastAsiaTheme="minorEastAsia" w:hAnsiTheme="minorHAnsi"/>
          <w:noProof/>
          <w:sz w:val="22"/>
          <w:szCs w:val="22"/>
        </w:rPr>
      </w:pPr>
      <w:hyperlink w:anchor="_Toc83195938" w:history="1">
        <w:r w:rsidRPr="00D5600E">
          <w:rPr>
            <w:color w:val="0000FF"/>
            <w:u w:val="single"/>
          </w:rPr>
          <w:t>1.3.2 Trends and patterns in FDI</w:t>
        </w:r>
        <w:r>
          <w:rPr>
            <w:noProof/>
            <w:webHidden/>
          </w:rPr>
          <w:tab/>
        </w:r>
        <w:r>
          <w:rPr>
            <w:noProof/>
            <w:webHidden/>
          </w:rPr>
          <w:fldChar w:fldCharType="begin" w:fldLock="1"/>
        </w:r>
        <w:r>
          <w:rPr>
            <w:noProof/>
            <w:webHidden/>
          </w:rPr>
          <w:instrText xml:space="preserve"> PAGEREF _Toc83195938 \h </w:instrText>
        </w:r>
        <w:r>
          <w:rPr>
            <w:noProof/>
            <w:webHidden/>
          </w:rPr>
        </w:r>
        <w:r>
          <w:rPr>
            <w:noProof/>
            <w:webHidden/>
          </w:rPr>
          <w:fldChar w:fldCharType="separate"/>
        </w:r>
        <w:r>
          <w:rPr>
            <w:noProof/>
            <w:webHidden/>
          </w:rPr>
          <w:t>20</w:t>
        </w:r>
        <w:r>
          <w:rPr>
            <w:noProof/>
            <w:webHidden/>
          </w:rPr>
          <w:fldChar w:fldCharType="end"/>
        </w:r>
      </w:hyperlink>
    </w:p>
    <w:p w14:paraId="31E89924" w14:textId="77777777" w:rsidR="00DE4516" w:rsidRPr="00BE1B87" w:rsidRDefault="00DE4516">
      <w:pPr>
        <w:pStyle w:val="TOC1"/>
        <w:tabs>
          <w:tab w:val="right" w:leader="dot" w:pos="9016"/>
        </w:tabs>
        <w:rPr>
          <w:rFonts w:asciiTheme="minorHAnsi" w:eastAsiaTheme="minorEastAsia" w:hAnsiTheme="minorHAnsi"/>
          <w:b w:val="0"/>
          <w:caps w:val="0"/>
          <w:noProof/>
          <w:sz w:val="22"/>
          <w:szCs w:val="22"/>
        </w:rPr>
      </w:pPr>
      <w:hyperlink w:anchor="_Toc83195939" w:history="1">
        <w:r w:rsidRPr="00D5600E">
          <w:rPr>
            <w:caps w:val="0"/>
            <w:color w:val="0000FF"/>
            <w:u w:val="single"/>
          </w:rPr>
          <w:t>2 TRADE AND INVESTMENT REGIMES</w:t>
        </w:r>
        <w:r w:rsidRPr="00BE1B87">
          <w:rPr>
            <w:caps w:val="0"/>
            <w:noProof/>
            <w:webHidden/>
          </w:rPr>
          <w:tab/>
        </w:r>
        <w:r w:rsidRPr="00BE1B87">
          <w:rPr>
            <w:caps w:val="0"/>
            <w:noProof/>
            <w:webHidden/>
          </w:rPr>
          <w:fldChar w:fldCharType="begin" w:fldLock="1"/>
        </w:r>
        <w:r w:rsidRPr="00BE1B87">
          <w:rPr>
            <w:caps w:val="0"/>
            <w:noProof/>
            <w:webHidden/>
          </w:rPr>
          <w:instrText xml:space="preserve"> PAGEREF _Toc83195939 \h </w:instrText>
        </w:r>
        <w:r w:rsidRPr="00BE1B87">
          <w:rPr>
            <w:caps w:val="0"/>
            <w:noProof/>
            <w:webHidden/>
          </w:rPr>
        </w:r>
        <w:r w:rsidRPr="00BE1B87">
          <w:rPr>
            <w:caps w:val="0"/>
            <w:noProof/>
            <w:webHidden/>
          </w:rPr>
          <w:fldChar w:fldCharType="separate"/>
        </w:r>
        <w:r w:rsidRPr="00BE1B87">
          <w:rPr>
            <w:caps w:val="0"/>
            <w:noProof/>
            <w:webHidden/>
          </w:rPr>
          <w:t>22</w:t>
        </w:r>
        <w:r w:rsidRPr="00BE1B87">
          <w:rPr>
            <w:caps w:val="0"/>
            <w:noProof/>
            <w:webHidden/>
          </w:rPr>
          <w:fldChar w:fldCharType="end"/>
        </w:r>
      </w:hyperlink>
    </w:p>
    <w:p w14:paraId="4347BC8A" w14:textId="77777777" w:rsidR="00DE4516" w:rsidRDefault="00DE4516">
      <w:pPr>
        <w:pStyle w:val="TOC2"/>
        <w:rPr>
          <w:rFonts w:asciiTheme="minorHAnsi" w:eastAsiaTheme="minorEastAsia" w:hAnsiTheme="minorHAnsi"/>
          <w:noProof/>
          <w:sz w:val="22"/>
          <w:szCs w:val="22"/>
        </w:rPr>
      </w:pPr>
      <w:hyperlink w:anchor="_Toc83195940" w:history="1">
        <w:r w:rsidRPr="00D5600E">
          <w:rPr>
            <w:color w:val="0000FF"/>
            <w:u w:val="single"/>
          </w:rPr>
          <w:t>2.1 General Framework</w:t>
        </w:r>
        <w:r>
          <w:rPr>
            <w:noProof/>
            <w:webHidden/>
          </w:rPr>
          <w:tab/>
        </w:r>
        <w:r>
          <w:rPr>
            <w:noProof/>
            <w:webHidden/>
          </w:rPr>
          <w:fldChar w:fldCharType="begin" w:fldLock="1"/>
        </w:r>
        <w:r>
          <w:rPr>
            <w:noProof/>
            <w:webHidden/>
          </w:rPr>
          <w:instrText xml:space="preserve"> PAGEREF _Toc83195940 \h </w:instrText>
        </w:r>
        <w:r>
          <w:rPr>
            <w:noProof/>
            <w:webHidden/>
          </w:rPr>
        </w:r>
        <w:r>
          <w:rPr>
            <w:noProof/>
            <w:webHidden/>
          </w:rPr>
          <w:fldChar w:fldCharType="separate"/>
        </w:r>
        <w:r>
          <w:rPr>
            <w:noProof/>
            <w:webHidden/>
          </w:rPr>
          <w:t>22</w:t>
        </w:r>
        <w:r>
          <w:rPr>
            <w:noProof/>
            <w:webHidden/>
          </w:rPr>
          <w:fldChar w:fldCharType="end"/>
        </w:r>
      </w:hyperlink>
    </w:p>
    <w:p w14:paraId="3218D865" w14:textId="77777777" w:rsidR="00DE4516" w:rsidRDefault="00DE4516">
      <w:pPr>
        <w:pStyle w:val="TOC2"/>
        <w:rPr>
          <w:rFonts w:asciiTheme="minorHAnsi" w:eastAsiaTheme="minorEastAsia" w:hAnsiTheme="minorHAnsi"/>
          <w:noProof/>
          <w:sz w:val="22"/>
          <w:szCs w:val="22"/>
        </w:rPr>
      </w:pPr>
      <w:hyperlink w:anchor="_Toc83195941" w:history="1">
        <w:r w:rsidRPr="00D5600E">
          <w:rPr>
            <w:color w:val="0000FF"/>
            <w:u w:val="single"/>
          </w:rPr>
          <w:t>2.2 Trade Policy Formulation and Objectives</w:t>
        </w:r>
        <w:r>
          <w:rPr>
            <w:noProof/>
            <w:webHidden/>
          </w:rPr>
          <w:tab/>
        </w:r>
        <w:r>
          <w:rPr>
            <w:noProof/>
            <w:webHidden/>
          </w:rPr>
          <w:fldChar w:fldCharType="begin" w:fldLock="1"/>
        </w:r>
        <w:r>
          <w:rPr>
            <w:noProof/>
            <w:webHidden/>
          </w:rPr>
          <w:instrText xml:space="preserve"> PAGEREF _Toc83195941 \h </w:instrText>
        </w:r>
        <w:r>
          <w:rPr>
            <w:noProof/>
            <w:webHidden/>
          </w:rPr>
        </w:r>
        <w:r>
          <w:rPr>
            <w:noProof/>
            <w:webHidden/>
          </w:rPr>
          <w:fldChar w:fldCharType="separate"/>
        </w:r>
        <w:r>
          <w:rPr>
            <w:noProof/>
            <w:webHidden/>
          </w:rPr>
          <w:t>24</w:t>
        </w:r>
        <w:r>
          <w:rPr>
            <w:noProof/>
            <w:webHidden/>
          </w:rPr>
          <w:fldChar w:fldCharType="end"/>
        </w:r>
      </w:hyperlink>
    </w:p>
    <w:p w14:paraId="7E32617F" w14:textId="77777777" w:rsidR="00DE4516" w:rsidRPr="00197F5A" w:rsidRDefault="00DE4516">
      <w:pPr>
        <w:pStyle w:val="TOC2"/>
        <w:rPr>
          <w:rFonts w:asciiTheme="minorHAnsi" w:eastAsiaTheme="minorEastAsia" w:hAnsiTheme="minorHAnsi"/>
          <w:noProof/>
          <w:sz w:val="22"/>
          <w:szCs w:val="22"/>
        </w:rPr>
      </w:pPr>
      <w:hyperlink w:anchor="_Toc83195942" w:history="1">
        <w:r w:rsidRPr="00D5600E">
          <w:rPr>
            <w:color w:val="0000FF"/>
            <w:u w:val="single"/>
          </w:rPr>
          <w:t>2.3 Trade Agreements and Arrangements</w:t>
        </w:r>
        <w:r w:rsidRPr="00D5600E">
          <w:rPr>
            <w:webHidden/>
            <w:color w:val="0000FF"/>
            <w:u w:val="single"/>
          </w:rPr>
          <w:tab/>
        </w:r>
        <w:r w:rsidRPr="00D5600E">
          <w:rPr>
            <w:webHidden/>
            <w:color w:val="0000FF"/>
            <w:u w:val="single"/>
          </w:rPr>
          <w:fldChar w:fldCharType="begin" w:fldLock="1"/>
        </w:r>
        <w:r w:rsidRPr="00D5600E">
          <w:rPr>
            <w:webHidden/>
            <w:color w:val="0000FF"/>
            <w:u w:val="single"/>
          </w:rPr>
          <w:instrText xml:space="preserve"> PAGEREF _Toc83195942 \h </w:instrText>
        </w:r>
        <w:r w:rsidRPr="00D5600E">
          <w:rPr>
            <w:webHidden/>
            <w:color w:val="0000FF"/>
            <w:u w:val="single"/>
          </w:rPr>
        </w:r>
        <w:r w:rsidRPr="00D5600E">
          <w:rPr>
            <w:webHidden/>
            <w:color w:val="0000FF"/>
            <w:u w:val="single"/>
          </w:rPr>
          <w:fldChar w:fldCharType="separate"/>
        </w:r>
        <w:r w:rsidRPr="00D5600E">
          <w:rPr>
            <w:webHidden/>
            <w:color w:val="0000FF"/>
            <w:u w:val="single"/>
          </w:rPr>
          <w:t>25</w:t>
        </w:r>
        <w:r w:rsidRPr="00D5600E">
          <w:rPr>
            <w:webHidden/>
            <w:color w:val="0000FF"/>
            <w:u w:val="single"/>
          </w:rPr>
          <w:fldChar w:fldCharType="end"/>
        </w:r>
      </w:hyperlink>
    </w:p>
    <w:p w14:paraId="6DD337ED" w14:textId="77777777" w:rsidR="00DE4516" w:rsidRPr="00197F5A" w:rsidRDefault="00DE4516" w:rsidP="00197F5A">
      <w:pPr>
        <w:pStyle w:val="TOC2"/>
        <w:rPr>
          <w:rFonts w:asciiTheme="minorHAnsi" w:eastAsiaTheme="minorEastAsia" w:hAnsiTheme="minorHAnsi"/>
          <w:noProof/>
          <w:sz w:val="22"/>
          <w:szCs w:val="22"/>
        </w:rPr>
      </w:pPr>
      <w:hyperlink w:anchor="_Toc83195943" w:history="1">
        <w:r w:rsidRPr="00D5600E">
          <w:rPr>
            <w:color w:val="0000FF"/>
            <w:u w:val="single"/>
          </w:rPr>
          <w:t>2.3.1 WTO</w:t>
        </w:r>
        <w:r w:rsidRPr="00D5600E">
          <w:rPr>
            <w:webHidden/>
            <w:color w:val="0000FF"/>
            <w:u w:val="single"/>
          </w:rPr>
          <w:tab/>
        </w:r>
        <w:r w:rsidRPr="00D5600E">
          <w:rPr>
            <w:webHidden/>
            <w:color w:val="0000FF"/>
            <w:u w:val="single"/>
          </w:rPr>
          <w:fldChar w:fldCharType="begin" w:fldLock="1"/>
        </w:r>
        <w:r w:rsidRPr="00D5600E">
          <w:rPr>
            <w:webHidden/>
            <w:color w:val="0000FF"/>
            <w:u w:val="single"/>
          </w:rPr>
          <w:instrText xml:space="preserve"> PAGEREF _Toc83195943 \h </w:instrText>
        </w:r>
        <w:r w:rsidRPr="00D5600E">
          <w:rPr>
            <w:webHidden/>
            <w:color w:val="0000FF"/>
            <w:u w:val="single"/>
          </w:rPr>
        </w:r>
        <w:r w:rsidRPr="00D5600E">
          <w:rPr>
            <w:webHidden/>
            <w:color w:val="0000FF"/>
            <w:u w:val="single"/>
          </w:rPr>
          <w:fldChar w:fldCharType="separate"/>
        </w:r>
        <w:r w:rsidRPr="00D5600E">
          <w:rPr>
            <w:webHidden/>
            <w:color w:val="0000FF"/>
            <w:u w:val="single"/>
          </w:rPr>
          <w:t>25</w:t>
        </w:r>
        <w:r w:rsidRPr="00D5600E">
          <w:rPr>
            <w:webHidden/>
            <w:color w:val="0000FF"/>
            <w:u w:val="single"/>
          </w:rPr>
          <w:fldChar w:fldCharType="end"/>
        </w:r>
      </w:hyperlink>
    </w:p>
    <w:p w14:paraId="5B15636D" w14:textId="77777777" w:rsidR="00DE4516" w:rsidRDefault="00DE4516">
      <w:pPr>
        <w:pStyle w:val="TOC3"/>
        <w:rPr>
          <w:rFonts w:asciiTheme="minorHAnsi" w:eastAsiaTheme="minorEastAsia" w:hAnsiTheme="minorHAnsi"/>
          <w:noProof/>
          <w:sz w:val="22"/>
          <w:szCs w:val="22"/>
        </w:rPr>
      </w:pPr>
      <w:hyperlink w:anchor="_Toc83195944" w:history="1">
        <w:r w:rsidRPr="00D5600E">
          <w:rPr>
            <w:color w:val="0000FF"/>
            <w:u w:val="single"/>
          </w:rPr>
          <w:t>2.3.2 Regional and preferential agreements</w:t>
        </w:r>
        <w:r>
          <w:rPr>
            <w:noProof/>
            <w:webHidden/>
          </w:rPr>
          <w:tab/>
        </w:r>
        <w:r>
          <w:rPr>
            <w:noProof/>
            <w:webHidden/>
          </w:rPr>
          <w:fldChar w:fldCharType="begin" w:fldLock="1"/>
        </w:r>
        <w:r>
          <w:rPr>
            <w:noProof/>
            <w:webHidden/>
          </w:rPr>
          <w:instrText xml:space="preserve"> PAGEREF _Toc83195944 \h </w:instrText>
        </w:r>
        <w:r>
          <w:rPr>
            <w:noProof/>
            <w:webHidden/>
          </w:rPr>
        </w:r>
        <w:r>
          <w:rPr>
            <w:noProof/>
            <w:webHidden/>
          </w:rPr>
          <w:fldChar w:fldCharType="separate"/>
        </w:r>
        <w:r>
          <w:rPr>
            <w:noProof/>
            <w:webHidden/>
          </w:rPr>
          <w:t>27</w:t>
        </w:r>
        <w:r>
          <w:rPr>
            <w:noProof/>
            <w:webHidden/>
          </w:rPr>
          <w:fldChar w:fldCharType="end"/>
        </w:r>
      </w:hyperlink>
    </w:p>
    <w:p w14:paraId="5E942ED4" w14:textId="77777777" w:rsidR="00DE4516" w:rsidRPr="00197F5A" w:rsidRDefault="00DE4516" w:rsidP="00197F5A">
      <w:pPr>
        <w:pStyle w:val="TOC2"/>
        <w:rPr>
          <w:rFonts w:asciiTheme="minorHAnsi" w:eastAsiaTheme="minorEastAsia" w:hAnsiTheme="minorHAnsi"/>
          <w:noProof/>
          <w:sz w:val="22"/>
          <w:szCs w:val="22"/>
        </w:rPr>
      </w:pPr>
      <w:hyperlink w:anchor="_Toc83195945" w:history="1">
        <w:r w:rsidRPr="00D5600E">
          <w:rPr>
            <w:color w:val="0000FF"/>
            <w:u w:val="single"/>
          </w:rPr>
          <w:t>2.3.2.1 Gulf Cooperation Council (GCC)</w:t>
        </w:r>
        <w:r w:rsidRPr="00D5600E">
          <w:rPr>
            <w:webHidden/>
            <w:color w:val="0000FF"/>
            <w:u w:val="single"/>
          </w:rPr>
          <w:tab/>
        </w:r>
        <w:r w:rsidRPr="00D5600E">
          <w:rPr>
            <w:webHidden/>
            <w:color w:val="0000FF"/>
            <w:u w:val="single"/>
          </w:rPr>
          <w:fldChar w:fldCharType="begin" w:fldLock="1"/>
        </w:r>
        <w:r w:rsidRPr="00D5600E">
          <w:rPr>
            <w:webHidden/>
            <w:color w:val="0000FF"/>
            <w:u w:val="single"/>
          </w:rPr>
          <w:instrText xml:space="preserve"> PAGEREF _Toc83195945 \h </w:instrText>
        </w:r>
        <w:r w:rsidRPr="00D5600E">
          <w:rPr>
            <w:webHidden/>
            <w:color w:val="0000FF"/>
            <w:u w:val="single"/>
          </w:rPr>
        </w:r>
        <w:r w:rsidRPr="00D5600E">
          <w:rPr>
            <w:webHidden/>
            <w:color w:val="0000FF"/>
            <w:u w:val="single"/>
          </w:rPr>
          <w:fldChar w:fldCharType="separate"/>
        </w:r>
        <w:r w:rsidRPr="00D5600E">
          <w:rPr>
            <w:webHidden/>
            <w:color w:val="0000FF"/>
            <w:u w:val="single"/>
          </w:rPr>
          <w:t>27</w:t>
        </w:r>
        <w:r w:rsidRPr="00D5600E">
          <w:rPr>
            <w:webHidden/>
            <w:color w:val="0000FF"/>
            <w:u w:val="single"/>
          </w:rPr>
          <w:fldChar w:fldCharType="end"/>
        </w:r>
      </w:hyperlink>
    </w:p>
    <w:p w14:paraId="75D559DF" w14:textId="77777777" w:rsidR="00DE4516" w:rsidRPr="00197F5A" w:rsidRDefault="00DE4516" w:rsidP="00197F5A">
      <w:pPr>
        <w:pStyle w:val="TOC2"/>
        <w:rPr>
          <w:rFonts w:asciiTheme="minorHAnsi" w:eastAsiaTheme="minorEastAsia" w:hAnsiTheme="minorHAnsi"/>
          <w:noProof/>
          <w:sz w:val="22"/>
          <w:szCs w:val="22"/>
        </w:rPr>
      </w:pPr>
      <w:hyperlink w:anchor="_Toc83195946" w:history="1">
        <w:r w:rsidRPr="00D5600E">
          <w:rPr>
            <w:color w:val="0000FF"/>
            <w:u w:val="single"/>
          </w:rPr>
          <w:t>2.3.2.2 Pan-Arab Free Trade Area (PAFTA)</w:t>
        </w:r>
        <w:r w:rsidRPr="00D5600E">
          <w:rPr>
            <w:webHidden/>
            <w:color w:val="0000FF"/>
            <w:u w:val="single"/>
          </w:rPr>
          <w:tab/>
        </w:r>
        <w:r w:rsidRPr="00D5600E">
          <w:rPr>
            <w:webHidden/>
            <w:color w:val="0000FF"/>
            <w:u w:val="single"/>
          </w:rPr>
          <w:fldChar w:fldCharType="begin" w:fldLock="1"/>
        </w:r>
        <w:r w:rsidRPr="00D5600E">
          <w:rPr>
            <w:webHidden/>
            <w:color w:val="0000FF"/>
            <w:u w:val="single"/>
          </w:rPr>
          <w:instrText xml:space="preserve"> PAGEREF _Toc83195946 \h </w:instrText>
        </w:r>
        <w:r w:rsidRPr="00D5600E">
          <w:rPr>
            <w:webHidden/>
            <w:color w:val="0000FF"/>
            <w:u w:val="single"/>
          </w:rPr>
        </w:r>
        <w:r w:rsidRPr="00D5600E">
          <w:rPr>
            <w:webHidden/>
            <w:color w:val="0000FF"/>
            <w:u w:val="single"/>
          </w:rPr>
          <w:fldChar w:fldCharType="separate"/>
        </w:r>
        <w:r w:rsidRPr="00D5600E">
          <w:rPr>
            <w:webHidden/>
            <w:color w:val="0000FF"/>
            <w:u w:val="single"/>
          </w:rPr>
          <w:t>29</w:t>
        </w:r>
        <w:r w:rsidRPr="00D5600E">
          <w:rPr>
            <w:webHidden/>
            <w:color w:val="0000FF"/>
            <w:u w:val="single"/>
          </w:rPr>
          <w:fldChar w:fldCharType="end"/>
        </w:r>
      </w:hyperlink>
    </w:p>
    <w:p w14:paraId="14E5BE92" w14:textId="77777777" w:rsidR="00DE4516" w:rsidRPr="00197F5A" w:rsidRDefault="00DE4516" w:rsidP="00197F5A">
      <w:pPr>
        <w:pStyle w:val="TOC2"/>
        <w:rPr>
          <w:rFonts w:asciiTheme="minorHAnsi" w:eastAsiaTheme="minorEastAsia" w:hAnsiTheme="minorHAnsi"/>
          <w:noProof/>
          <w:sz w:val="22"/>
          <w:szCs w:val="22"/>
        </w:rPr>
      </w:pPr>
      <w:hyperlink w:anchor="_Toc83195947" w:history="1">
        <w:r w:rsidRPr="00D5600E">
          <w:rPr>
            <w:color w:val="0000FF"/>
            <w:u w:val="single"/>
          </w:rPr>
          <w:t>2.3.2.3 Agreement with the United States</w:t>
        </w:r>
        <w:r w:rsidRPr="00D5600E">
          <w:rPr>
            <w:webHidden/>
            <w:color w:val="0000FF"/>
            <w:u w:val="single"/>
          </w:rPr>
          <w:tab/>
        </w:r>
        <w:r w:rsidRPr="00D5600E">
          <w:rPr>
            <w:webHidden/>
            <w:color w:val="0000FF"/>
            <w:u w:val="single"/>
          </w:rPr>
          <w:fldChar w:fldCharType="begin" w:fldLock="1"/>
        </w:r>
        <w:r w:rsidRPr="00D5600E">
          <w:rPr>
            <w:webHidden/>
            <w:color w:val="0000FF"/>
            <w:u w:val="single"/>
          </w:rPr>
          <w:instrText xml:space="preserve"> PAGEREF _Toc83195947 \h </w:instrText>
        </w:r>
        <w:r w:rsidRPr="00D5600E">
          <w:rPr>
            <w:webHidden/>
            <w:color w:val="0000FF"/>
            <w:u w:val="single"/>
          </w:rPr>
        </w:r>
        <w:r w:rsidRPr="00D5600E">
          <w:rPr>
            <w:webHidden/>
            <w:color w:val="0000FF"/>
            <w:u w:val="single"/>
          </w:rPr>
          <w:fldChar w:fldCharType="separate"/>
        </w:r>
        <w:r w:rsidRPr="00D5600E">
          <w:rPr>
            <w:webHidden/>
            <w:color w:val="0000FF"/>
            <w:u w:val="single"/>
          </w:rPr>
          <w:t>29</w:t>
        </w:r>
        <w:r w:rsidRPr="00D5600E">
          <w:rPr>
            <w:webHidden/>
            <w:color w:val="0000FF"/>
            <w:u w:val="single"/>
          </w:rPr>
          <w:fldChar w:fldCharType="end"/>
        </w:r>
      </w:hyperlink>
    </w:p>
    <w:p w14:paraId="4CCC9292" w14:textId="77777777" w:rsidR="00DE4516" w:rsidRPr="00197F5A" w:rsidRDefault="00DE4516" w:rsidP="00197F5A">
      <w:pPr>
        <w:pStyle w:val="TOC2"/>
        <w:rPr>
          <w:rFonts w:asciiTheme="minorHAnsi" w:eastAsiaTheme="minorEastAsia" w:hAnsiTheme="minorHAnsi"/>
          <w:noProof/>
          <w:sz w:val="22"/>
          <w:szCs w:val="22"/>
        </w:rPr>
      </w:pPr>
      <w:hyperlink w:anchor="_Toc83195948" w:history="1">
        <w:r w:rsidRPr="00D5600E">
          <w:rPr>
            <w:color w:val="0000FF"/>
            <w:u w:val="single"/>
          </w:rPr>
          <w:t>2.3.2.4 Agreement with Singapore</w:t>
        </w:r>
        <w:r w:rsidRPr="00D5600E">
          <w:rPr>
            <w:webHidden/>
            <w:color w:val="0000FF"/>
            <w:u w:val="single"/>
          </w:rPr>
          <w:tab/>
        </w:r>
        <w:r w:rsidRPr="00D5600E">
          <w:rPr>
            <w:webHidden/>
            <w:color w:val="0000FF"/>
            <w:u w:val="single"/>
          </w:rPr>
          <w:fldChar w:fldCharType="begin" w:fldLock="1"/>
        </w:r>
        <w:r w:rsidRPr="00D5600E">
          <w:rPr>
            <w:webHidden/>
            <w:color w:val="0000FF"/>
            <w:u w:val="single"/>
          </w:rPr>
          <w:instrText xml:space="preserve"> PAGEREF _Toc83195948 \h </w:instrText>
        </w:r>
        <w:r w:rsidRPr="00D5600E">
          <w:rPr>
            <w:webHidden/>
            <w:color w:val="0000FF"/>
            <w:u w:val="single"/>
          </w:rPr>
        </w:r>
        <w:r w:rsidRPr="00D5600E">
          <w:rPr>
            <w:webHidden/>
            <w:color w:val="0000FF"/>
            <w:u w:val="single"/>
          </w:rPr>
          <w:fldChar w:fldCharType="separate"/>
        </w:r>
        <w:r w:rsidRPr="00D5600E">
          <w:rPr>
            <w:webHidden/>
            <w:color w:val="0000FF"/>
            <w:u w:val="single"/>
          </w:rPr>
          <w:t>29</w:t>
        </w:r>
        <w:r w:rsidRPr="00D5600E">
          <w:rPr>
            <w:webHidden/>
            <w:color w:val="0000FF"/>
            <w:u w:val="single"/>
          </w:rPr>
          <w:fldChar w:fldCharType="end"/>
        </w:r>
      </w:hyperlink>
    </w:p>
    <w:p w14:paraId="5F1FD955" w14:textId="77777777" w:rsidR="00DE4516" w:rsidRPr="00197F5A" w:rsidRDefault="00DE4516" w:rsidP="00197F5A">
      <w:pPr>
        <w:pStyle w:val="TOC2"/>
        <w:rPr>
          <w:rFonts w:asciiTheme="minorHAnsi" w:eastAsiaTheme="minorEastAsia" w:hAnsiTheme="minorHAnsi"/>
          <w:noProof/>
          <w:sz w:val="22"/>
          <w:szCs w:val="22"/>
        </w:rPr>
      </w:pPr>
      <w:hyperlink w:anchor="_Toc83195949" w:history="1">
        <w:r w:rsidRPr="00D5600E">
          <w:rPr>
            <w:color w:val="0000FF"/>
            <w:u w:val="single"/>
          </w:rPr>
          <w:t>2.3.3 Other agreements and arrangements</w:t>
        </w:r>
        <w:r w:rsidRPr="00D5600E">
          <w:rPr>
            <w:webHidden/>
            <w:color w:val="0000FF"/>
            <w:u w:val="single"/>
          </w:rPr>
          <w:tab/>
        </w:r>
        <w:r w:rsidRPr="00D5600E">
          <w:rPr>
            <w:webHidden/>
            <w:color w:val="0000FF"/>
            <w:u w:val="single"/>
          </w:rPr>
          <w:fldChar w:fldCharType="begin" w:fldLock="1"/>
        </w:r>
        <w:r w:rsidRPr="00D5600E">
          <w:rPr>
            <w:webHidden/>
            <w:color w:val="0000FF"/>
            <w:u w:val="single"/>
          </w:rPr>
          <w:instrText xml:space="preserve"> PAGEREF _Toc83195949 \h </w:instrText>
        </w:r>
        <w:r w:rsidRPr="00D5600E">
          <w:rPr>
            <w:webHidden/>
            <w:color w:val="0000FF"/>
            <w:u w:val="single"/>
          </w:rPr>
        </w:r>
        <w:r w:rsidRPr="00D5600E">
          <w:rPr>
            <w:webHidden/>
            <w:color w:val="0000FF"/>
            <w:u w:val="single"/>
          </w:rPr>
          <w:fldChar w:fldCharType="separate"/>
        </w:r>
        <w:r w:rsidRPr="00D5600E">
          <w:rPr>
            <w:webHidden/>
            <w:color w:val="0000FF"/>
            <w:u w:val="single"/>
          </w:rPr>
          <w:t>30</w:t>
        </w:r>
        <w:r w:rsidRPr="00D5600E">
          <w:rPr>
            <w:webHidden/>
            <w:color w:val="0000FF"/>
            <w:u w:val="single"/>
          </w:rPr>
          <w:fldChar w:fldCharType="end"/>
        </w:r>
      </w:hyperlink>
    </w:p>
    <w:p w14:paraId="63E17A1A" w14:textId="77777777" w:rsidR="00DE4516" w:rsidRPr="00197F5A" w:rsidRDefault="00DE4516" w:rsidP="00197F5A">
      <w:pPr>
        <w:pStyle w:val="TOC2"/>
        <w:rPr>
          <w:rFonts w:asciiTheme="minorHAnsi" w:eastAsiaTheme="minorEastAsia" w:hAnsiTheme="minorHAnsi"/>
          <w:noProof/>
          <w:sz w:val="22"/>
          <w:szCs w:val="22"/>
        </w:rPr>
      </w:pPr>
      <w:hyperlink w:anchor="_Toc83195950" w:history="1">
        <w:r w:rsidRPr="00D5600E">
          <w:rPr>
            <w:color w:val="0000FF"/>
            <w:u w:val="single"/>
          </w:rPr>
          <w:t>2.4 Investment Regime</w:t>
        </w:r>
        <w:r w:rsidRPr="00D5600E">
          <w:rPr>
            <w:webHidden/>
            <w:color w:val="0000FF"/>
            <w:u w:val="single"/>
          </w:rPr>
          <w:tab/>
        </w:r>
        <w:r w:rsidRPr="00D5600E">
          <w:rPr>
            <w:webHidden/>
            <w:color w:val="0000FF"/>
            <w:u w:val="single"/>
          </w:rPr>
          <w:fldChar w:fldCharType="begin" w:fldLock="1"/>
        </w:r>
        <w:r w:rsidRPr="00D5600E">
          <w:rPr>
            <w:webHidden/>
            <w:color w:val="0000FF"/>
            <w:u w:val="single"/>
          </w:rPr>
          <w:instrText xml:space="preserve"> PAGEREF _Toc83195950 \h </w:instrText>
        </w:r>
        <w:r w:rsidRPr="00D5600E">
          <w:rPr>
            <w:webHidden/>
            <w:color w:val="0000FF"/>
            <w:u w:val="single"/>
          </w:rPr>
        </w:r>
        <w:r w:rsidRPr="00D5600E">
          <w:rPr>
            <w:webHidden/>
            <w:color w:val="0000FF"/>
            <w:u w:val="single"/>
          </w:rPr>
          <w:fldChar w:fldCharType="separate"/>
        </w:r>
        <w:r w:rsidRPr="00D5600E">
          <w:rPr>
            <w:webHidden/>
            <w:color w:val="0000FF"/>
            <w:u w:val="single"/>
          </w:rPr>
          <w:t>30</w:t>
        </w:r>
        <w:r w:rsidRPr="00D5600E">
          <w:rPr>
            <w:webHidden/>
            <w:color w:val="0000FF"/>
            <w:u w:val="single"/>
          </w:rPr>
          <w:fldChar w:fldCharType="end"/>
        </w:r>
      </w:hyperlink>
    </w:p>
    <w:p w14:paraId="5C162AAF" w14:textId="77777777" w:rsidR="00DE4516" w:rsidRPr="00BE1B87" w:rsidRDefault="00DE4516">
      <w:pPr>
        <w:pStyle w:val="TOC1"/>
        <w:tabs>
          <w:tab w:val="right" w:leader="dot" w:pos="9016"/>
        </w:tabs>
        <w:rPr>
          <w:rFonts w:asciiTheme="minorHAnsi" w:eastAsiaTheme="minorEastAsia" w:hAnsiTheme="minorHAnsi"/>
          <w:b w:val="0"/>
          <w:caps w:val="0"/>
          <w:noProof/>
          <w:sz w:val="22"/>
          <w:szCs w:val="22"/>
        </w:rPr>
      </w:pPr>
      <w:hyperlink w:anchor="_Toc83195951" w:history="1">
        <w:r w:rsidRPr="00D5600E">
          <w:rPr>
            <w:caps w:val="0"/>
            <w:color w:val="0000FF"/>
            <w:u w:val="single"/>
          </w:rPr>
          <w:t>3 TRADE POLICIES AND PRACTICES BY MEASURE</w:t>
        </w:r>
        <w:r w:rsidRPr="00BE1B87">
          <w:rPr>
            <w:caps w:val="0"/>
            <w:noProof/>
            <w:webHidden/>
          </w:rPr>
          <w:tab/>
        </w:r>
        <w:r w:rsidRPr="00BE1B87">
          <w:rPr>
            <w:caps w:val="0"/>
            <w:noProof/>
            <w:webHidden/>
          </w:rPr>
          <w:fldChar w:fldCharType="begin" w:fldLock="1"/>
        </w:r>
        <w:r w:rsidRPr="00BE1B87">
          <w:rPr>
            <w:caps w:val="0"/>
            <w:noProof/>
            <w:webHidden/>
          </w:rPr>
          <w:instrText xml:space="preserve"> PAGEREF _Toc83195951 \h </w:instrText>
        </w:r>
        <w:r w:rsidRPr="00BE1B87">
          <w:rPr>
            <w:caps w:val="0"/>
            <w:noProof/>
            <w:webHidden/>
          </w:rPr>
        </w:r>
        <w:r w:rsidRPr="00BE1B87">
          <w:rPr>
            <w:caps w:val="0"/>
            <w:noProof/>
            <w:webHidden/>
          </w:rPr>
          <w:fldChar w:fldCharType="separate"/>
        </w:r>
        <w:r w:rsidRPr="00BE1B87">
          <w:rPr>
            <w:caps w:val="0"/>
            <w:noProof/>
            <w:webHidden/>
          </w:rPr>
          <w:t>34</w:t>
        </w:r>
        <w:r w:rsidRPr="00BE1B87">
          <w:rPr>
            <w:caps w:val="0"/>
            <w:noProof/>
            <w:webHidden/>
          </w:rPr>
          <w:fldChar w:fldCharType="end"/>
        </w:r>
      </w:hyperlink>
    </w:p>
    <w:p w14:paraId="59706359" w14:textId="77777777" w:rsidR="00DE4516" w:rsidRDefault="00DE4516">
      <w:pPr>
        <w:pStyle w:val="TOC2"/>
        <w:rPr>
          <w:rFonts w:asciiTheme="minorHAnsi" w:eastAsiaTheme="minorEastAsia" w:hAnsiTheme="minorHAnsi"/>
          <w:noProof/>
          <w:sz w:val="22"/>
          <w:szCs w:val="22"/>
        </w:rPr>
      </w:pPr>
      <w:hyperlink w:anchor="_Toc83195952" w:history="1">
        <w:r w:rsidRPr="00D5600E">
          <w:rPr>
            <w:color w:val="0000FF"/>
            <w:u w:val="single"/>
          </w:rPr>
          <w:t>3.1 Measures Directly Affecting Imports</w:t>
        </w:r>
        <w:r>
          <w:rPr>
            <w:noProof/>
            <w:webHidden/>
          </w:rPr>
          <w:tab/>
        </w:r>
        <w:r>
          <w:rPr>
            <w:noProof/>
            <w:webHidden/>
          </w:rPr>
          <w:fldChar w:fldCharType="begin" w:fldLock="1"/>
        </w:r>
        <w:r>
          <w:rPr>
            <w:noProof/>
            <w:webHidden/>
          </w:rPr>
          <w:instrText xml:space="preserve"> PAGEREF _Toc83195952 \h </w:instrText>
        </w:r>
        <w:r>
          <w:rPr>
            <w:noProof/>
            <w:webHidden/>
          </w:rPr>
        </w:r>
        <w:r>
          <w:rPr>
            <w:noProof/>
            <w:webHidden/>
          </w:rPr>
          <w:fldChar w:fldCharType="separate"/>
        </w:r>
        <w:r>
          <w:rPr>
            <w:noProof/>
            <w:webHidden/>
          </w:rPr>
          <w:t>34</w:t>
        </w:r>
        <w:r>
          <w:rPr>
            <w:noProof/>
            <w:webHidden/>
          </w:rPr>
          <w:fldChar w:fldCharType="end"/>
        </w:r>
      </w:hyperlink>
    </w:p>
    <w:p w14:paraId="47A03D20" w14:textId="77777777" w:rsidR="00DE4516" w:rsidRDefault="00DE4516">
      <w:pPr>
        <w:pStyle w:val="TOC3"/>
        <w:rPr>
          <w:rFonts w:asciiTheme="minorHAnsi" w:eastAsiaTheme="minorEastAsia" w:hAnsiTheme="minorHAnsi"/>
          <w:noProof/>
          <w:sz w:val="22"/>
          <w:szCs w:val="22"/>
        </w:rPr>
      </w:pPr>
      <w:hyperlink w:anchor="_Toc83195953" w:history="1">
        <w:r w:rsidRPr="00D5600E">
          <w:rPr>
            <w:color w:val="0000FF"/>
            <w:u w:val="single"/>
          </w:rPr>
          <w:t>3.1.1 Customs procedures, valuation, and requirements</w:t>
        </w:r>
        <w:r>
          <w:rPr>
            <w:noProof/>
            <w:webHidden/>
          </w:rPr>
          <w:tab/>
        </w:r>
        <w:r>
          <w:rPr>
            <w:noProof/>
            <w:webHidden/>
          </w:rPr>
          <w:fldChar w:fldCharType="begin" w:fldLock="1"/>
        </w:r>
        <w:r>
          <w:rPr>
            <w:noProof/>
            <w:webHidden/>
          </w:rPr>
          <w:instrText xml:space="preserve"> PAGEREF _Toc83195953 \h </w:instrText>
        </w:r>
        <w:r>
          <w:rPr>
            <w:noProof/>
            <w:webHidden/>
          </w:rPr>
        </w:r>
        <w:r>
          <w:rPr>
            <w:noProof/>
            <w:webHidden/>
          </w:rPr>
          <w:fldChar w:fldCharType="separate"/>
        </w:r>
        <w:r>
          <w:rPr>
            <w:noProof/>
            <w:webHidden/>
          </w:rPr>
          <w:t>34</w:t>
        </w:r>
        <w:r>
          <w:rPr>
            <w:noProof/>
            <w:webHidden/>
          </w:rPr>
          <w:fldChar w:fldCharType="end"/>
        </w:r>
      </w:hyperlink>
    </w:p>
    <w:p w14:paraId="6955CEC3" w14:textId="77777777" w:rsidR="00DE4516" w:rsidRDefault="00DE4516">
      <w:pPr>
        <w:pStyle w:val="TOC3"/>
        <w:rPr>
          <w:rFonts w:asciiTheme="minorHAnsi" w:eastAsiaTheme="minorEastAsia" w:hAnsiTheme="minorHAnsi"/>
          <w:noProof/>
          <w:sz w:val="22"/>
          <w:szCs w:val="22"/>
        </w:rPr>
      </w:pPr>
      <w:hyperlink w:anchor="_Toc83195954" w:history="1">
        <w:r w:rsidRPr="00D5600E">
          <w:rPr>
            <w:color w:val="0000FF"/>
            <w:u w:val="single"/>
          </w:rPr>
          <w:t>3.1.2 Rules of origin</w:t>
        </w:r>
        <w:r>
          <w:rPr>
            <w:noProof/>
            <w:webHidden/>
          </w:rPr>
          <w:tab/>
        </w:r>
        <w:r>
          <w:rPr>
            <w:noProof/>
            <w:webHidden/>
          </w:rPr>
          <w:fldChar w:fldCharType="begin" w:fldLock="1"/>
        </w:r>
        <w:r>
          <w:rPr>
            <w:noProof/>
            <w:webHidden/>
          </w:rPr>
          <w:instrText xml:space="preserve"> PAGEREF _Toc83195954 \h </w:instrText>
        </w:r>
        <w:r>
          <w:rPr>
            <w:noProof/>
            <w:webHidden/>
          </w:rPr>
        </w:r>
        <w:r>
          <w:rPr>
            <w:noProof/>
            <w:webHidden/>
          </w:rPr>
          <w:fldChar w:fldCharType="separate"/>
        </w:r>
        <w:r>
          <w:rPr>
            <w:noProof/>
            <w:webHidden/>
          </w:rPr>
          <w:t>35</w:t>
        </w:r>
        <w:r>
          <w:rPr>
            <w:noProof/>
            <w:webHidden/>
          </w:rPr>
          <w:fldChar w:fldCharType="end"/>
        </w:r>
      </w:hyperlink>
    </w:p>
    <w:p w14:paraId="1BE9FC63" w14:textId="77777777" w:rsidR="00DE4516" w:rsidRDefault="00DE4516">
      <w:pPr>
        <w:pStyle w:val="TOC3"/>
        <w:rPr>
          <w:rFonts w:asciiTheme="minorHAnsi" w:eastAsiaTheme="minorEastAsia" w:hAnsiTheme="minorHAnsi"/>
          <w:noProof/>
          <w:sz w:val="22"/>
          <w:szCs w:val="22"/>
        </w:rPr>
      </w:pPr>
      <w:hyperlink w:anchor="_Toc83195955" w:history="1">
        <w:r w:rsidRPr="00D5600E">
          <w:rPr>
            <w:color w:val="0000FF"/>
            <w:u w:val="single"/>
          </w:rPr>
          <w:t>3.1.3 Tariffs</w:t>
        </w:r>
        <w:r>
          <w:rPr>
            <w:noProof/>
            <w:webHidden/>
          </w:rPr>
          <w:tab/>
        </w:r>
        <w:r>
          <w:rPr>
            <w:noProof/>
            <w:webHidden/>
          </w:rPr>
          <w:fldChar w:fldCharType="begin" w:fldLock="1"/>
        </w:r>
        <w:r>
          <w:rPr>
            <w:noProof/>
            <w:webHidden/>
          </w:rPr>
          <w:instrText xml:space="preserve"> PAGEREF _Toc83195955 \h </w:instrText>
        </w:r>
        <w:r>
          <w:rPr>
            <w:noProof/>
            <w:webHidden/>
          </w:rPr>
        </w:r>
        <w:r>
          <w:rPr>
            <w:noProof/>
            <w:webHidden/>
          </w:rPr>
          <w:fldChar w:fldCharType="separate"/>
        </w:r>
        <w:r>
          <w:rPr>
            <w:noProof/>
            <w:webHidden/>
          </w:rPr>
          <w:t>36</w:t>
        </w:r>
        <w:r>
          <w:rPr>
            <w:noProof/>
            <w:webHidden/>
          </w:rPr>
          <w:fldChar w:fldCharType="end"/>
        </w:r>
      </w:hyperlink>
    </w:p>
    <w:p w14:paraId="7A842ADE" w14:textId="77777777" w:rsidR="00DE4516" w:rsidRDefault="00DE4516">
      <w:pPr>
        <w:pStyle w:val="TOC4"/>
        <w:rPr>
          <w:rFonts w:asciiTheme="minorHAnsi" w:eastAsiaTheme="minorEastAsia" w:hAnsiTheme="minorHAnsi"/>
          <w:noProof/>
          <w:sz w:val="22"/>
          <w:szCs w:val="22"/>
        </w:rPr>
      </w:pPr>
      <w:hyperlink w:anchor="_Toc83195956" w:history="1">
        <w:r w:rsidRPr="00D5600E">
          <w:rPr>
            <w:color w:val="0000FF"/>
            <w:u w:val="single"/>
          </w:rPr>
          <w:t>3.1.3.1 Applied MFN tariff</w:t>
        </w:r>
        <w:r>
          <w:rPr>
            <w:noProof/>
            <w:webHidden/>
          </w:rPr>
          <w:tab/>
        </w:r>
        <w:r>
          <w:rPr>
            <w:noProof/>
            <w:webHidden/>
          </w:rPr>
          <w:fldChar w:fldCharType="begin" w:fldLock="1"/>
        </w:r>
        <w:r>
          <w:rPr>
            <w:noProof/>
            <w:webHidden/>
          </w:rPr>
          <w:instrText xml:space="preserve"> PAGEREF _Toc83195956 \h </w:instrText>
        </w:r>
        <w:r>
          <w:rPr>
            <w:noProof/>
            <w:webHidden/>
          </w:rPr>
        </w:r>
        <w:r>
          <w:rPr>
            <w:noProof/>
            <w:webHidden/>
          </w:rPr>
          <w:fldChar w:fldCharType="separate"/>
        </w:r>
        <w:r>
          <w:rPr>
            <w:noProof/>
            <w:webHidden/>
          </w:rPr>
          <w:t>36</w:t>
        </w:r>
        <w:r>
          <w:rPr>
            <w:noProof/>
            <w:webHidden/>
          </w:rPr>
          <w:fldChar w:fldCharType="end"/>
        </w:r>
      </w:hyperlink>
    </w:p>
    <w:p w14:paraId="3B6D7CBC" w14:textId="77777777" w:rsidR="00DE4516" w:rsidRDefault="00DE4516">
      <w:pPr>
        <w:pStyle w:val="TOC4"/>
        <w:rPr>
          <w:rFonts w:asciiTheme="minorHAnsi" w:eastAsiaTheme="minorEastAsia" w:hAnsiTheme="minorHAnsi"/>
          <w:noProof/>
          <w:sz w:val="22"/>
          <w:szCs w:val="22"/>
        </w:rPr>
      </w:pPr>
      <w:hyperlink w:anchor="_Toc83195957" w:history="1">
        <w:r w:rsidRPr="00D5600E">
          <w:rPr>
            <w:color w:val="0000FF"/>
            <w:u w:val="single"/>
          </w:rPr>
          <w:t>3.1.3.2 Tariff bindings</w:t>
        </w:r>
        <w:r>
          <w:rPr>
            <w:noProof/>
            <w:webHidden/>
          </w:rPr>
          <w:tab/>
        </w:r>
        <w:r>
          <w:rPr>
            <w:noProof/>
            <w:webHidden/>
          </w:rPr>
          <w:fldChar w:fldCharType="begin" w:fldLock="1"/>
        </w:r>
        <w:r>
          <w:rPr>
            <w:noProof/>
            <w:webHidden/>
          </w:rPr>
          <w:instrText xml:space="preserve"> PAGEREF _Toc83195957 \h </w:instrText>
        </w:r>
        <w:r>
          <w:rPr>
            <w:noProof/>
            <w:webHidden/>
          </w:rPr>
        </w:r>
        <w:r>
          <w:rPr>
            <w:noProof/>
            <w:webHidden/>
          </w:rPr>
          <w:fldChar w:fldCharType="separate"/>
        </w:r>
        <w:r>
          <w:rPr>
            <w:noProof/>
            <w:webHidden/>
          </w:rPr>
          <w:t>38</w:t>
        </w:r>
        <w:r>
          <w:rPr>
            <w:noProof/>
            <w:webHidden/>
          </w:rPr>
          <w:fldChar w:fldCharType="end"/>
        </w:r>
      </w:hyperlink>
    </w:p>
    <w:p w14:paraId="72571C53" w14:textId="77777777" w:rsidR="00DE4516" w:rsidRDefault="00DE4516">
      <w:pPr>
        <w:pStyle w:val="TOC4"/>
        <w:rPr>
          <w:rFonts w:asciiTheme="minorHAnsi" w:eastAsiaTheme="minorEastAsia" w:hAnsiTheme="minorHAnsi"/>
          <w:noProof/>
          <w:sz w:val="22"/>
          <w:szCs w:val="22"/>
        </w:rPr>
      </w:pPr>
      <w:hyperlink w:anchor="_Toc83195958" w:history="1">
        <w:r w:rsidRPr="00D5600E">
          <w:rPr>
            <w:color w:val="0000FF"/>
            <w:u w:val="single"/>
          </w:rPr>
          <w:t>3.1.3.3 Tariff preferences</w:t>
        </w:r>
        <w:r>
          <w:rPr>
            <w:noProof/>
            <w:webHidden/>
          </w:rPr>
          <w:tab/>
        </w:r>
        <w:r>
          <w:rPr>
            <w:noProof/>
            <w:webHidden/>
          </w:rPr>
          <w:fldChar w:fldCharType="begin" w:fldLock="1"/>
        </w:r>
        <w:r>
          <w:rPr>
            <w:noProof/>
            <w:webHidden/>
          </w:rPr>
          <w:instrText xml:space="preserve"> PAGEREF _Toc83195958 \h </w:instrText>
        </w:r>
        <w:r>
          <w:rPr>
            <w:noProof/>
            <w:webHidden/>
          </w:rPr>
        </w:r>
        <w:r>
          <w:rPr>
            <w:noProof/>
            <w:webHidden/>
          </w:rPr>
          <w:fldChar w:fldCharType="separate"/>
        </w:r>
        <w:r>
          <w:rPr>
            <w:noProof/>
            <w:webHidden/>
          </w:rPr>
          <w:t>39</w:t>
        </w:r>
        <w:r>
          <w:rPr>
            <w:noProof/>
            <w:webHidden/>
          </w:rPr>
          <w:fldChar w:fldCharType="end"/>
        </w:r>
      </w:hyperlink>
    </w:p>
    <w:p w14:paraId="12E688CD" w14:textId="77777777" w:rsidR="00DE4516" w:rsidRDefault="00DE4516">
      <w:pPr>
        <w:pStyle w:val="TOC4"/>
        <w:rPr>
          <w:rFonts w:asciiTheme="minorHAnsi" w:eastAsiaTheme="minorEastAsia" w:hAnsiTheme="minorHAnsi"/>
          <w:noProof/>
          <w:sz w:val="22"/>
          <w:szCs w:val="22"/>
        </w:rPr>
      </w:pPr>
      <w:hyperlink w:anchor="_Toc83195959" w:history="1">
        <w:r w:rsidRPr="00D5600E">
          <w:rPr>
            <w:color w:val="0000FF"/>
            <w:u w:val="single"/>
          </w:rPr>
          <w:t>3.1.3.4 Tariff exemptions and concessions</w:t>
        </w:r>
        <w:r>
          <w:rPr>
            <w:noProof/>
            <w:webHidden/>
          </w:rPr>
          <w:tab/>
        </w:r>
        <w:r>
          <w:rPr>
            <w:noProof/>
            <w:webHidden/>
          </w:rPr>
          <w:fldChar w:fldCharType="begin" w:fldLock="1"/>
        </w:r>
        <w:r>
          <w:rPr>
            <w:noProof/>
            <w:webHidden/>
          </w:rPr>
          <w:instrText xml:space="preserve"> PAGEREF _Toc83195959 \h </w:instrText>
        </w:r>
        <w:r>
          <w:rPr>
            <w:noProof/>
            <w:webHidden/>
          </w:rPr>
        </w:r>
        <w:r>
          <w:rPr>
            <w:noProof/>
            <w:webHidden/>
          </w:rPr>
          <w:fldChar w:fldCharType="separate"/>
        </w:r>
        <w:r>
          <w:rPr>
            <w:noProof/>
            <w:webHidden/>
          </w:rPr>
          <w:t>39</w:t>
        </w:r>
        <w:r>
          <w:rPr>
            <w:noProof/>
            <w:webHidden/>
          </w:rPr>
          <w:fldChar w:fldCharType="end"/>
        </w:r>
      </w:hyperlink>
    </w:p>
    <w:p w14:paraId="311AE2A3" w14:textId="77777777" w:rsidR="00DE4516" w:rsidRDefault="00DE4516">
      <w:pPr>
        <w:pStyle w:val="TOC3"/>
        <w:rPr>
          <w:rFonts w:asciiTheme="minorHAnsi" w:eastAsiaTheme="minorEastAsia" w:hAnsiTheme="minorHAnsi"/>
          <w:noProof/>
          <w:sz w:val="22"/>
          <w:szCs w:val="22"/>
        </w:rPr>
      </w:pPr>
      <w:hyperlink w:anchor="_Toc83195960" w:history="1">
        <w:r w:rsidRPr="00D5600E">
          <w:rPr>
            <w:color w:val="0000FF"/>
            <w:u w:val="single"/>
          </w:rPr>
          <w:t>3.1.4 Other charges affecting imports</w:t>
        </w:r>
        <w:r>
          <w:rPr>
            <w:noProof/>
            <w:webHidden/>
          </w:rPr>
          <w:tab/>
        </w:r>
        <w:r>
          <w:rPr>
            <w:noProof/>
            <w:webHidden/>
          </w:rPr>
          <w:fldChar w:fldCharType="begin" w:fldLock="1"/>
        </w:r>
        <w:r>
          <w:rPr>
            <w:noProof/>
            <w:webHidden/>
          </w:rPr>
          <w:instrText xml:space="preserve"> PAGEREF _Toc83195960 \h </w:instrText>
        </w:r>
        <w:r>
          <w:rPr>
            <w:noProof/>
            <w:webHidden/>
          </w:rPr>
        </w:r>
        <w:r>
          <w:rPr>
            <w:noProof/>
            <w:webHidden/>
          </w:rPr>
          <w:fldChar w:fldCharType="separate"/>
        </w:r>
        <w:r>
          <w:rPr>
            <w:noProof/>
            <w:webHidden/>
          </w:rPr>
          <w:t>39</w:t>
        </w:r>
        <w:r>
          <w:rPr>
            <w:noProof/>
            <w:webHidden/>
          </w:rPr>
          <w:fldChar w:fldCharType="end"/>
        </w:r>
      </w:hyperlink>
    </w:p>
    <w:p w14:paraId="6F754999" w14:textId="77777777" w:rsidR="00DE4516" w:rsidRDefault="00DE4516">
      <w:pPr>
        <w:pStyle w:val="TOC3"/>
        <w:rPr>
          <w:rFonts w:asciiTheme="minorHAnsi" w:eastAsiaTheme="minorEastAsia" w:hAnsiTheme="minorHAnsi"/>
          <w:noProof/>
          <w:sz w:val="22"/>
          <w:szCs w:val="22"/>
        </w:rPr>
      </w:pPr>
      <w:hyperlink w:anchor="_Toc83195961" w:history="1">
        <w:r w:rsidRPr="00D5600E">
          <w:rPr>
            <w:color w:val="0000FF"/>
            <w:u w:val="single"/>
          </w:rPr>
          <w:t>3.1.5 Import prohibitions, restrictions, and licensing</w:t>
        </w:r>
        <w:r>
          <w:rPr>
            <w:noProof/>
            <w:webHidden/>
          </w:rPr>
          <w:tab/>
        </w:r>
        <w:r>
          <w:rPr>
            <w:noProof/>
            <w:webHidden/>
          </w:rPr>
          <w:fldChar w:fldCharType="begin" w:fldLock="1"/>
        </w:r>
        <w:r>
          <w:rPr>
            <w:noProof/>
            <w:webHidden/>
          </w:rPr>
          <w:instrText xml:space="preserve"> PAGEREF _Toc83195961 \h </w:instrText>
        </w:r>
        <w:r>
          <w:rPr>
            <w:noProof/>
            <w:webHidden/>
          </w:rPr>
        </w:r>
        <w:r>
          <w:rPr>
            <w:noProof/>
            <w:webHidden/>
          </w:rPr>
          <w:fldChar w:fldCharType="separate"/>
        </w:r>
        <w:r>
          <w:rPr>
            <w:noProof/>
            <w:webHidden/>
          </w:rPr>
          <w:t>40</w:t>
        </w:r>
        <w:r>
          <w:rPr>
            <w:noProof/>
            <w:webHidden/>
          </w:rPr>
          <w:fldChar w:fldCharType="end"/>
        </w:r>
      </w:hyperlink>
    </w:p>
    <w:p w14:paraId="0195703E" w14:textId="77777777" w:rsidR="00DE4516" w:rsidRDefault="00DE4516">
      <w:pPr>
        <w:pStyle w:val="TOC3"/>
        <w:rPr>
          <w:rFonts w:asciiTheme="minorHAnsi" w:eastAsiaTheme="minorEastAsia" w:hAnsiTheme="minorHAnsi"/>
          <w:noProof/>
          <w:sz w:val="22"/>
          <w:szCs w:val="22"/>
        </w:rPr>
      </w:pPr>
      <w:hyperlink w:anchor="_Toc83195962" w:history="1">
        <w:r w:rsidRPr="00D5600E">
          <w:rPr>
            <w:color w:val="0000FF"/>
            <w:u w:val="single"/>
          </w:rPr>
          <w:t>3.1.6 Anti-dumping, countervailing, and safeguard measures</w:t>
        </w:r>
        <w:r>
          <w:rPr>
            <w:noProof/>
            <w:webHidden/>
          </w:rPr>
          <w:tab/>
        </w:r>
        <w:r>
          <w:rPr>
            <w:noProof/>
            <w:webHidden/>
          </w:rPr>
          <w:fldChar w:fldCharType="begin" w:fldLock="1"/>
        </w:r>
        <w:r>
          <w:rPr>
            <w:noProof/>
            <w:webHidden/>
          </w:rPr>
          <w:instrText xml:space="preserve"> PAGEREF _Toc83195962 \h </w:instrText>
        </w:r>
        <w:r>
          <w:rPr>
            <w:noProof/>
            <w:webHidden/>
          </w:rPr>
        </w:r>
        <w:r>
          <w:rPr>
            <w:noProof/>
            <w:webHidden/>
          </w:rPr>
          <w:fldChar w:fldCharType="separate"/>
        </w:r>
        <w:r>
          <w:rPr>
            <w:noProof/>
            <w:webHidden/>
          </w:rPr>
          <w:t>42</w:t>
        </w:r>
        <w:r>
          <w:rPr>
            <w:noProof/>
            <w:webHidden/>
          </w:rPr>
          <w:fldChar w:fldCharType="end"/>
        </w:r>
      </w:hyperlink>
    </w:p>
    <w:p w14:paraId="5CFF9F29" w14:textId="77777777" w:rsidR="00DE4516" w:rsidRDefault="00DE4516">
      <w:pPr>
        <w:pStyle w:val="TOC3"/>
        <w:rPr>
          <w:rFonts w:asciiTheme="minorHAnsi" w:eastAsiaTheme="minorEastAsia" w:hAnsiTheme="minorHAnsi"/>
          <w:noProof/>
          <w:sz w:val="22"/>
          <w:szCs w:val="22"/>
        </w:rPr>
      </w:pPr>
      <w:hyperlink w:anchor="_Toc83195963" w:history="1">
        <w:r w:rsidRPr="00D5600E">
          <w:rPr>
            <w:color w:val="0000FF"/>
            <w:u w:val="single"/>
          </w:rPr>
          <w:t>3.1.7 Other measures affecting imports</w:t>
        </w:r>
        <w:r>
          <w:rPr>
            <w:noProof/>
            <w:webHidden/>
          </w:rPr>
          <w:tab/>
        </w:r>
        <w:r>
          <w:rPr>
            <w:noProof/>
            <w:webHidden/>
          </w:rPr>
          <w:fldChar w:fldCharType="begin" w:fldLock="1"/>
        </w:r>
        <w:r>
          <w:rPr>
            <w:noProof/>
            <w:webHidden/>
          </w:rPr>
          <w:instrText xml:space="preserve"> PAGEREF _Toc83195963 \h </w:instrText>
        </w:r>
        <w:r>
          <w:rPr>
            <w:noProof/>
            <w:webHidden/>
          </w:rPr>
        </w:r>
        <w:r>
          <w:rPr>
            <w:noProof/>
            <w:webHidden/>
          </w:rPr>
          <w:fldChar w:fldCharType="separate"/>
        </w:r>
        <w:r>
          <w:rPr>
            <w:noProof/>
            <w:webHidden/>
          </w:rPr>
          <w:t>43</w:t>
        </w:r>
        <w:r>
          <w:rPr>
            <w:noProof/>
            <w:webHidden/>
          </w:rPr>
          <w:fldChar w:fldCharType="end"/>
        </w:r>
      </w:hyperlink>
    </w:p>
    <w:p w14:paraId="5589E147" w14:textId="77777777" w:rsidR="00DE4516" w:rsidRDefault="00DE4516">
      <w:pPr>
        <w:pStyle w:val="TOC2"/>
        <w:rPr>
          <w:rFonts w:asciiTheme="minorHAnsi" w:eastAsiaTheme="minorEastAsia" w:hAnsiTheme="minorHAnsi"/>
          <w:noProof/>
          <w:sz w:val="22"/>
          <w:szCs w:val="22"/>
        </w:rPr>
      </w:pPr>
      <w:hyperlink w:anchor="_Toc83195964" w:history="1">
        <w:r w:rsidRPr="00D5600E">
          <w:rPr>
            <w:color w:val="0000FF"/>
            <w:u w:val="single"/>
          </w:rPr>
          <w:t>3.2 Measures Directly Affecting Exports</w:t>
        </w:r>
        <w:r>
          <w:rPr>
            <w:noProof/>
            <w:webHidden/>
          </w:rPr>
          <w:tab/>
        </w:r>
        <w:r>
          <w:rPr>
            <w:noProof/>
            <w:webHidden/>
          </w:rPr>
          <w:fldChar w:fldCharType="begin" w:fldLock="1"/>
        </w:r>
        <w:r>
          <w:rPr>
            <w:noProof/>
            <w:webHidden/>
          </w:rPr>
          <w:instrText xml:space="preserve"> PAGEREF _Toc83195964 \h </w:instrText>
        </w:r>
        <w:r>
          <w:rPr>
            <w:noProof/>
            <w:webHidden/>
          </w:rPr>
        </w:r>
        <w:r>
          <w:rPr>
            <w:noProof/>
            <w:webHidden/>
          </w:rPr>
          <w:fldChar w:fldCharType="separate"/>
        </w:r>
        <w:r>
          <w:rPr>
            <w:noProof/>
            <w:webHidden/>
          </w:rPr>
          <w:t>43</w:t>
        </w:r>
        <w:r>
          <w:rPr>
            <w:noProof/>
            <w:webHidden/>
          </w:rPr>
          <w:fldChar w:fldCharType="end"/>
        </w:r>
      </w:hyperlink>
    </w:p>
    <w:p w14:paraId="25944FFD" w14:textId="77777777" w:rsidR="00DE4516" w:rsidRDefault="00DE4516">
      <w:pPr>
        <w:pStyle w:val="TOC3"/>
        <w:rPr>
          <w:rFonts w:asciiTheme="minorHAnsi" w:eastAsiaTheme="minorEastAsia" w:hAnsiTheme="minorHAnsi"/>
          <w:noProof/>
          <w:sz w:val="22"/>
          <w:szCs w:val="22"/>
        </w:rPr>
      </w:pPr>
      <w:hyperlink w:anchor="_Toc83195965" w:history="1">
        <w:r w:rsidRPr="00D5600E">
          <w:rPr>
            <w:color w:val="0000FF"/>
            <w:u w:val="single"/>
          </w:rPr>
          <w:t>3.2.1 Customs procedures and requirements</w:t>
        </w:r>
        <w:r>
          <w:rPr>
            <w:noProof/>
            <w:webHidden/>
          </w:rPr>
          <w:tab/>
        </w:r>
        <w:r>
          <w:rPr>
            <w:noProof/>
            <w:webHidden/>
          </w:rPr>
          <w:fldChar w:fldCharType="begin" w:fldLock="1"/>
        </w:r>
        <w:r>
          <w:rPr>
            <w:noProof/>
            <w:webHidden/>
          </w:rPr>
          <w:instrText xml:space="preserve"> PAGEREF _Toc83195965 \h </w:instrText>
        </w:r>
        <w:r>
          <w:rPr>
            <w:noProof/>
            <w:webHidden/>
          </w:rPr>
        </w:r>
        <w:r>
          <w:rPr>
            <w:noProof/>
            <w:webHidden/>
          </w:rPr>
          <w:fldChar w:fldCharType="separate"/>
        </w:r>
        <w:r>
          <w:rPr>
            <w:noProof/>
            <w:webHidden/>
          </w:rPr>
          <w:t>43</w:t>
        </w:r>
        <w:r>
          <w:rPr>
            <w:noProof/>
            <w:webHidden/>
          </w:rPr>
          <w:fldChar w:fldCharType="end"/>
        </w:r>
      </w:hyperlink>
    </w:p>
    <w:p w14:paraId="45CD65AA" w14:textId="77777777" w:rsidR="00DE4516" w:rsidRDefault="00DE4516">
      <w:pPr>
        <w:pStyle w:val="TOC3"/>
        <w:rPr>
          <w:rFonts w:asciiTheme="minorHAnsi" w:eastAsiaTheme="minorEastAsia" w:hAnsiTheme="minorHAnsi"/>
          <w:noProof/>
          <w:sz w:val="22"/>
          <w:szCs w:val="22"/>
        </w:rPr>
      </w:pPr>
      <w:hyperlink w:anchor="_Toc83195966" w:history="1">
        <w:r w:rsidRPr="00D5600E">
          <w:rPr>
            <w:color w:val="0000FF"/>
            <w:u w:val="single"/>
          </w:rPr>
          <w:t>3.2.2 Taxes, charges, and levies</w:t>
        </w:r>
        <w:r>
          <w:rPr>
            <w:noProof/>
            <w:webHidden/>
          </w:rPr>
          <w:tab/>
        </w:r>
        <w:r>
          <w:rPr>
            <w:noProof/>
            <w:webHidden/>
          </w:rPr>
          <w:fldChar w:fldCharType="begin" w:fldLock="1"/>
        </w:r>
        <w:r>
          <w:rPr>
            <w:noProof/>
            <w:webHidden/>
          </w:rPr>
          <w:instrText xml:space="preserve"> PAGEREF _Toc83195966 \h </w:instrText>
        </w:r>
        <w:r>
          <w:rPr>
            <w:noProof/>
            <w:webHidden/>
          </w:rPr>
        </w:r>
        <w:r>
          <w:rPr>
            <w:noProof/>
            <w:webHidden/>
          </w:rPr>
          <w:fldChar w:fldCharType="separate"/>
        </w:r>
        <w:r>
          <w:rPr>
            <w:noProof/>
            <w:webHidden/>
          </w:rPr>
          <w:t>43</w:t>
        </w:r>
        <w:r>
          <w:rPr>
            <w:noProof/>
            <w:webHidden/>
          </w:rPr>
          <w:fldChar w:fldCharType="end"/>
        </w:r>
      </w:hyperlink>
    </w:p>
    <w:p w14:paraId="73C212E8" w14:textId="77777777" w:rsidR="00DE4516" w:rsidRDefault="00DE4516">
      <w:pPr>
        <w:pStyle w:val="TOC3"/>
        <w:rPr>
          <w:rFonts w:asciiTheme="minorHAnsi" w:eastAsiaTheme="minorEastAsia" w:hAnsiTheme="minorHAnsi"/>
          <w:noProof/>
          <w:sz w:val="22"/>
          <w:szCs w:val="22"/>
        </w:rPr>
      </w:pPr>
      <w:hyperlink w:anchor="_Toc83195967" w:history="1">
        <w:r w:rsidRPr="00D5600E">
          <w:rPr>
            <w:color w:val="0000FF"/>
            <w:u w:val="single"/>
          </w:rPr>
          <w:t>3.2.3 Export prohibitions, restrictions, and licensing</w:t>
        </w:r>
        <w:r>
          <w:rPr>
            <w:noProof/>
            <w:webHidden/>
          </w:rPr>
          <w:tab/>
        </w:r>
        <w:r>
          <w:rPr>
            <w:noProof/>
            <w:webHidden/>
          </w:rPr>
          <w:fldChar w:fldCharType="begin" w:fldLock="1"/>
        </w:r>
        <w:r>
          <w:rPr>
            <w:noProof/>
            <w:webHidden/>
          </w:rPr>
          <w:instrText xml:space="preserve"> PAGEREF _Toc83195967 \h </w:instrText>
        </w:r>
        <w:r>
          <w:rPr>
            <w:noProof/>
            <w:webHidden/>
          </w:rPr>
        </w:r>
        <w:r>
          <w:rPr>
            <w:noProof/>
            <w:webHidden/>
          </w:rPr>
          <w:fldChar w:fldCharType="separate"/>
        </w:r>
        <w:r>
          <w:rPr>
            <w:noProof/>
            <w:webHidden/>
          </w:rPr>
          <w:t>43</w:t>
        </w:r>
        <w:r>
          <w:rPr>
            <w:noProof/>
            <w:webHidden/>
          </w:rPr>
          <w:fldChar w:fldCharType="end"/>
        </w:r>
      </w:hyperlink>
    </w:p>
    <w:p w14:paraId="775C3A8D" w14:textId="77777777" w:rsidR="00DE4516" w:rsidRDefault="00DE4516">
      <w:pPr>
        <w:pStyle w:val="TOC3"/>
        <w:rPr>
          <w:rFonts w:asciiTheme="minorHAnsi" w:eastAsiaTheme="minorEastAsia" w:hAnsiTheme="minorHAnsi"/>
          <w:noProof/>
          <w:sz w:val="22"/>
          <w:szCs w:val="22"/>
        </w:rPr>
      </w:pPr>
      <w:hyperlink w:anchor="_Toc83195968" w:history="1">
        <w:r w:rsidRPr="00D5600E">
          <w:rPr>
            <w:color w:val="0000FF"/>
            <w:u w:val="single"/>
          </w:rPr>
          <w:t>3.2.4 Export support and promotion</w:t>
        </w:r>
        <w:r>
          <w:rPr>
            <w:noProof/>
            <w:webHidden/>
          </w:rPr>
          <w:tab/>
        </w:r>
        <w:r>
          <w:rPr>
            <w:noProof/>
            <w:webHidden/>
          </w:rPr>
          <w:fldChar w:fldCharType="begin" w:fldLock="1"/>
        </w:r>
        <w:r>
          <w:rPr>
            <w:noProof/>
            <w:webHidden/>
          </w:rPr>
          <w:instrText xml:space="preserve"> PAGEREF _Toc83195968 \h </w:instrText>
        </w:r>
        <w:r>
          <w:rPr>
            <w:noProof/>
            <w:webHidden/>
          </w:rPr>
        </w:r>
        <w:r>
          <w:rPr>
            <w:noProof/>
            <w:webHidden/>
          </w:rPr>
          <w:fldChar w:fldCharType="separate"/>
        </w:r>
        <w:r>
          <w:rPr>
            <w:noProof/>
            <w:webHidden/>
          </w:rPr>
          <w:t>44</w:t>
        </w:r>
        <w:r>
          <w:rPr>
            <w:noProof/>
            <w:webHidden/>
          </w:rPr>
          <w:fldChar w:fldCharType="end"/>
        </w:r>
      </w:hyperlink>
    </w:p>
    <w:p w14:paraId="283F1F32" w14:textId="77777777" w:rsidR="00DE4516" w:rsidRDefault="00DE4516">
      <w:pPr>
        <w:pStyle w:val="TOC3"/>
        <w:rPr>
          <w:rFonts w:asciiTheme="minorHAnsi" w:eastAsiaTheme="minorEastAsia" w:hAnsiTheme="minorHAnsi"/>
          <w:noProof/>
          <w:sz w:val="22"/>
          <w:szCs w:val="22"/>
        </w:rPr>
      </w:pPr>
      <w:hyperlink w:anchor="_Toc83195969" w:history="1">
        <w:r w:rsidRPr="00D5600E">
          <w:rPr>
            <w:color w:val="0000FF"/>
            <w:u w:val="single"/>
          </w:rPr>
          <w:t>3.2.5 Export finance, insurance, and guarantees</w:t>
        </w:r>
        <w:r>
          <w:rPr>
            <w:noProof/>
            <w:webHidden/>
          </w:rPr>
          <w:tab/>
        </w:r>
        <w:r>
          <w:rPr>
            <w:noProof/>
            <w:webHidden/>
          </w:rPr>
          <w:fldChar w:fldCharType="begin" w:fldLock="1"/>
        </w:r>
        <w:r>
          <w:rPr>
            <w:noProof/>
            <w:webHidden/>
          </w:rPr>
          <w:instrText xml:space="preserve"> PAGEREF _Toc83195969 \h </w:instrText>
        </w:r>
        <w:r>
          <w:rPr>
            <w:noProof/>
            <w:webHidden/>
          </w:rPr>
        </w:r>
        <w:r>
          <w:rPr>
            <w:noProof/>
            <w:webHidden/>
          </w:rPr>
          <w:fldChar w:fldCharType="separate"/>
        </w:r>
        <w:r>
          <w:rPr>
            <w:noProof/>
            <w:webHidden/>
          </w:rPr>
          <w:t>45</w:t>
        </w:r>
        <w:r>
          <w:rPr>
            <w:noProof/>
            <w:webHidden/>
          </w:rPr>
          <w:fldChar w:fldCharType="end"/>
        </w:r>
      </w:hyperlink>
    </w:p>
    <w:p w14:paraId="189C9144" w14:textId="77777777" w:rsidR="00DE4516" w:rsidRDefault="00DE4516">
      <w:pPr>
        <w:pStyle w:val="TOC2"/>
        <w:rPr>
          <w:rFonts w:asciiTheme="minorHAnsi" w:eastAsiaTheme="minorEastAsia" w:hAnsiTheme="minorHAnsi"/>
          <w:noProof/>
          <w:sz w:val="22"/>
          <w:szCs w:val="22"/>
        </w:rPr>
      </w:pPr>
      <w:hyperlink w:anchor="_Toc83195970" w:history="1">
        <w:r w:rsidRPr="00D5600E">
          <w:rPr>
            <w:color w:val="0000FF"/>
            <w:u w:val="single"/>
          </w:rPr>
          <w:t>3.3 Measures Affecting Production and Trade</w:t>
        </w:r>
        <w:r>
          <w:rPr>
            <w:noProof/>
            <w:webHidden/>
          </w:rPr>
          <w:tab/>
        </w:r>
        <w:r>
          <w:rPr>
            <w:noProof/>
            <w:webHidden/>
          </w:rPr>
          <w:fldChar w:fldCharType="begin" w:fldLock="1"/>
        </w:r>
        <w:r>
          <w:rPr>
            <w:noProof/>
            <w:webHidden/>
          </w:rPr>
          <w:instrText xml:space="preserve"> PAGEREF _Toc83195970 \h </w:instrText>
        </w:r>
        <w:r>
          <w:rPr>
            <w:noProof/>
            <w:webHidden/>
          </w:rPr>
        </w:r>
        <w:r>
          <w:rPr>
            <w:noProof/>
            <w:webHidden/>
          </w:rPr>
          <w:fldChar w:fldCharType="separate"/>
        </w:r>
        <w:r>
          <w:rPr>
            <w:noProof/>
            <w:webHidden/>
          </w:rPr>
          <w:t>46</w:t>
        </w:r>
        <w:r>
          <w:rPr>
            <w:noProof/>
            <w:webHidden/>
          </w:rPr>
          <w:fldChar w:fldCharType="end"/>
        </w:r>
      </w:hyperlink>
    </w:p>
    <w:p w14:paraId="497D97D9" w14:textId="77777777" w:rsidR="00DE4516" w:rsidRDefault="00DE4516">
      <w:pPr>
        <w:pStyle w:val="TOC3"/>
        <w:rPr>
          <w:rFonts w:asciiTheme="minorHAnsi" w:eastAsiaTheme="minorEastAsia" w:hAnsiTheme="minorHAnsi"/>
          <w:noProof/>
          <w:sz w:val="22"/>
          <w:szCs w:val="22"/>
        </w:rPr>
      </w:pPr>
      <w:hyperlink w:anchor="_Toc83195971" w:history="1">
        <w:r w:rsidRPr="00D5600E">
          <w:rPr>
            <w:color w:val="0000FF"/>
            <w:u w:val="single"/>
          </w:rPr>
          <w:t>3.3.1 Incentives</w:t>
        </w:r>
        <w:r>
          <w:rPr>
            <w:noProof/>
            <w:webHidden/>
          </w:rPr>
          <w:tab/>
        </w:r>
        <w:r>
          <w:rPr>
            <w:noProof/>
            <w:webHidden/>
          </w:rPr>
          <w:fldChar w:fldCharType="begin" w:fldLock="1"/>
        </w:r>
        <w:r>
          <w:rPr>
            <w:noProof/>
            <w:webHidden/>
          </w:rPr>
          <w:instrText xml:space="preserve"> PAGEREF _Toc83195971 \h </w:instrText>
        </w:r>
        <w:r>
          <w:rPr>
            <w:noProof/>
            <w:webHidden/>
          </w:rPr>
        </w:r>
        <w:r>
          <w:rPr>
            <w:noProof/>
            <w:webHidden/>
          </w:rPr>
          <w:fldChar w:fldCharType="separate"/>
        </w:r>
        <w:r>
          <w:rPr>
            <w:noProof/>
            <w:webHidden/>
          </w:rPr>
          <w:t>46</w:t>
        </w:r>
        <w:r>
          <w:rPr>
            <w:noProof/>
            <w:webHidden/>
          </w:rPr>
          <w:fldChar w:fldCharType="end"/>
        </w:r>
      </w:hyperlink>
    </w:p>
    <w:p w14:paraId="723737DF" w14:textId="77777777" w:rsidR="00DE4516" w:rsidRDefault="00DE4516">
      <w:pPr>
        <w:pStyle w:val="TOC3"/>
        <w:rPr>
          <w:rFonts w:asciiTheme="minorHAnsi" w:eastAsiaTheme="minorEastAsia" w:hAnsiTheme="minorHAnsi"/>
          <w:noProof/>
          <w:sz w:val="22"/>
          <w:szCs w:val="22"/>
        </w:rPr>
      </w:pPr>
      <w:hyperlink w:anchor="_Toc83195972" w:history="1">
        <w:r w:rsidRPr="00D5600E">
          <w:rPr>
            <w:color w:val="0000FF"/>
            <w:u w:val="single"/>
          </w:rPr>
          <w:t>3.3.2 Standards and other technical requirements</w:t>
        </w:r>
        <w:r>
          <w:rPr>
            <w:noProof/>
            <w:webHidden/>
          </w:rPr>
          <w:tab/>
        </w:r>
        <w:r>
          <w:rPr>
            <w:noProof/>
            <w:webHidden/>
          </w:rPr>
          <w:fldChar w:fldCharType="begin" w:fldLock="1"/>
        </w:r>
        <w:r>
          <w:rPr>
            <w:noProof/>
            <w:webHidden/>
          </w:rPr>
          <w:instrText xml:space="preserve"> PAGEREF _Toc83195972 \h </w:instrText>
        </w:r>
        <w:r>
          <w:rPr>
            <w:noProof/>
            <w:webHidden/>
          </w:rPr>
        </w:r>
        <w:r>
          <w:rPr>
            <w:noProof/>
            <w:webHidden/>
          </w:rPr>
          <w:fldChar w:fldCharType="separate"/>
        </w:r>
        <w:r>
          <w:rPr>
            <w:noProof/>
            <w:webHidden/>
          </w:rPr>
          <w:t>47</w:t>
        </w:r>
        <w:r>
          <w:rPr>
            <w:noProof/>
            <w:webHidden/>
          </w:rPr>
          <w:fldChar w:fldCharType="end"/>
        </w:r>
      </w:hyperlink>
    </w:p>
    <w:p w14:paraId="4B675042" w14:textId="77777777" w:rsidR="00DE4516" w:rsidRDefault="00DE4516">
      <w:pPr>
        <w:pStyle w:val="TOC3"/>
        <w:rPr>
          <w:rFonts w:asciiTheme="minorHAnsi" w:eastAsiaTheme="minorEastAsia" w:hAnsiTheme="minorHAnsi"/>
          <w:noProof/>
          <w:sz w:val="22"/>
          <w:szCs w:val="22"/>
        </w:rPr>
      </w:pPr>
      <w:hyperlink w:anchor="_Toc83195973" w:history="1">
        <w:r w:rsidRPr="00D5600E">
          <w:rPr>
            <w:color w:val="0000FF"/>
            <w:u w:val="single"/>
          </w:rPr>
          <w:t>3.3.3 Sanitary and phytosanitary requirements</w:t>
        </w:r>
        <w:r>
          <w:rPr>
            <w:noProof/>
            <w:webHidden/>
          </w:rPr>
          <w:tab/>
        </w:r>
        <w:r>
          <w:rPr>
            <w:noProof/>
            <w:webHidden/>
          </w:rPr>
          <w:fldChar w:fldCharType="begin" w:fldLock="1"/>
        </w:r>
        <w:r>
          <w:rPr>
            <w:noProof/>
            <w:webHidden/>
          </w:rPr>
          <w:instrText xml:space="preserve"> PAGEREF _Toc83195973 \h </w:instrText>
        </w:r>
        <w:r>
          <w:rPr>
            <w:noProof/>
            <w:webHidden/>
          </w:rPr>
        </w:r>
        <w:r>
          <w:rPr>
            <w:noProof/>
            <w:webHidden/>
          </w:rPr>
          <w:fldChar w:fldCharType="separate"/>
        </w:r>
        <w:r>
          <w:rPr>
            <w:noProof/>
            <w:webHidden/>
          </w:rPr>
          <w:t>48</w:t>
        </w:r>
        <w:r>
          <w:rPr>
            <w:noProof/>
            <w:webHidden/>
          </w:rPr>
          <w:fldChar w:fldCharType="end"/>
        </w:r>
      </w:hyperlink>
    </w:p>
    <w:p w14:paraId="557EE3B2" w14:textId="77777777" w:rsidR="00DE4516" w:rsidRDefault="00DE4516">
      <w:pPr>
        <w:pStyle w:val="TOC3"/>
        <w:rPr>
          <w:rFonts w:asciiTheme="minorHAnsi" w:eastAsiaTheme="minorEastAsia" w:hAnsiTheme="minorHAnsi"/>
          <w:noProof/>
          <w:sz w:val="22"/>
          <w:szCs w:val="22"/>
        </w:rPr>
      </w:pPr>
      <w:hyperlink w:anchor="_Toc83195974" w:history="1">
        <w:r w:rsidRPr="00D5600E">
          <w:rPr>
            <w:color w:val="0000FF"/>
            <w:u w:val="single"/>
          </w:rPr>
          <w:t>3.3.4 Competition policy, consumer protection, and price controls</w:t>
        </w:r>
        <w:r>
          <w:rPr>
            <w:noProof/>
            <w:webHidden/>
          </w:rPr>
          <w:tab/>
        </w:r>
        <w:r>
          <w:rPr>
            <w:noProof/>
            <w:webHidden/>
          </w:rPr>
          <w:fldChar w:fldCharType="begin" w:fldLock="1"/>
        </w:r>
        <w:r>
          <w:rPr>
            <w:noProof/>
            <w:webHidden/>
          </w:rPr>
          <w:instrText xml:space="preserve"> PAGEREF _Toc83195974 \h </w:instrText>
        </w:r>
        <w:r>
          <w:rPr>
            <w:noProof/>
            <w:webHidden/>
          </w:rPr>
        </w:r>
        <w:r>
          <w:rPr>
            <w:noProof/>
            <w:webHidden/>
          </w:rPr>
          <w:fldChar w:fldCharType="separate"/>
        </w:r>
        <w:r>
          <w:rPr>
            <w:noProof/>
            <w:webHidden/>
          </w:rPr>
          <w:t>49</w:t>
        </w:r>
        <w:r>
          <w:rPr>
            <w:noProof/>
            <w:webHidden/>
          </w:rPr>
          <w:fldChar w:fldCharType="end"/>
        </w:r>
      </w:hyperlink>
    </w:p>
    <w:p w14:paraId="7FF1F6D5" w14:textId="77777777" w:rsidR="00DE4516" w:rsidRDefault="00DE4516">
      <w:pPr>
        <w:pStyle w:val="TOC3"/>
        <w:rPr>
          <w:rFonts w:asciiTheme="minorHAnsi" w:eastAsiaTheme="minorEastAsia" w:hAnsiTheme="minorHAnsi"/>
          <w:noProof/>
          <w:sz w:val="22"/>
          <w:szCs w:val="22"/>
        </w:rPr>
      </w:pPr>
      <w:hyperlink w:anchor="_Toc83195975" w:history="1">
        <w:r w:rsidRPr="00D5600E">
          <w:rPr>
            <w:color w:val="0000FF"/>
            <w:u w:val="single"/>
          </w:rPr>
          <w:t>3.3.5 State trading, state-owned enterprises, and privatization</w:t>
        </w:r>
        <w:r>
          <w:rPr>
            <w:noProof/>
            <w:webHidden/>
          </w:rPr>
          <w:tab/>
        </w:r>
        <w:r>
          <w:rPr>
            <w:noProof/>
            <w:webHidden/>
          </w:rPr>
          <w:fldChar w:fldCharType="begin" w:fldLock="1"/>
        </w:r>
        <w:r>
          <w:rPr>
            <w:noProof/>
            <w:webHidden/>
          </w:rPr>
          <w:instrText xml:space="preserve"> PAGEREF _Toc83195975 \h </w:instrText>
        </w:r>
        <w:r>
          <w:rPr>
            <w:noProof/>
            <w:webHidden/>
          </w:rPr>
        </w:r>
        <w:r>
          <w:rPr>
            <w:noProof/>
            <w:webHidden/>
          </w:rPr>
          <w:fldChar w:fldCharType="separate"/>
        </w:r>
        <w:r>
          <w:rPr>
            <w:noProof/>
            <w:webHidden/>
          </w:rPr>
          <w:t>50</w:t>
        </w:r>
        <w:r>
          <w:rPr>
            <w:noProof/>
            <w:webHidden/>
          </w:rPr>
          <w:fldChar w:fldCharType="end"/>
        </w:r>
      </w:hyperlink>
    </w:p>
    <w:p w14:paraId="00973B0D" w14:textId="77777777" w:rsidR="00DE4516" w:rsidRDefault="00DE4516">
      <w:pPr>
        <w:pStyle w:val="TOC3"/>
        <w:rPr>
          <w:rFonts w:asciiTheme="minorHAnsi" w:eastAsiaTheme="minorEastAsia" w:hAnsiTheme="minorHAnsi"/>
          <w:noProof/>
          <w:sz w:val="22"/>
          <w:szCs w:val="22"/>
        </w:rPr>
      </w:pPr>
      <w:hyperlink w:anchor="_Toc83195976" w:history="1">
        <w:r w:rsidRPr="00D5600E">
          <w:rPr>
            <w:color w:val="0000FF"/>
            <w:u w:val="single"/>
          </w:rPr>
          <w:t>3.3.6 Government procurement</w:t>
        </w:r>
        <w:r>
          <w:rPr>
            <w:noProof/>
            <w:webHidden/>
          </w:rPr>
          <w:tab/>
        </w:r>
        <w:r>
          <w:rPr>
            <w:noProof/>
            <w:webHidden/>
          </w:rPr>
          <w:fldChar w:fldCharType="begin" w:fldLock="1"/>
        </w:r>
        <w:r>
          <w:rPr>
            <w:noProof/>
            <w:webHidden/>
          </w:rPr>
          <w:instrText xml:space="preserve"> PAGEREF _Toc83195976 \h </w:instrText>
        </w:r>
        <w:r>
          <w:rPr>
            <w:noProof/>
            <w:webHidden/>
          </w:rPr>
        </w:r>
        <w:r>
          <w:rPr>
            <w:noProof/>
            <w:webHidden/>
          </w:rPr>
          <w:fldChar w:fldCharType="separate"/>
        </w:r>
        <w:r>
          <w:rPr>
            <w:noProof/>
            <w:webHidden/>
          </w:rPr>
          <w:t>51</w:t>
        </w:r>
        <w:r>
          <w:rPr>
            <w:noProof/>
            <w:webHidden/>
          </w:rPr>
          <w:fldChar w:fldCharType="end"/>
        </w:r>
      </w:hyperlink>
    </w:p>
    <w:p w14:paraId="44C103F7" w14:textId="77777777" w:rsidR="00DE4516" w:rsidRDefault="00DE4516">
      <w:pPr>
        <w:pStyle w:val="TOC3"/>
        <w:rPr>
          <w:rFonts w:asciiTheme="minorHAnsi" w:eastAsiaTheme="minorEastAsia" w:hAnsiTheme="minorHAnsi"/>
          <w:noProof/>
          <w:sz w:val="22"/>
          <w:szCs w:val="22"/>
        </w:rPr>
      </w:pPr>
      <w:hyperlink w:anchor="_Toc83195977" w:history="1">
        <w:r w:rsidRPr="00D5600E">
          <w:rPr>
            <w:color w:val="0000FF"/>
            <w:u w:val="single"/>
          </w:rPr>
          <w:t>3.3.7 Intellectual property rights</w:t>
        </w:r>
        <w:r>
          <w:rPr>
            <w:noProof/>
            <w:webHidden/>
          </w:rPr>
          <w:tab/>
        </w:r>
        <w:r>
          <w:rPr>
            <w:noProof/>
            <w:webHidden/>
          </w:rPr>
          <w:fldChar w:fldCharType="begin" w:fldLock="1"/>
        </w:r>
        <w:r>
          <w:rPr>
            <w:noProof/>
            <w:webHidden/>
          </w:rPr>
          <w:instrText xml:space="preserve"> PAGEREF _Toc83195977 \h </w:instrText>
        </w:r>
        <w:r>
          <w:rPr>
            <w:noProof/>
            <w:webHidden/>
          </w:rPr>
        </w:r>
        <w:r>
          <w:rPr>
            <w:noProof/>
            <w:webHidden/>
          </w:rPr>
          <w:fldChar w:fldCharType="separate"/>
        </w:r>
        <w:r>
          <w:rPr>
            <w:noProof/>
            <w:webHidden/>
          </w:rPr>
          <w:t>52</w:t>
        </w:r>
        <w:r>
          <w:rPr>
            <w:noProof/>
            <w:webHidden/>
          </w:rPr>
          <w:fldChar w:fldCharType="end"/>
        </w:r>
      </w:hyperlink>
    </w:p>
    <w:p w14:paraId="3BC1F4F2" w14:textId="77777777" w:rsidR="00DE4516" w:rsidRDefault="00DE4516">
      <w:pPr>
        <w:pStyle w:val="TOC4"/>
        <w:rPr>
          <w:rFonts w:asciiTheme="minorHAnsi" w:eastAsiaTheme="minorEastAsia" w:hAnsiTheme="minorHAnsi"/>
          <w:noProof/>
          <w:sz w:val="22"/>
          <w:szCs w:val="22"/>
        </w:rPr>
      </w:pPr>
      <w:hyperlink w:anchor="_Toc83195978" w:history="1">
        <w:r w:rsidRPr="00D5600E">
          <w:rPr>
            <w:color w:val="0000FF"/>
            <w:u w:val="single"/>
          </w:rPr>
          <w:t>3.3.7.1 Overview</w:t>
        </w:r>
        <w:r>
          <w:rPr>
            <w:noProof/>
            <w:webHidden/>
          </w:rPr>
          <w:tab/>
        </w:r>
        <w:r>
          <w:rPr>
            <w:noProof/>
            <w:webHidden/>
          </w:rPr>
          <w:fldChar w:fldCharType="begin" w:fldLock="1"/>
        </w:r>
        <w:r>
          <w:rPr>
            <w:noProof/>
            <w:webHidden/>
          </w:rPr>
          <w:instrText xml:space="preserve"> PAGEREF _Toc83195978 \h </w:instrText>
        </w:r>
        <w:r>
          <w:rPr>
            <w:noProof/>
            <w:webHidden/>
          </w:rPr>
        </w:r>
        <w:r>
          <w:rPr>
            <w:noProof/>
            <w:webHidden/>
          </w:rPr>
          <w:fldChar w:fldCharType="separate"/>
        </w:r>
        <w:r>
          <w:rPr>
            <w:noProof/>
            <w:webHidden/>
          </w:rPr>
          <w:t>52</w:t>
        </w:r>
        <w:r>
          <w:rPr>
            <w:noProof/>
            <w:webHidden/>
          </w:rPr>
          <w:fldChar w:fldCharType="end"/>
        </w:r>
      </w:hyperlink>
    </w:p>
    <w:p w14:paraId="1ADEC188" w14:textId="77777777" w:rsidR="00DE4516" w:rsidRDefault="00DE4516">
      <w:pPr>
        <w:pStyle w:val="TOC4"/>
        <w:rPr>
          <w:rFonts w:asciiTheme="minorHAnsi" w:eastAsiaTheme="minorEastAsia" w:hAnsiTheme="minorHAnsi"/>
          <w:noProof/>
          <w:sz w:val="22"/>
          <w:szCs w:val="22"/>
        </w:rPr>
      </w:pPr>
      <w:hyperlink w:anchor="_Toc83195979" w:history="1">
        <w:r w:rsidRPr="00D5600E">
          <w:rPr>
            <w:color w:val="0000FF"/>
            <w:u w:val="single"/>
          </w:rPr>
          <w:t>3.3.7.2 Patents</w:t>
        </w:r>
        <w:r>
          <w:rPr>
            <w:noProof/>
            <w:webHidden/>
          </w:rPr>
          <w:tab/>
        </w:r>
        <w:r>
          <w:rPr>
            <w:noProof/>
            <w:webHidden/>
          </w:rPr>
          <w:fldChar w:fldCharType="begin" w:fldLock="1"/>
        </w:r>
        <w:r>
          <w:rPr>
            <w:noProof/>
            <w:webHidden/>
          </w:rPr>
          <w:instrText xml:space="preserve"> PAGEREF _Toc83195979 \h </w:instrText>
        </w:r>
        <w:r>
          <w:rPr>
            <w:noProof/>
            <w:webHidden/>
          </w:rPr>
        </w:r>
        <w:r>
          <w:rPr>
            <w:noProof/>
            <w:webHidden/>
          </w:rPr>
          <w:fldChar w:fldCharType="separate"/>
        </w:r>
        <w:r>
          <w:rPr>
            <w:noProof/>
            <w:webHidden/>
          </w:rPr>
          <w:t>54</w:t>
        </w:r>
        <w:r>
          <w:rPr>
            <w:noProof/>
            <w:webHidden/>
          </w:rPr>
          <w:fldChar w:fldCharType="end"/>
        </w:r>
      </w:hyperlink>
    </w:p>
    <w:p w14:paraId="6EB33B2C" w14:textId="77777777" w:rsidR="00DE4516" w:rsidRDefault="00DE4516">
      <w:pPr>
        <w:pStyle w:val="TOC4"/>
        <w:rPr>
          <w:rFonts w:asciiTheme="minorHAnsi" w:eastAsiaTheme="minorEastAsia" w:hAnsiTheme="minorHAnsi"/>
          <w:noProof/>
          <w:sz w:val="22"/>
          <w:szCs w:val="22"/>
        </w:rPr>
      </w:pPr>
      <w:hyperlink w:anchor="_Toc83195980" w:history="1">
        <w:r w:rsidRPr="00D5600E">
          <w:rPr>
            <w:color w:val="0000FF"/>
            <w:u w:val="single"/>
          </w:rPr>
          <w:t>3.3.7.3 Copyright and related rights</w:t>
        </w:r>
        <w:r>
          <w:rPr>
            <w:noProof/>
            <w:webHidden/>
          </w:rPr>
          <w:tab/>
        </w:r>
        <w:r>
          <w:rPr>
            <w:noProof/>
            <w:webHidden/>
          </w:rPr>
          <w:fldChar w:fldCharType="begin" w:fldLock="1"/>
        </w:r>
        <w:r>
          <w:rPr>
            <w:noProof/>
            <w:webHidden/>
          </w:rPr>
          <w:instrText xml:space="preserve"> PAGEREF _Toc83195980 \h </w:instrText>
        </w:r>
        <w:r>
          <w:rPr>
            <w:noProof/>
            <w:webHidden/>
          </w:rPr>
        </w:r>
        <w:r>
          <w:rPr>
            <w:noProof/>
            <w:webHidden/>
          </w:rPr>
          <w:fldChar w:fldCharType="separate"/>
        </w:r>
        <w:r>
          <w:rPr>
            <w:noProof/>
            <w:webHidden/>
          </w:rPr>
          <w:t>55</w:t>
        </w:r>
        <w:r>
          <w:rPr>
            <w:noProof/>
            <w:webHidden/>
          </w:rPr>
          <w:fldChar w:fldCharType="end"/>
        </w:r>
      </w:hyperlink>
    </w:p>
    <w:p w14:paraId="6CF1ECBC" w14:textId="77777777" w:rsidR="00DE4516" w:rsidRDefault="00DE4516">
      <w:pPr>
        <w:pStyle w:val="TOC4"/>
        <w:rPr>
          <w:rFonts w:asciiTheme="minorHAnsi" w:eastAsiaTheme="minorEastAsia" w:hAnsiTheme="minorHAnsi"/>
          <w:noProof/>
          <w:sz w:val="22"/>
          <w:szCs w:val="22"/>
        </w:rPr>
      </w:pPr>
      <w:hyperlink w:anchor="_Toc83195981" w:history="1">
        <w:r w:rsidRPr="00D5600E">
          <w:rPr>
            <w:color w:val="0000FF"/>
            <w:u w:val="single"/>
          </w:rPr>
          <w:t>3.3.7.4 Trademarks</w:t>
        </w:r>
        <w:r>
          <w:rPr>
            <w:noProof/>
            <w:webHidden/>
          </w:rPr>
          <w:tab/>
        </w:r>
        <w:r>
          <w:rPr>
            <w:noProof/>
            <w:webHidden/>
          </w:rPr>
          <w:fldChar w:fldCharType="begin" w:fldLock="1"/>
        </w:r>
        <w:r>
          <w:rPr>
            <w:noProof/>
            <w:webHidden/>
          </w:rPr>
          <w:instrText xml:space="preserve"> PAGEREF _Toc83195981 \h </w:instrText>
        </w:r>
        <w:r>
          <w:rPr>
            <w:noProof/>
            <w:webHidden/>
          </w:rPr>
        </w:r>
        <w:r>
          <w:rPr>
            <w:noProof/>
            <w:webHidden/>
          </w:rPr>
          <w:fldChar w:fldCharType="separate"/>
        </w:r>
        <w:r>
          <w:rPr>
            <w:noProof/>
            <w:webHidden/>
          </w:rPr>
          <w:t>55</w:t>
        </w:r>
        <w:r>
          <w:rPr>
            <w:noProof/>
            <w:webHidden/>
          </w:rPr>
          <w:fldChar w:fldCharType="end"/>
        </w:r>
      </w:hyperlink>
    </w:p>
    <w:p w14:paraId="1813DBEA" w14:textId="77777777" w:rsidR="00DE4516" w:rsidRDefault="00DE4516">
      <w:pPr>
        <w:pStyle w:val="TOC4"/>
        <w:rPr>
          <w:rFonts w:asciiTheme="minorHAnsi" w:eastAsiaTheme="minorEastAsia" w:hAnsiTheme="minorHAnsi"/>
          <w:noProof/>
          <w:sz w:val="22"/>
          <w:szCs w:val="22"/>
        </w:rPr>
      </w:pPr>
      <w:hyperlink w:anchor="_Toc83195982" w:history="1">
        <w:r w:rsidRPr="00D5600E">
          <w:rPr>
            <w:color w:val="0000FF"/>
            <w:u w:val="single"/>
          </w:rPr>
          <w:t>3.3.7.5 Industrial design and layout-designs of integrated circuits</w:t>
        </w:r>
        <w:r>
          <w:rPr>
            <w:noProof/>
            <w:webHidden/>
          </w:rPr>
          <w:tab/>
        </w:r>
        <w:r>
          <w:rPr>
            <w:noProof/>
            <w:webHidden/>
          </w:rPr>
          <w:fldChar w:fldCharType="begin" w:fldLock="1"/>
        </w:r>
        <w:r>
          <w:rPr>
            <w:noProof/>
            <w:webHidden/>
          </w:rPr>
          <w:instrText xml:space="preserve"> PAGEREF _Toc83195982 \h </w:instrText>
        </w:r>
        <w:r>
          <w:rPr>
            <w:noProof/>
            <w:webHidden/>
          </w:rPr>
        </w:r>
        <w:r>
          <w:rPr>
            <w:noProof/>
            <w:webHidden/>
          </w:rPr>
          <w:fldChar w:fldCharType="separate"/>
        </w:r>
        <w:r>
          <w:rPr>
            <w:noProof/>
            <w:webHidden/>
          </w:rPr>
          <w:t>56</w:t>
        </w:r>
        <w:r>
          <w:rPr>
            <w:noProof/>
            <w:webHidden/>
          </w:rPr>
          <w:fldChar w:fldCharType="end"/>
        </w:r>
      </w:hyperlink>
    </w:p>
    <w:p w14:paraId="4CE85DF9" w14:textId="77777777" w:rsidR="00DE4516" w:rsidRDefault="00DE4516">
      <w:pPr>
        <w:pStyle w:val="TOC4"/>
        <w:rPr>
          <w:rFonts w:asciiTheme="minorHAnsi" w:eastAsiaTheme="minorEastAsia" w:hAnsiTheme="minorHAnsi"/>
          <w:noProof/>
          <w:sz w:val="22"/>
          <w:szCs w:val="22"/>
        </w:rPr>
      </w:pPr>
      <w:hyperlink w:anchor="_Toc83195983" w:history="1">
        <w:r w:rsidRPr="00D5600E">
          <w:rPr>
            <w:color w:val="0000FF"/>
            <w:u w:val="single"/>
          </w:rPr>
          <w:t>3.3.7.6 Geographical indications</w:t>
        </w:r>
        <w:r>
          <w:rPr>
            <w:noProof/>
            <w:webHidden/>
          </w:rPr>
          <w:tab/>
        </w:r>
        <w:r>
          <w:rPr>
            <w:noProof/>
            <w:webHidden/>
          </w:rPr>
          <w:fldChar w:fldCharType="begin" w:fldLock="1"/>
        </w:r>
        <w:r>
          <w:rPr>
            <w:noProof/>
            <w:webHidden/>
          </w:rPr>
          <w:instrText xml:space="preserve"> PAGEREF _Toc83195983 \h </w:instrText>
        </w:r>
        <w:r>
          <w:rPr>
            <w:noProof/>
            <w:webHidden/>
          </w:rPr>
        </w:r>
        <w:r>
          <w:rPr>
            <w:noProof/>
            <w:webHidden/>
          </w:rPr>
          <w:fldChar w:fldCharType="separate"/>
        </w:r>
        <w:r>
          <w:rPr>
            <w:noProof/>
            <w:webHidden/>
          </w:rPr>
          <w:t>56</w:t>
        </w:r>
        <w:r>
          <w:rPr>
            <w:noProof/>
            <w:webHidden/>
          </w:rPr>
          <w:fldChar w:fldCharType="end"/>
        </w:r>
      </w:hyperlink>
    </w:p>
    <w:p w14:paraId="0969FB9E" w14:textId="77777777" w:rsidR="00DE4516" w:rsidRDefault="00DE4516">
      <w:pPr>
        <w:pStyle w:val="TOC4"/>
        <w:rPr>
          <w:rFonts w:asciiTheme="minorHAnsi" w:eastAsiaTheme="minorEastAsia" w:hAnsiTheme="minorHAnsi"/>
          <w:noProof/>
          <w:sz w:val="22"/>
          <w:szCs w:val="22"/>
        </w:rPr>
      </w:pPr>
      <w:hyperlink w:anchor="_Toc83195984" w:history="1">
        <w:r w:rsidRPr="00D5600E">
          <w:rPr>
            <w:color w:val="0000FF"/>
            <w:u w:val="single"/>
          </w:rPr>
          <w:t>3.3.7.7 Plant breeders' rights</w:t>
        </w:r>
        <w:r>
          <w:rPr>
            <w:noProof/>
            <w:webHidden/>
          </w:rPr>
          <w:tab/>
        </w:r>
        <w:r>
          <w:rPr>
            <w:noProof/>
            <w:webHidden/>
          </w:rPr>
          <w:fldChar w:fldCharType="begin" w:fldLock="1"/>
        </w:r>
        <w:r>
          <w:rPr>
            <w:noProof/>
            <w:webHidden/>
          </w:rPr>
          <w:instrText xml:space="preserve"> PAGEREF _Toc83195984 \h </w:instrText>
        </w:r>
        <w:r>
          <w:rPr>
            <w:noProof/>
            <w:webHidden/>
          </w:rPr>
        </w:r>
        <w:r>
          <w:rPr>
            <w:noProof/>
            <w:webHidden/>
          </w:rPr>
          <w:fldChar w:fldCharType="separate"/>
        </w:r>
        <w:r>
          <w:rPr>
            <w:noProof/>
            <w:webHidden/>
          </w:rPr>
          <w:t>57</w:t>
        </w:r>
        <w:r>
          <w:rPr>
            <w:noProof/>
            <w:webHidden/>
          </w:rPr>
          <w:fldChar w:fldCharType="end"/>
        </w:r>
      </w:hyperlink>
    </w:p>
    <w:p w14:paraId="41E68DED" w14:textId="77777777" w:rsidR="00DE4516" w:rsidRDefault="00DE4516">
      <w:pPr>
        <w:pStyle w:val="TOC4"/>
        <w:rPr>
          <w:rFonts w:asciiTheme="minorHAnsi" w:eastAsiaTheme="minorEastAsia" w:hAnsiTheme="minorHAnsi"/>
          <w:noProof/>
          <w:sz w:val="22"/>
          <w:szCs w:val="22"/>
        </w:rPr>
      </w:pPr>
      <w:hyperlink w:anchor="_Toc83195985" w:history="1">
        <w:r w:rsidRPr="00D5600E">
          <w:rPr>
            <w:color w:val="0000FF"/>
            <w:u w:val="single"/>
          </w:rPr>
          <w:t>3.3.7.8 Enforcement</w:t>
        </w:r>
        <w:r>
          <w:rPr>
            <w:noProof/>
            <w:webHidden/>
          </w:rPr>
          <w:tab/>
        </w:r>
        <w:r>
          <w:rPr>
            <w:noProof/>
            <w:webHidden/>
          </w:rPr>
          <w:fldChar w:fldCharType="begin" w:fldLock="1"/>
        </w:r>
        <w:r>
          <w:rPr>
            <w:noProof/>
            <w:webHidden/>
          </w:rPr>
          <w:instrText xml:space="preserve"> PAGEREF _Toc83195985 \h </w:instrText>
        </w:r>
        <w:r>
          <w:rPr>
            <w:noProof/>
            <w:webHidden/>
          </w:rPr>
        </w:r>
        <w:r>
          <w:rPr>
            <w:noProof/>
            <w:webHidden/>
          </w:rPr>
          <w:fldChar w:fldCharType="separate"/>
        </w:r>
        <w:r>
          <w:rPr>
            <w:noProof/>
            <w:webHidden/>
          </w:rPr>
          <w:t>57</w:t>
        </w:r>
        <w:r>
          <w:rPr>
            <w:noProof/>
            <w:webHidden/>
          </w:rPr>
          <w:fldChar w:fldCharType="end"/>
        </w:r>
      </w:hyperlink>
    </w:p>
    <w:p w14:paraId="44DF9969" w14:textId="77777777" w:rsidR="00DE4516" w:rsidRPr="00BE1B87" w:rsidRDefault="00DE4516">
      <w:pPr>
        <w:pStyle w:val="TOC1"/>
        <w:tabs>
          <w:tab w:val="right" w:leader="dot" w:pos="9016"/>
        </w:tabs>
        <w:rPr>
          <w:rFonts w:asciiTheme="minorHAnsi" w:eastAsiaTheme="minorEastAsia" w:hAnsiTheme="minorHAnsi"/>
          <w:b w:val="0"/>
          <w:caps w:val="0"/>
          <w:noProof/>
          <w:sz w:val="22"/>
          <w:szCs w:val="22"/>
        </w:rPr>
      </w:pPr>
      <w:hyperlink w:anchor="_Toc83195986" w:history="1">
        <w:r w:rsidRPr="00D5600E">
          <w:rPr>
            <w:caps w:val="0"/>
            <w:color w:val="0000FF"/>
            <w:u w:val="single"/>
          </w:rPr>
          <w:t>4 TRADE POLICIES BY SECTOR</w:t>
        </w:r>
        <w:r w:rsidRPr="00BE1B87">
          <w:rPr>
            <w:caps w:val="0"/>
            <w:noProof/>
            <w:webHidden/>
          </w:rPr>
          <w:tab/>
        </w:r>
        <w:r w:rsidRPr="00BE1B87">
          <w:rPr>
            <w:caps w:val="0"/>
            <w:noProof/>
            <w:webHidden/>
          </w:rPr>
          <w:fldChar w:fldCharType="begin" w:fldLock="1"/>
        </w:r>
        <w:r w:rsidRPr="00BE1B87">
          <w:rPr>
            <w:caps w:val="0"/>
            <w:noProof/>
            <w:webHidden/>
          </w:rPr>
          <w:instrText xml:space="preserve"> PAGEREF _Toc83195986 \h </w:instrText>
        </w:r>
        <w:r w:rsidRPr="00BE1B87">
          <w:rPr>
            <w:caps w:val="0"/>
            <w:noProof/>
            <w:webHidden/>
          </w:rPr>
        </w:r>
        <w:r w:rsidRPr="00BE1B87">
          <w:rPr>
            <w:caps w:val="0"/>
            <w:noProof/>
            <w:webHidden/>
          </w:rPr>
          <w:fldChar w:fldCharType="separate"/>
        </w:r>
        <w:r w:rsidRPr="00BE1B87">
          <w:rPr>
            <w:caps w:val="0"/>
            <w:noProof/>
            <w:webHidden/>
          </w:rPr>
          <w:t>58</w:t>
        </w:r>
        <w:r w:rsidRPr="00BE1B87">
          <w:rPr>
            <w:caps w:val="0"/>
            <w:noProof/>
            <w:webHidden/>
          </w:rPr>
          <w:fldChar w:fldCharType="end"/>
        </w:r>
      </w:hyperlink>
    </w:p>
    <w:p w14:paraId="510D2297" w14:textId="77777777" w:rsidR="00DE4516" w:rsidRDefault="00DE4516">
      <w:pPr>
        <w:pStyle w:val="TOC2"/>
        <w:rPr>
          <w:rFonts w:asciiTheme="minorHAnsi" w:eastAsiaTheme="minorEastAsia" w:hAnsiTheme="minorHAnsi"/>
          <w:noProof/>
          <w:sz w:val="22"/>
          <w:szCs w:val="22"/>
        </w:rPr>
      </w:pPr>
      <w:hyperlink w:anchor="_Toc83195987" w:history="1">
        <w:r w:rsidRPr="00D5600E">
          <w:rPr>
            <w:color w:val="0000FF"/>
            <w:u w:val="single"/>
          </w:rPr>
          <w:t>4.1 Agriculture and Fisheries</w:t>
        </w:r>
        <w:r>
          <w:rPr>
            <w:noProof/>
            <w:webHidden/>
          </w:rPr>
          <w:tab/>
        </w:r>
        <w:r>
          <w:rPr>
            <w:noProof/>
            <w:webHidden/>
          </w:rPr>
          <w:fldChar w:fldCharType="begin" w:fldLock="1"/>
        </w:r>
        <w:r>
          <w:rPr>
            <w:noProof/>
            <w:webHidden/>
          </w:rPr>
          <w:instrText xml:space="preserve"> PAGEREF _Toc83195987 \h </w:instrText>
        </w:r>
        <w:r>
          <w:rPr>
            <w:noProof/>
            <w:webHidden/>
          </w:rPr>
        </w:r>
        <w:r>
          <w:rPr>
            <w:noProof/>
            <w:webHidden/>
          </w:rPr>
          <w:fldChar w:fldCharType="separate"/>
        </w:r>
        <w:r>
          <w:rPr>
            <w:noProof/>
            <w:webHidden/>
          </w:rPr>
          <w:t>58</w:t>
        </w:r>
        <w:r>
          <w:rPr>
            <w:noProof/>
            <w:webHidden/>
          </w:rPr>
          <w:fldChar w:fldCharType="end"/>
        </w:r>
      </w:hyperlink>
    </w:p>
    <w:p w14:paraId="7FF4E5B3" w14:textId="77777777" w:rsidR="00DE4516" w:rsidRDefault="00DE4516">
      <w:pPr>
        <w:pStyle w:val="TOC2"/>
        <w:rPr>
          <w:rFonts w:asciiTheme="minorHAnsi" w:eastAsiaTheme="minorEastAsia" w:hAnsiTheme="minorHAnsi"/>
          <w:noProof/>
          <w:sz w:val="22"/>
          <w:szCs w:val="22"/>
        </w:rPr>
      </w:pPr>
      <w:hyperlink w:anchor="_Toc83195988" w:history="1">
        <w:r w:rsidRPr="00D5600E">
          <w:rPr>
            <w:color w:val="0000FF"/>
            <w:u w:val="single"/>
          </w:rPr>
          <w:t>4.2 Mining and Energy</w:t>
        </w:r>
        <w:r>
          <w:rPr>
            <w:noProof/>
            <w:webHidden/>
          </w:rPr>
          <w:tab/>
        </w:r>
        <w:r>
          <w:rPr>
            <w:noProof/>
            <w:webHidden/>
          </w:rPr>
          <w:fldChar w:fldCharType="begin" w:fldLock="1"/>
        </w:r>
        <w:r>
          <w:rPr>
            <w:noProof/>
            <w:webHidden/>
          </w:rPr>
          <w:instrText xml:space="preserve"> PAGEREF _Toc83195988 \h </w:instrText>
        </w:r>
        <w:r>
          <w:rPr>
            <w:noProof/>
            <w:webHidden/>
          </w:rPr>
        </w:r>
        <w:r>
          <w:rPr>
            <w:noProof/>
            <w:webHidden/>
          </w:rPr>
          <w:fldChar w:fldCharType="separate"/>
        </w:r>
        <w:r>
          <w:rPr>
            <w:noProof/>
            <w:webHidden/>
          </w:rPr>
          <w:t>61</w:t>
        </w:r>
        <w:r>
          <w:rPr>
            <w:noProof/>
            <w:webHidden/>
          </w:rPr>
          <w:fldChar w:fldCharType="end"/>
        </w:r>
      </w:hyperlink>
    </w:p>
    <w:p w14:paraId="711D04FA" w14:textId="77777777" w:rsidR="00DE4516" w:rsidRDefault="00DE4516">
      <w:pPr>
        <w:pStyle w:val="TOC3"/>
        <w:rPr>
          <w:rFonts w:asciiTheme="minorHAnsi" w:eastAsiaTheme="minorEastAsia" w:hAnsiTheme="minorHAnsi"/>
          <w:noProof/>
          <w:sz w:val="22"/>
          <w:szCs w:val="22"/>
        </w:rPr>
      </w:pPr>
      <w:hyperlink w:anchor="_Toc83195989" w:history="1">
        <w:r w:rsidRPr="00D5600E">
          <w:rPr>
            <w:color w:val="0000FF"/>
            <w:u w:val="single"/>
          </w:rPr>
          <w:t>4.2.1 Mining and quarrying</w:t>
        </w:r>
        <w:r>
          <w:rPr>
            <w:noProof/>
            <w:webHidden/>
          </w:rPr>
          <w:tab/>
        </w:r>
        <w:r>
          <w:rPr>
            <w:noProof/>
            <w:webHidden/>
          </w:rPr>
          <w:fldChar w:fldCharType="begin" w:fldLock="1"/>
        </w:r>
        <w:r>
          <w:rPr>
            <w:noProof/>
            <w:webHidden/>
          </w:rPr>
          <w:instrText xml:space="preserve"> PAGEREF _Toc83195989 \h </w:instrText>
        </w:r>
        <w:r>
          <w:rPr>
            <w:noProof/>
            <w:webHidden/>
          </w:rPr>
        </w:r>
        <w:r>
          <w:rPr>
            <w:noProof/>
            <w:webHidden/>
          </w:rPr>
          <w:fldChar w:fldCharType="separate"/>
        </w:r>
        <w:r>
          <w:rPr>
            <w:noProof/>
            <w:webHidden/>
          </w:rPr>
          <w:t>61</w:t>
        </w:r>
        <w:r>
          <w:rPr>
            <w:noProof/>
            <w:webHidden/>
          </w:rPr>
          <w:fldChar w:fldCharType="end"/>
        </w:r>
      </w:hyperlink>
    </w:p>
    <w:p w14:paraId="0154DBE4" w14:textId="77777777" w:rsidR="00DE4516" w:rsidRDefault="00DE4516">
      <w:pPr>
        <w:pStyle w:val="TOC3"/>
        <w:rPr>
          <w:rFonts w:asciiTheme="minorHAnsi" w:eastAsiaTheme="minorEastAsia" w:hAnsiTheme="minorHAnsi"/>
          <w:noProof/>
          <w:sz w:val="22"/>
          <w:szCs w:val="22"/>
        </w:rPr>
      </w:pPr>
      <w:hyperlink w:anchor="_Toc83195990" w:history="1">
        <w:r w:rsidRPr="00D5600E">
          <w:rPr>
            <w:color w:val="0000FF"/>
            <w:u w:val="single"/>
          </w:rPr>
          <w:t>4.2.2 Hydrocarbons</w:t>
        </w:r>
        <w:r>
          <w:rPr>
            <w:noProof/>
            <w:webHidden/>
          </w:rPr>
          <w:tab/>
        </w:r>
        <w:r>
          <w:rPr>
            <w:noProof/>
            <w:webHidden/>
          </w:rPr>
          <w:fldChar w:fldCharType="begin" w:fldLock="1"/>
        </w:r>
        <w:r>
          <w:rPr>
            <w:noProof/>
            <w:webHidden/>
          </w:rPr>
          <w:instrText xml:space="preserve"> PAGEREF _Toc83195990 \h </w:instrText>
        </w:r>
        <w:r>
          <w:rPr>
            <w:noProof/>
            <w:webHidden/>
          </w:rPr>
        </w:r>
        <w:r>
          <w:rPr>
            <w:noProof/>
            <w:webHidden/>
          </w:rPr>
          <w:fldChar w:fldCharType="separate"/>
        </w:r>
        <w:r>
          <w:rPr>
            <w:noProof/>
            <w:webHidden/>
          </w:rPr>
          <w:t>62</w:t>
        </w:r>
        <w:r>
          <w:rPr>
            <w:noProof/>
            <w:webHidden/>
          </w:rPr>
          <w:fldChar w:fldCharType="end"/>
        </w:r>
      </w:hyperlink>
    </w:p>
    <w:p w14:paraId="2F84710D" w14:textId="77777777" w:rsidR="00DE4516" w:rsidRDefault="00DE4516">
      <w:pPr>
        <w:pStyle w:val="TOC3"/>
        <w:rPr>
          <w:rFonts w:asciiTheme="minorHAnsi" w:eastAsiaTheme="minorEastAsia" w:hAnsiTheme="minorHAnsi"/>
          <w:noProof/>
          <w:sz w:val="22"/>
          <w:szCs w:val="22"/>
        </w:rPr>
      </w:pPr>
      <w:hyperlink w:anchor="_Toc83195991" w:history="1">
        <w:r w:rsidRPr="00D5600E">
          <w:rPr>
            <w:color w:val="0000FF"/>
            <w:u w:val="single"/>
          </w:rPr>
          <w:t>4.2.3 Electricity</w:t>
        </w:r>
        <w:r>
          <w:rPr>
            <w:noProof/>
            <w:webHidden/>
          </w:rPr>
          <w:tab/>
        </w:r>
        <w:r>
          <w:rPr>
            <w:noProof/>
            <w:webHidden/>
          </w:rPr>
          <w:fldChar w:fldCharType="begin" w:fldLock="1"/>
        </w:r>
        <w:r>
          <w:rPr>
            <w:noProof/>
            <w:webHidden/>
          </w:rPr>
          <w:instrText xml:space="preserve"> PAGEREF _Toc83195991 \h </w:instrText>
        </w:r>
        <w:r>
          <w:rPr>
            <w:noProof/>
            <w:webHidden/>
          </w:rPr>
        </w:r>
        <w:r>
          <w:rPr>
            <w:noProof/>
            <w:webHidden/>
          </w:rPr>
          <w:fldChar w:fldCharType="separate"/>
        </w:r>
        <w:r>
          <w:rPr>
            <w:noProof/>
            <w:webHidden/>
          </w:rPr>
          <w:t>64</w:t>
        </w:r>
        <w:r>
          <w:rPr>
            <w:noProof/>
            <w:webHidden/>
          </w:rPr>
          <w:fldChar w:fldCharType="end"/>
        </w:r>
      </w:hyperlink>
    </w:p>
    <w:p w14:paraId="06F1D48C" w14:textId="77777777" w:rsidR="00DE4516" w:rsidRDefault="00DE4516">
      <w:pPr>
        <w:pStyle w:val="TOC2"/>
        <w:rPr>
          <w:rFonts w:asciiTheme="minorHAnsi" w:eastAsiaTheme="minorEastAsia" w:hAnsiTheme="minorHAnsi"/>
          <w:noProof/>
          <w:sz w:val="22"/>
          <w:szCs w:val="22"/>
        </w:rPr>
      </w:pPr>
      <w:hyperlink w:anchor="_Toc83195992" w:history="1">
        <w:r w:rsidRPr="00D5600E">
          <w:rPr>
            <w:color w:val="0000FF"/>
            <w:u w:val="single"/>
          </w:rPr>
          <w:t>4.3 Manufacturing</w:t>
        </w:r>
        <w:r>
          <w:rPr>
            <w:noProof/>
            <w:webHidden/>
          </w:rPr>
          <w:tab/>
        </w:r>
        <w:r>
          <w:rPr>
            <w:noProof/>
            <w:webHidden/>
          </w:rPr>
          <w:fldChar w:fldCharType="begin" w:fldLock="1"/>
        </w:r>
        <w:r>
          <w:rPr>
            <w:noProof/>
            <w:webHidden/>
          </w:rPr>
          <w:instrText xml:space="preserve"> PAGEREF _Toc83195992 \h </w:instrText>
        </w:r>
        <w:r>
          <w:rPr>
            <w:noProof/>
            <w:webHidden/>
          </w:rPr>
        </w:r>
        <w:r>
          <w:rPr>
            <w:noProof/>
            <w:webHidden/>
          </w:rPr>
          <w:fldChar w:fldCharType="separate"/>
        </w:r>
        <w:r>
          <w:rPr>
            <w:noProof/>
            <w:webHidden/>
          </w:rPr>
          <w:t>66</w:t>
        </w:r>
        <w:r>
          <w:rPr>
            <w:noProof/>
            <w:webHidden/>
          </w:rPr>
          <w:fldChar w:fldCharType="end"/>
        </w:r>
      </w:hyperlink>
    </w:p>
    <w:p w14:paraId="0673AF28" w14:textId="77777777" w:rsidR="00DE4516" w:rsidRDefault="00DE4516">
      <w:pPr>
        <w:pStyle w:val="TOC2"/>
        <w:rPr>
          <w:rFonts w:asciiTheme="minorHAnsi" w:eastAsiaTheme="minorEastAsia" w:hAnsiTheme="minorHAnsi"/>
          <w:noProof/>
          <w:sz w:val="22"/>
          <w:szCs w:val="22"/>
        </w:rPr>
      </w:pPr>
      <w:hyperlink w:anchor="_Toc83195993" w:history="1">
        <w:r w:rsidRPr="00D5600E">
          <w:rPr>
            <w:color w:val="0000FF"/>
            <w:u w:val="single"/>
          </w:rPr>
          <w:t>4.4 Services</w:t>
        </w:r>
        <w:r>
          <w:rPr>
            <w:noProof/>
            <w:webHidden/>
          </w:rPr>
          <w:tab/>
        </w:r>
        <w:r>
          <w:rPr>
            <w:noProof/>
            <w:webHidden/>
          </w:rPr>
          <w:fldChar w:fldCharType="begin" w:fldLock="1"/>
        </w:r>
        <w:r>
          <w:rPr>
            <w:noProof/>
            <w:webHidden/>
          </w:rPr>
          <w:instrText xml:space="preserve"> PAGEREF _Toc83195993 \h </w:instrText>
        </w:r>
        <w:r>
          <w:rPr>
            <w:noProof/>
            <w:webHidden/>
          </w:rPr>
        </w:r>
        <w:r>
          <w:rPr>
            <w:noProof/>
            <w:webHidden/>
          </w:rPr>
          <w:fldChar w:fldCharType="separate"/>
        </w:r>
        <w:r>
          <w:rPr>
            <w:noProof/>
            <w:webHidden/>
          </w:rPr>
          <w:t>67</w:t>
        </w:r>
        <w:r>
          <w:rPr>
            <w:noProof/>
            <w:webHidden/>
          </w:rPr>
          <w:fldChar w:fldCharType="end"/>
        </w:r>
      </w:hyperlink>
    </w:p>
    <w:p w14:paraId="1F13346A" w14:textId="77777777" w:rsidR="00DE4516" w:rsidRDefault="00DE4516">
      <w:pPr>
        <w:pStyle w:val="TOC3"/>
        <w:rPr>
          <w:rFonts w:asciiTheme="minorHAnsi" w:eastAsiaTheme="minorEastAsia" w:hAnsiTheme="minorHAnsi"/>
          <w:noProof/>
          <w:sz w:val="22"/>
          <w:szCs w:val="22"/>
        </w:rPr>
      </w:pPr>
      <w:hyperlink w:anchor="_Toc83195994" w:history="1">
        <w:r w:rsidRPr="00D5600E">
          <w:rPr>
            <w:color w:val="0000FF"/>
            <w:u w:val="single"/>
          </w:rPr>
          <w:t>4.4.1 Financial services</w:t>
        </w:r>
        <w:r>
          <w:rPr>
            <w:noProof/>
            <w:webHidden/>
          </w:rPr>
          <w:tab/>
        </w:r>
        <w:r>
          <w:rPr>
            <w:noProof/>
            <w:webHidden/>
          </w:rPr>
          <w:fldChar w:fldCharType="begin" w:fldLock="1"/>
        </w:r>
        <w:r>
          <w:rPr>
            <w:noProof/>
            <w:webHidden/>
          </w:rPr>
          <w:instrText xml:space="preserve"> PAGEREF _Toc83195994 \h </w:instrText>
        </w:r>
        <w:r>
          <w:rPr>
            <w:noProof/>
            <w:webHidden/>
          </w:rPr>
        </w:r>
        <w:r>
          <w:rPr>
            <w:noProof/>
            <w:webHidden/>
          </w:rPr>
          <w:fldChar w:fldCharType="separate"/>
        </w:r>
        <w:r>
          <w:rPr>
            <w:noProof/>
            <w:webHidden/>
          </w:rPr>
          <w:t>67</w:t>
        </w:r>
        <w:r>
          <w:rPr>
            <w:noProof/>
            <w:webHidden/>
          </w:rPr>
          <w:fldChar w:fldCharType="end"/>
        </w:r>
      </w:hyperlink>
    </w:p>
    <w:p w14:paraId="3ECE7C0B" w14:textId="77777777" w:rsidR="00DE4516" w:rsidRDefault="00DE4516">
      <w:pPr>
        <w:pStyle w:val="TOC4"/>
        <w:rPr>
          <w:rFonts w:asciiTheme="minorHAnsi" w:eastAsiaTheme="minorEastAsia" w:hAnsiTheme="minorHAnsi"/>
          <w:noProof/>
          <w:sz w:val="22"/>
          <w:szCs w:val="22"/>
        </w:rPr>
      </w:pPr>
      <w:hyperlink w:anchor="_Toc83195995" w:history="1">
        <w:r w:rsidRPr="00D5600E">
          <w:rPr>
            <w:color w:val="0000FF"/>
            <w:u w:val="single"/>
          </w:rPr>
          <w:t>4.4.1.1 Banking</w:t>
        </w:r>
        <w:r>
          <w:rPr>
            <w:noProof/>
            <w:webHidden/>
          </w:rPr>
          <w:tab/>
        </w:r>
        <w:r>
          <w:rPr>
            <w:noProof/>
            <w:webHidden/>
          </w:rPr>
          <w:fldChar w:fldCharType="begin" w:fldLock="1"/>
        </w:r>
        <w:r>
          <w:rPr>
            <w:noProof/>
            <w:webHidden/>
          </w:rPr>
          <w:instrText xml:space="preserve"> PAGEREF _Toc83195995 \h </w:instrText>
        </w:r>
        <w:r>
          <w:rPr>
            <w:noProof/>
            <w:webHidden/>
          </w:rPr>
        </w:r>
        <w:r>
          <w:rPr>
            <w:noProof/>
            <w:webHidden/>
          </w:rPr>
          <w:fldChar w:fldCharType="separate"/>
        </w:r>
        <w:r>
          <w:rPr>
            <w:noProof/>
            <w:webHidden/>
          </w:rPr>
          <w:t>67</w:t>
        </w:r>
        <w:r>
          <w:rPr>
            <w:noProof/>
            <w:webHidden/>
          </w:rPr>
          <w:fldChar w:fldCharType="end"/>
        </w:r>
      </w:hyperlink>
    </w:p>
    <w:p w14:paraId="127996AA" w14:textId="77777777" w:rsidR="00DE4516" w:rsidRDefault="00DE4516">
      <w:pPr>
        <w:pStyle w:val="TOC4"/>
        <w:rPr>
          <w:rFonts w:asciiTheme="minorHAnsi" w:eastAsiaTheme="minorEastAsia" w:hAnsiTheme="minorHAnsi"/>
          <w:noProof/>
          <w:sz w:val="22"/>
          <w:szCs w:val="22"/>
        </w:rPr>
      </w:pPr>
      <w:hyperlink w:anchor="_Toc83195996" w:history="1">
        <w:r w:rsidRPr="00D5600E">
          <w:rPr>
            <w:color w:val="0000FF"/>
            <w:u w:val="single"/>
          </w:rPr>
          <w:t>4.4.1.2 Insurance</w:t>
        </w:r>
        <w:r>
          <w:rPr>
            <w:noProof/>
            <w:webHidden/>
          </w:rPr>
          <w:tab/>
        </w:r>
        <w:r>
          <w:rPr>
            <w:noProof/>
            <w:webHidden/>
          </w:rPr>
          <w:fldChar w:fldCharType="begin" w:fldLock="1"/>
        </w:r>
        <w:r>
          <w:rPr>
            <w:noProof/>
            <w:webHidden/>
          </w:rPr>
          <w:instrText xml:space="preserve"> PAGEREF _Toc83195996 \h </w:instrText>
        </w:r>
        <w:r>
          <w:rPr>
            <w:noProof/>
            <w:webHidden/>
          </w:rPr>
        </w:r>
        <w:r>
          <w:rPr>
            <w:noProof/>
            <w:webHidden/>
          </w:rPr>
          <w:fldChar w:fldCharType="separate"/>
        </w:r>
        <w:r>
          <w:rPr>
            <w:noProof/>
            <w:webHidden/>
          </w:rPr>
          <w:t>68</w:t>
        </w:r>
        <w:r>
          <w:rPr>
            <w:noProof/>
            <w:webHidden/>
          </w:rPr>
          <w:fldChar w:fldCharType="end"/>
        </w:r>
      </w:hyperlink>
    </w:p>
    <w:p w14:paraId="5D95BFB0" w14:textId="77777777" w:rsidR="00DE4516" w:rsidRDefault="00DE4516">
      <w:pPr>
        <w:pStyle w:val="TOC4"/>
        <w:rPr>
          <w:rFonts w:asciiTheme="minorHAnsi" w:eastAsiaTheme="minorEastAsia" w:hAnsiTheme="minorHAnsi"/>
          <w:noProof/>
          <w:sz w:val="22"/>
          <w:szCs w:val="22"/>
        </w:rPr>
      </w:pPr>
      <w:hyperlink w:anchor="_Toc83195997" w:history="1">
        <w:r w:rsidRPr="00D5600E">
          <w:rPr>
            <w:color w:val="0000FF"/>
            <w:u w:val="single"/>
          </w:rPr>
          <w:t>4.4.1.3 Securities</w:t>
        </w:r>
        <w:r>
          <w:rPr>
            <w:noProof/>
            <w:webHidden/>
          </w:rPr>
          <w:tab/>
        </w:r>
        <w:r>
          <w:rPr>
            <w:noProof/>
            <w:webHidden/>
          </w:rPr>
          <w:fldChar w:fldCharType="begin" w:fldLock="1"/>
        </w:r>
        <w:r>
          <w:rPr>
            <w:noProof/>
            <w:webHidden/>
          </w:rPr>
          <w:instrText xml:space="preserve"> PAGEREF _Toc83195997 \h </w:instrText>
        </w:r>
        <w:r>
          <w:rPr>
            <w:noProof/>
            <w:webHidden/>
          </w:rPr>
        </w:r>
        <w:r>
          <w:rPr>
            <w:noProof/>
            <w:webHidden/>
          </w:rPr>
          <w:fldChar w:fldCharType="separate"/>
        </w:r>
        <w:r>
          <w:rPr>
            <w:noProof/>
            <w:webHidden/>
          </w:rPr>
          <w:t>69</w:t>
        </w:r>
        <w:r>
          <w:rPr>
            <w:noProof/>
            <w:webHidden/>
          </w:rPr>
          <w:fldChar w:fldCharType="end"/>
        </w:r>
      </w:hyperlink>
    </w:p>
    <w:p w14:paraId="54E7AB29" w14:textId="77777777" w:rsidR="00DE4516" w:rsidRDefault="00DE4516">
      <w:pPr>
        <w:pStyle w:val="TOC3"/>
        <w:rPr>
          <w:rFonts w:asciiTheme="minorHAnsi" w:eastAsiaTheme="minorEastAsia" w:hAnsiTheme="minorHAnsi"/>
          <w:noProof/>
          <w:sz w:val="22"/>
          <w:szCs w:val="22"/>
        </w:rPr>
      </w:pPr>
      <w:hyperlink w:anchor="_Toc83195998" w:history="1">
        <w:r w:rsidRPr="00D5600E">
          <w:rPr>
            <w:color w:val="0000FF"/>
            <w:u w:val="single"/>
          </w:rPr>
          <w:t>4.4.2 Communications</w:t>
        </w:r>
        <w:r>
          <w:rPr>
            <w:noProof/>
            <w:webHidden/>
          </w:rPr>
          <w:tab/>
        </w:r>
        <w:r>
          <w:rPr>
            <w:noProof/>
            <w:webHidden/>
          </w:rPr>
          <w:fldChar w:fldCharType="begin" w:fldLock="1"/>
        </w:r>
        <w:r>
          <w:rPr>
            <w:noProof/>
            <w:webHidden/>
          </w:rPr>
          <w:instrText xml:space="preserve"> PAGEREF _Toc83195998 \h </w:instrText>
        </w:r>
        <w:r>
          <w:rPr>
            <w:noProof/>
            <w:webHidden/>
          </w:rPr>
        </w:r>
        <w:r>
          <w:rPr>
            <w:noProof/>
            <w:webHidden/>
          </w:rPr>
          <w:fldChar w:fldCharType="separate"/>
        </w:r>
        <w:r>
          <w:rPr>
            <w:noProof/>
            <w:webHidden/>
          </w:rPr>
          <w:t>70</w:t>
        </w:r>
        <w:r>
          <w:rPr>
            <w:noProof/>
            <w:webHidden/>
          </w:rPr>
          <w:fldChar w:fldCharType="end"/>
        </w:r>
      </w:hyperlink>
    </w:p>
    <w:p w14:paraId="569E3722" w14:textId="77777777" w:rsidR="00DE4516" w:rsidRDefault="00DE4516">
      <w:pPr>
        <w:pStyle w:val="TOC4"/>
        <w:rPr>
          <w:rFonts w:asciiTheme="minorHAnsi" w:eastAsiaTheme="minorEastAsia" w:hAnsiTheme="minorHAnsi"/>
          <w:noProof/>
          <w:sz w:val="22"/>
          <w:szCs w:val="22"/>
        </w:rPr>
      </w:pPr>
      <w:hyperlink w:anchor="_Toc83195999" w:history="1">
        <w:r w:rsidRPr="00D5600E">
          <w:rPr>
            <w:color w:val="0000FF"/>
            <w:u w:val="single"/>
          </w:rPr>
          <w:t>4.4.2.1 Telecommunications</w:t>
        </w:r>
        <w:r>
          <w:rPr>
            <w:noProof/>
            <w:webHidden/>
          </w:rPr>
          <w:tab/>
        </w:r>
        <w:r>
          <w:rPr>
            <w:noProof/>
            <w:webHidden/>
          </w:rPr>
          <w:fldChar w:fldCharType="begin" w:fldLock="1"/>
        </w:r>
        <w:r>
          <w:rPr>
            <w:noProof/>
            <w:webHidden/>
          </w:rPr>
          <w:instrText xml:space="preserve"> PAGEREF _Toc83195999 \h </w:instrText>
        </w:r>
        <w:r>
          <w:rPr>
            <w:noProof/>
            <w:webHidden/>
          </w:rPr>
        </w:r>
        <w:r>
          <w:rPr>
            <w:noProof/>
            <w:webHidden/>
          </w:rPr>
          <w:fldChar w:fldCharType="separate"/>
        </w:r>
        <w:r>
          <w:rPr>
            <w:noProof/>
            <w:webHidden/>
          </w:rPr>
          <w:t>70</w:t>
        </w:r>
        <w:r>
          <w:rPr>
            <w:noProof/>
            <w:webHidden/>
          </w:rPr>
          <w:fldChar w:fldCharType="end"/>
        </w:r>
      </w:hyperlink>
    </w:p>
    <w:p w14:paraId="0EB5FB21" w14:textId="77777777" w:rsidR="00DE4516" w:rsidRDefault="00DE4516">
      <w:pPr>
        <w:pStyle w:val="TOC4"/>
        <w:rPr>
          <w:rFonts w:asciiTheme="minorHAnsi" w:eastAsiaTheme="minorEastAsia" w:hAnsiTheme="minorHAnsi"/>
          <w:noProof/>
          <w:sz w:val="22"/>
          <w:szCs w:val="22"/>
        </w:rPr>
      </w:pPr>
      <w:hyperlink w:anchor="_Toc83196000" w:history="1">
        <w:r w:rsidRPr="00D5600E">
          <w:rPr>
            <w:color w:val="0000FF"/>
            <w:u w:val="single"/>
          </w:rPr>
          <w:t>4.4.2.2 Postal and courier services</w:t>
        </w:r>
        <w:r>
          <w:rPr>
            <w:noProof/>
            <w:webHidden/>
          </w:rPr>
          <w:tab/>
        </w:r>
        <w:r>
          <w:rPr>
            <w:noProof/>
            <w:webHidden/>
          </w:rPr>
          <w:fldChar w:fldCharType="begin" w:fldLock="1"/>
        </w:r>
        <w:r>
          <w:rPr>
            <w:noProof/>
            <w:webHidden/>
          </w:rPr>
          <w:instrText xml:space="preserve"> PAGEREF _Toc83196000 \h </w:instrText>
        </w:r>
        <w:r>
          <w:rPr>
            <w:noProof/>
            <w:webHidden/>
          </w:rPr>
        </w:r>
        <w:r>
          <w:rPr>
            <w:noProof/>
            <w:webHidden/>
          </w:rPr>
          <w:fldChar w:fldCharType="separate"/>
        </w:r>
        <w:r>
          <w:rPr>
            <w:noProof/>
            <w:webHidden/>
          </w:rPr>
          <w:t>73</w:t>
        </w:r>
        <w:r>
          <w:rPr>
            <w:noProof/>
            <w:webHidden/>
          </w:rPr>
          <w:fldChar w:fldCharType="end"/>
        </w:r>
      </w:hyperlink>
    </w:p>
    <w:p w14:paraId="766FEA6A" w14:textId="77777777" w:rsidR="00DE4516" w:rsidRDefault="00DE4516">
      <w:pPr>
        <w:pStyle w:val="TOC3"/>
        <w:rPr>
          <w:rFonts w:asciiTheme="minorHAnsi" w:eastAsiaTheme="minorEastAsia" w:hAnsiTheme="minorHAnsi"/>
          <w:noProof/>
          <w:sz w:val="22"/>
          <w:szCs w:val="22"/>
        </w:rPr>
      </w:pPr>
      <w:hyperlink w:anchor="_Toc83196001" w:history="1">
        <w:r w:rsidRPr="00D5600E">
          <w:rPr>
            <w:color w:val="0000FF"/>
            <w:u w:val="single"/>
          </w:rPr>
          <w:t>4.4.3 Transport</w:t>
        </w:r>
        <w:r>
          <w:rPr>
            <w:noProof/>
            <w:webHidden/>
          </w:rPr>
          <w:tab/>
        </w:r>
        <w:r>
          <w:rPr>
            <w:noProof/>
            <w:webHidden/>
          </w:rPr>
          <w:fldChar w:fldCharType="begin" w:fldLock="1"/>
        </w:r>
        <w:r>
          <w:rPr>
            <w:noProof/>
            <w:webHidden/>
          </w:rPr>
          <w:instrText xml:space="preserve"> PAGEREF _Toc83196001 \h </w:instrText>
        </w:r>
        <w:r>
          <w:rPr>
            <w:noProof/>
            <w:webHidden/>
          </w:rPr>
        </w:r>
        <w:r>
          <w:rPr>
            <w:noProof/>
            <w:webHidden/>
          </w:rPr>
          <w:fldChar w:fldCharType="separate"/>
        </w:r>
        <w:r>
          <w:rPr>
            <w:noProof/>
            <w:webHidden/>
          </w:rPr>
          <w:t>73</w:t>
        </w:r>
        <w:r>
          <w:rPr>
            <w:noProof/>
            <w:webHidden/>
          </w:rPr>
          <w:fldChar w:fldCharType="end"/>
        </w:r>
      </w:hyperlink>
    </w:p>
    <w:p w14:paraId="3E80E503" w14:textId="77777777" w:rsidR="00DE4516" w:rsidRDefault="00DE4516">
      <w:pPr>
        <w:pStyle w:val="TOC4"/>
        <w:rPr>
          <w:rFonts w:asciiTheme="minorHAnsi" w:eastAsiaTheme="minorEastAsia" w:hAnsiTheme="minorHAnsi"/>
          <w:noProof/>
          <w:sz w:val="22"/>
          <w:szCs w:val="22"/>
        </w:rPr>
      </w:pPr>
      <w:hyperlink w:anchor="_Toc83196002" w:history="1">
        <w:r w:rsidRPr="00D5600E">
          <w:rPr>
            <w:color w:val="0000FF"/>
            <w:u w:val="single"/>
          </w:rPr>
          <w:t>4.4.3.1 Maritime transport</w:t>
        </w:r>
        <w:r>
          <w:rPr>
            <w:noProof/>
            <w:webHidden/>
          </w:rPr>
          <w:tab/>
        </w:r>
        <w:r>
          <w:rPr>
            <w:noProof/>
            <w:webHidden/>
          </w:rPr>
          <w:fldChar w:fldCharType="begin" w:fldLock="1"/>
        </w:r>
        <w:r>
          <w:rPr>
            <w:noProof/>
            <w:webHidden/>
          </w:rPr>
          <w:instrText xml:space="preserve"> PAGEREF _Toc83196002 \h </w:instrText>
        </w:r>
        <w:r>
          <w:rPr>
            <w:noProof/>
            <w:webHidden/>
          </w:rPr>
        </w:r>
        <w:r>
          <w:rPr>
            <w:noProof/>
            <w:webHidden/>
          </w:rPr>
          <w:fldChar w:fldCharType="separate"/>
        </w:r>
        <w:r>
          <w:rPr>
            <w:noProof/>
            <w:webHidden/>
          </w:rPr>
          <w:t>74</w:t>
        </w:r>
        <w:r>
          <w:rPr>
            <w:noProof/>
            <w:webHidden/>
          </w:rPr>
          <w:fldChar w:fldCharType="end"/>
        </w:r>
      </w:hyperlink>
    </w:p>
    <w:p w14:paraId="71DE6B58" w14:textId="77777777" w:rsidR="00DE4516" w:rsidRDefault="00DE4516">
      <w:pPr>
        <w:pStyle w:val="TOC4"/>
        <w:rPr>
          <w:rFonts w:asciiTheme="minorHAnsi" w:eastAsiaTheme="minorEastAsia" w:hAnsiTheme="minorHAnsi"/>
          <w:noProof/>
          <w:sz w:val="22"/>
          <w:szCs w:val="22"/>
        </w:rPr>
      </w:pPr>
      <w:hyperlink w:anchor="_Toc83196003" w:history="1">
        <w:r w:rsidRPr="00D5600E">
          <w:rPr>
            <w:color w:val="0000FF"/>
            <w:u w:val="single"/>
          </w:rPr>
          <w:t>4.4.3.2 Terrestrial transport</w:t>
        </w:r>
        <w:r>
          <w:rPr>
            <w:noProof/>
            <w:webHidden/>
          </w:rPr>
          <w:tab/>
        </w:r>
        <w:r>
          <w:rPr>
            <w:noProof/>
            <w:webHidden/>
          </w:rPr>
          <w:fldChar w:fldCharType="begin" w:fldLock="1"/>
        </w:r>
        <w:r>
          <w:rPr>
            <w:noProof/>
            <w:webHidden/>
          </w:rPr>
          <w:instrText xml:space="preserve"> PAGEREF _Toc83196003 \h </w:instrText>
        </w:r>
        <w:r>
          <w:rPr>
            <w:noProof/>
            <w:webHidden/>
          </w:rPr>
        </w:r>
        <w:r>
          <w:rPr>
            <w:noProof/>
            <w:webHidden/>
          </w:rPr>
          <w:fldChar w:fldCharType="separate"/>
        </w:r>
        <w:r>
          <w:rPr>
            <w:noProof/>
            <w:webHidden/>
          </w:rPr>
          <w:t>75</w:t>
        </w:r>
        <w:r>
          <w:rPr>
            <w:noProof/>
            <w:webHidden/>
          </w:rPr>
          <w:fldChar w:fldCharType="end"/>
        </w:r>
      </w:hyperlink>
    </w:p>
    <w:p w14:paraId="7CC90534" w14:textId="77777777" w:rsidR="00DE4516" w:rsidRDefault="00DE4516">
      <w:pPr>
        <w:pStyle w:val="TOC5"/>
        <w:rPr>
          <w:rFonts w:asciiTheme="minorHAnsi" w:eastAsiaTheme="minorEastAsia" w:hAnsiTheme="minorHAnsi"/>
          <w:noProof/>
          <w:sz w:val="22"/>
          <w:szCs w:val="22"/>
        </w:rPr>
      </w:pPr>
      <w:hyperlink w:anchor="_Toc83196004" w:history="1">
        <w:r w:rsidRPr="00D5600E">
          <w:rPr>
            <w:color w:val="0000FF"/>
            <w:u w:val="single"/>
          </w:rPr>
          <w:t>4.4.3.2.1 Road transport</w:t>
        </w:r>
        <w:r>
          <w:rPr>
            <w:noProof/>
            <w:webHidden/>
          </w:rPr>
          <w:tab/>
        </w:r>
        <w:r>
          <w:rPr>
            <w:noProof/>
            <w:webHidden/>
          </w:rPr>
          <w:fldChar w:fldCharType="begin" w:fldLock="1"/>
        </w:r>
        <w:r>
          <w:rPr>
            <w:noProof/>
            <w:webHidden/>
          </w:rPr>
          <w:instrText xml:space="preserve"> PAGEREF _Toc83196004 \h </w:instrText>
        </w:r>
        <w:r>
          <w:rPr>
            <w:noProof/>
            <w:webHidden/>
          </w:rPr>
        </w:r>
        <w:r>
          <w:rPr>
            <w:noProof/>
            <w:webHidden/>
          </w:rPr>
          <w:fldChar w:fldCharType="separate"/>
        </w:r>
        <w:r>
          <w:rPr>
            <w:noProof/>
            <w:webHidden/>
          </w:rPr>
          <w:t>75</w:t>
        </w:r>
        <w:r>
          <w:rPr>
            <w:noProof/>
            <w:webHidden/>
          </w:rPr>
          <w:fldChar w:fldCharType="end"/>
        </w:r>
      </w:hyperlink>
    </w:p>
    <w:p w14:paraId="46D98E02" w14:textId="77777777" w:rsidR="00DE4516" w:rsidRDefault="00DE4516">
      <w:pPr>
        <w:pStyle w:val="TOC5"/>
        <w:rPr>
          <w:rFonts w:asciiTheme="minorHAnsi" w:eastAsiaTheme="minorEastAsia" w:hAnsiTheme="minorHAnsi"/>
          <w:noProof/>
          <w:sz w:val="22"/>
          <w:szCs w:val="22"/>
        </w:rPr>
      </w:pPr>
      <w:hyperlink w:anchor="_Toc83196005" w:history="1">
        <w:r w:rsidRPr="00D5600E">
          <w:rPr>
            <w:color w:val="0000FF"/>
            <w:u w:val="single"/>
          </w:rPr>
          <w:t>4.4.3.2.2 Rail transport</w:t>
        </w:r>
        <w:r>
          <w:rPr>
            <w:noProof/>
            <w:webHidden/>
          </w:rPr>
          <w:tab/>
        </w:r>
        <w:r>
          <w:rPr>
            <w:noProof/>
            <w:webHidden/>
          </w:rPr>
          <w:fldChar w:fldCharType="begin" w:fldLock="1"/>
        </w:r>
        <w:r>
          <w:rPr>
            <w:noProof/>
            <w:webHidden/>
          </w:rPr>
          <w:instrText xml:space="preserve"> PAGEREF _Toc83196005 \h </w:instrText>
        </w:r>
        <w:r>
          <w:rPr>
            <w:noProof/>
            <w:webHidden/>
          </w:rPr>
        </w:r>
        <w:r>
          <w:rPr>
            <w:noProof/>
            <w:webHidden/>
          </w:rPr>
          <w:fldChar w:fldCharType="separate"/>
        </w:r>
        <w:r>
          <w:rPr>
            <w:noProof/>
            <w:webHidden/>
          </w:rPr>
          <w:t>76</w:t>
        </w:r>
        <w:r>
          <w:rPr>
            <w:noProof/>
            <w:webHidden/>
          </w:rPr>
          <w:fldChar w:fldCharType="end"/>
        </w:r>
      </w:hyperlink>
    </w:p>
    <w:p w14:paraId="2329AEC8" w14:textId="77777777" w:rsidR="00DE4516" w:rsidRDefault="00DE4516">
      <w:pPr>
        <w:pStyle w:val="TOC4"/>
        <w:rPr>
          <w:rFonts w:asciiTheme="minorHAnsi" w:eastAsiaTheme="minorEastAsia" w:hAnsiTheme="minorHAnsi"/>
          <w:noProof/>
          <w:sz w:val="22"/>
          <w:szCs w:val="22"/>
        </w:rPr>
      </w:pPr>
      <w:hyperlink w:anchor="_Toc83196006" w:history="1">
        <w:r w:rsidRPr="00D5600E">
          <w:rPr>
            <w:color w:val="0000FF"/>
            <w:u w:val="single"/>
          </w:rPr>
          <w:t>4.4.3.3 Aviation transport</w:t>
        </w:r>
        <w:r>
          <w:rPr>
            <w:noProof/>
            <w:webHidden/>
          </w:rPr>
          <w:tab/>
        </w:r>
        <w:r>
          <w:rPr>
            <w:noProof/>
            <w:webHidden/>
          </w:rPr>
          <w:fldChar w:fldCharType="begin" w:fldLock="1"/>
        </w:r>
        <w:r>
          <w:rPr>
            <w:noProof/>
            <w:webHidden/>
          </w:rPr>
          <w:instrText xml:space="preserve"> PAGEREF _Toc83196006 \h </w:instrText>
        </w:r>
        <w:r>
          <w:rPr>
            <w:noProof/>
            <w:webHidden/>
          </w:rPr>
        </w:r>
        <w:r>
          <w:rPr>
            <w:noProof/>
            <w:webHidden/>
          </w:rPr>
          <w:fldChar w:fldCharType="separate"/>
        </w:r>
        <w:r>
          <w:rPr>
            <w:noProof/>
            <w:webHidden/>
          </w:rPr>
          <w:t>76</w:t>
        </w:r>
        <w:r>
          <w:rPr>
            <w:noProof/>
            <w:webHidden/>
          </w:rPr>
          <w:fldChar w:fldCharType="end"/>
        </w:r>
      </w:hyperlink>
    </w:p>
    <w:p w14:paraId="1122F026" w14:textId="77777777" w:rsidR="00DE4516" w:rsidRDefault="00DE4516">
      <w:pPr>
        <w:pStyle w:val="TOC3"/>
        <w:rPr>
          <w:rFonts w:asciiTheme="minorHAnsi" w:eastAsiaTheme="minorEastAsia" w:hAnsiTheme="minorHAnsi"/>
          <w:noProof/>
          <w:sz w:val="22"/>
          <w:szCs w:val="22"/>
        </w:rPr>
      </w:pPr>
      <w:hyperlink w:anchor="_Toc83196007" w:history="1">
        <w:r w:rsidRPr="00D5600E">
          <w:rPr>
            <w:color w:val="0000FF"/>
            <w:u w:val="single"/>
          </w:rPr>
          <w:t>4.4.4 Tourism</w:t>
        </w:r>
        <w:r>
          <w:rPr>
            <w:noProof/>
            <w:webHidden/>
          </w:rPr>
          <w:tab/>
        </w:r>
        <w:r>
          <w:rPr>
            <w:noProof/>
            <w:webHidden/>
          </w:rPr>
          <w:fldChar w:fldCharType="begin" w:fldLock="1"/>
        </w:r>
        <w:r>
          <w:rPr>
            <w:noProof/>
            <w:webHidden/>
          </w:rPr>
          <w:instrText xml:space="preserve"> PAGEREF _Toc83196007 \h </w:instrText>
        </w:r>
        <w:r>
          <w:rPr>
            <w:noProof/>
            <w:webHidden/>
          </w:rPr>
        </w:r>
        <w:r>
          <w:rPr>
            <w:noProof/>
            <w:webHidden/>
          </w:rPr>
          <w:fldChar w:fldCharType="separate"/>
        </w:r>
        <w:r>
          <w:rPr>
            <w:noProof/>
            <w:webHidden/>
          </w:rPr>
          <w:t>78</w:t>
        </w:r>
        <w:r>
          <w:rPr>
            <w:noProof/>
            <w:webHidden/>
          </w:rPr>
          <w:fldChar w:fldCharType="end"/>
        </w:r>
      </w:hyperlink>
    </w:p>
    <w:p w14:paraId="04638BD8" w14:textId="77777777" w:rsidR="00DE4516" w:rsidRPr="00BE1B87" w:rsidRDefault="00DE4516">
      <w:pPr>
        <w:pStyle w:val="TOC1"/>
        <w:tabs>
          <w:tab w:val="right" w:leader="dot" w:pos="9016"/>
        </w:tabs>
        <w:rPr>
          <w:rFonts w:asciiTheme="minorHAnsi" w:eastAsiaTheme="minorEastAsia" w:hAnsiTheme="minorHAnsi"/>
          <w:b w:val="0"/>
          <w:caps w:val="0"/>
          <w:noProof/>
          <w:sz w:val="22"/>
          <w:szCs w:val="22"/>
        </w:rPr>
      </w:pPr>
      <w:hyperlink w:anchor="_Toc83196008" w:history="1">
        <w:r w:rsidRPr="00D5600E">
          <w:rPr>
            <w:caps w:val="0"/>
            <w:color w:val="0000FF"/>
            <w:u w:val="single"/>
          </w:rPr>
          <w:t>5 APPENDIX TABLES</w:t>
        </w:r>
        <w:r w:rsidRPr="00BE1B87">
          <w:rPr>
            <w:caps w:val="0"/>
            <w:noProof/>
            <w:webHidden/>
          </w:rPr>
          <w:tab/>
        </w:r>
        <w:r w:rsidRPr="00BE1B87">
          <w:rPr>
            <w:caps w:val="0"/>
            <w:noProof/>
            <w:webHidden/>
          </w:rPr>
          <w:fldChar w:fldCharType="begin" w:fldLock="1"/>
        </w:r>
        <w:r w:rsidRPr="00BE1B87">
          <w:rPr>
            <w:caps w:val="0"/>
            <w:noProof/>
            <w:webHidden/>
          </w:rPr>
          <w:instrText xml:space="preserve"> PAGEREF _Toc83196008 \h </w:instrText>
        </w:r>
        <w:r w:rsidRPr="00BE1B87">
          <w:rPr>
            <w:caps w:val="0"/>
            <w:noProof/>
            <w:webHidden/>
          </w:rPr>
        </w:r>
        <w:r w:rsidRPr="00BE1B87">
          <w:rPr>
            <w:caps w:val="0"/>
            <w:noProof/>
            <w:webHidden/>
          </w:rPr>
          <w:fldChar w:fldCharType="separate"/>
        </w:r>
        <w:r w:rsidRPr="00BE1B87">
          <w:rPr>
            <w:caps w:val="0"/>
            <w:noProof/>
            <w:webHidden/>
          </w:rPr>
          <w:t>80</w:t>
        </w:r>
        <w:r w:rsidRPr="00BE1B87">
          <w:rPr>
            <w:caps w:val="0"/>
            <w:noProof/>
            <w:webHidden/>
          </w:rPr>
          <w:fldChar w:fldCharType="end"/>
        </w:r>
      </w:hyperlink>
    </w:p>
    <w:p w14:paraId="79F88D1F" w14:textId="77777777" w:rsidR="00DE4516" w:rsidRDefault="00DE4516">
      <w:pPr>
        <w:pStyle w:val="TOC1"/>
        <w:tabs>
          <w:tab w:val="right" w:leader="dot" w:pos="9016"/>
        </w:tabs>
        <w:autoSpaceDE w:val="0"/>
        <w:autoSpaceDN w:val="0"/>
        <w:adjustRightInd w:val="0"/>
        <w:rPr>
          <w:caps w:val="0"/>
          <w:szCs w:val="24"/>
        </w:rPr>
      </w:pPr>
      <w:r>
        <w:rPr>
          <w:b w:val="0"/>
          <w:caps w:val="0"/>
          <w:szCs w:val="24"/>
        </w:rPr>
        <w:fldChar w:fldCharType="end"/>
      </w:r>
    </w:p>
    <w:p w14:paraId="4F4ACC2E" w14:textId="77777777" w:rsidR="00DE4516" w:rsidRDefault="00DE4516">
      <w:pPr>
        <w:pStyle w:val="TOCHeading"/>
        <w:keepNext/>
        <w:keepLines/>
        <w:tabs>
          <w:tab w:val="right" w:pos="9027"/>
        </w:tabs>
        <w:autoSpaceDE w:val="0"/>
        <w:autoSpaceDN w:val="0"/>
        <w:adjustRightInd w:val="0"/>
        <w:rPr>
          <w:bCs w:val="0"/>
          <w:szCs w:val="24"/>
        </w:rPr>
      </w:pPr>
      <w:r>
        <w:rPr>
          <w:bCs w:val="0"/>
          <w:szCs w:val="24"/>
        </w:rPr>
        <w:t>CHARTS</w:t>
      </w:r>
    </w:p>
    <w:p w14:paraId="0387EC89"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r>
        <w:rPr>
          <w:szCs w:val="24"/>
        </w:rPr>
        <w:fldChar w:fldCharType="begin"/>
      </w:r>
      <w:r>
        <w:rPr>
          <w:szCs w:val="24"/>
        </w:rPr>
        <w:instrText xml:space="preserve"> TOC \h \z \c "Chart" </w:instrText>
      </w:r>
      <w:r>
        <w:rPr>
          <w:szCs w:val="24"/>
        </w:rPr>
        <w:fldChar w:fldCharType="separate"/>
      </w:r>
      <w:hyperlink w:anchor="_Toc81566417" w:history="1">
        <w:r w:rsidRPr="00D5600E">
          <w:rPr>
            <w:color w:val="0000FF"/>
            <w:szCs w:val="24"/>
            <w:u w:val="single"/>
          </w:rPr>
          <w:t>Chart 1.1 Expenditure component contributions to GDP growth, 2014-19</w:t>
        </w:r>
        <w:r>
          <w:rPr>
            <w:noProof/>
            <w:webHidden/>
            <w:szCs w:val="24"/>
          </w:rPr>
          <w:tab/>
        </w:r>
        <w:r>
          <w:rPr>
            <w:noProof/>
            <w:webHidden/>
            <w:szCs w:val="24"/>
          </w:rPr>
          <w:fldChar w:fldCharType="begin" w:fldLock="1"/>
        </w:r>
        <w:r>
          <w:rPr>
            <w:noProof/>
            <w:webHidden/>
            <w:szCs w:val="24"/>
          </w:rPr>
          <w:instrText xml:space="preserve"> PAGEREF _Toc81566417 \h </w:instrText>
        </w:r>
        <w:r>
          <w:rPr>
            <w:noProof/>
            <w:webHidden/>
            <w:szCs w:val="24"/>
          </w:rPr>
        </w:r>
        <w:r>
          <w:rPr>
            <w:noProof/>
            <w:webHidden/>
            <w:szCs w:val="24"/>
          </w:rPr>
          <w:fldChar w:fldCharType="separate"/>
        </w:r>
        <w:r>
          <w:rPr>
            <w:noProof/>
            <w:webHidden/>
            <w:szCs w:val="24"/>
          </w:rPr>
          <w:t>12</w:t>
        </w:r>
        <w:r>
          <w:rPr>
            <w:noProof/>
            <w:webHidden/>
            <w:szCs w:val="24"/>
          </w:rPr>
          <w:fldChar w:fldCharType="end"/>
        </w:r>
      </w:hyperlink>
    </w:p>
    <w:p w14:paraId="108A05DC"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418" w:history="1">
        <w:r w:rsidRPr="00D5600E">
          <w:rPr>
            <w:color w:val="0000FF"/>
            <w:szCs w:val="24"/>
            <w:u w:val="single"/>
          </w:rPr>
          <w:t>Chart 1.2 Oil prices, revenues, and fiscal and current account deficits, 2014-20</w:t>
        </w:r>
        <w:r>
          <w:rPr>
            <w:noProof/>
            <w:webHidden/>
            <w:szCs w:val="24"/>
          </w:rPr>
          <w:tab/>
        </w:r>
        <w:r>
          <w:rPr>
            <w:noProof/>
            <w:webHidden/>
            <w:szCs w:val="24"/>
          </w:rPr>
          <w:fldChar w:fldCharType="begin" w:fldLock="1"/>
        </w:r>
        <w:r>
          <w:rPr>
            <w:noProof/>
            <w:webHidden/>
            <w:szCs w:val="24"/>
          </w:rPr>
          <w:instrText xml:space="preserve"> PAGEREF _Toc81566418 \h </w:instrText>
        </w:r>
        <w:r>
          <w:rPr>
            <w:noProof/>
            <w:webHidden/>
            <w:szCs w:val="24"/>
          </w:rPr>
        </w:r>
        <w:r>
          <w:rPr>
            <w:noProof/>
            <w:webHidden/>
            <w:szCs w:val="24"/>
          </w:rPr>
          <w:fldChar w:fldCharType="separate"/>
        </w:r>
        <w:r>
          <w:rPr>
            <w:noProof/>
            <w:webHidden/>
            <w:szCs w:val="24"/>
          </w:rPr>
          <w:t>14</w:t>
        </w:r>
        <w:r>
          <w:rPr>
            <w:noProof/>
            <w:webHidden/>
            <w:szCs w:val="24"/>
          </w:rPr>
          <w:fldChar w:fldCharType="end"/>
        </w:r>
      </w:hyperlink>
    </w:p>
    <w:p w14:paraId="1A0F8458"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419" w:history="1">
        <w:r w:rsidRPr="00D5600E">
          <w:rPr>
            <w:color w:val="0000FF"/>
            <w:szCs w:val="24"/>
            <w:u w:val="single"/>
          </w:rPr>
          <w:t>Chart 1.3 Interbank rates and CBO policy rates, 2014Q1-2021Q1</w:t>
        </w:r>
        <w:r>
          <w:rPr>
            <w:noProof/>
            <w:webHidden/>
            <w:szCs w:val="24"/>
          </w:rPr>
          <w:tab/>
        </w:r>
        <w:r>
          <w:rPr>
            <w:noProof/>
            <w:webHidden/>
            <w:szCs w:val="24"/>
          </w:rPr>
          <w:fldChar w:fldCharType="begin" w:fldLock="1"/>
        </w:r>
        <w:r>
          <w:rPr>
            <w:noProof/>
            <w:webHidden/>
            <w:szCs w:val="24"/>
          </w:rPr>
          <w:instrText xml:space="preserve"> PAGEREF _Toc81566419 \h </w:instrText>
        </w:r>
        <w:r>
          <w:rPr>
            <w:noProof/>
            <w:webHidden/>
            <w:szCs w:val="24"/>
          </w:rPr>
        </w:r>
        <w:r>
          <w:rPr>
            <w:noProof/>
            <w:webHidden/>
            <w:szCs w:val="24"/>
          </w:rPr>
          <w:fldChar w:fldCharType="separate"/>
        </w:r>
        <w:r>
          <w:rPr>
            <w:noProof/>
            <w:webHidden/>
            <w:szCs w:val="24"/>
          </w:rPr>
          <w:t>15</w:t>
        </w:r>
        <w:r>
          <w:rPr>
            <w:noProof/>
            <w:webHidden/>
            <w:szCs w:val="24"/>
          </w:rPr>
          <w:fldChar w:fldCharType="end"/>
        </w:r>
      </w:hyperlink>
    </w:p>
    <w:p w14:paraId="6054D904"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420" w:history="1">
        <w:r w:rsidRPr="00D5600E">
          <w:rPr>
            <w:color w:val="0000FF"/>
            <w:szCs w:val="24"/>
            <w:u w:val="single"/>
          </w:rPr>
          <w:t>Chart 1.4 Product composition of merchandise trade by main HS sections, 2014 and 2020</w:t>
        </w:r>
        <w:r>
          <w:rPr>
            <w:noProof/>
            <w:webHidden/>
            <w:szCs w:val="24"/>
          </w:rPr>
          <w:tab/>
        </w:r>
        <w:r>
          <w:rPr>
            <w:noProof/>
            <w:webHidden/>
            <w:szCs w:val="24"/>
          </w:rPr>
          <w:fldChar w:fldCharType="begin" w:fldLock="1"/>
        </w:r>
        <w:r>
          <w:rPr>
            <w:noProof/>
            <w:webHidden/>
            <w:szCs w:val="24"/>
          </w:rPr>
          <w:instrText xml:space="preserve"> PAGEREF _Toc81566420 \h </w:instrText>
        </w:r>
        <w:r>
          <w:rPr>
            <w:noProof/>
            <w:webHidden/>
            <w:szCs w:val="24"/>
          </w:rPr>
        </w:r>
        <w:r>
          <w:rPr>
            <w:noProof/>
            <w:webHidden/>
            <w:szCs w:val="24"/>
          </w:rPr>
          <w:fldChar w:fldCharType="separate"/>
        </w:r>
        <w:r>
          <w:rPr>
            <w:noProof/>
            <w:webHidden/>
            <w:szCs w:val="24"/>
          </w:rPr>
          <w:t>18</w:t>
        </w:r>
        <w:r>
          <w:rPr>
            <w:noProof/>
            <w:webHidden/>
            <w:szCs w:val="24"/>
          </w:rPr>
          <w:fldChar w:fldCharType="end"/>
        </w:r>
      </w:hyperlink>
    </w:p>
    <w:p w14:paraId="32165F5F"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421" w:history="1">
        <w:r w:rsidRPr="00D5600E">
          <w:rPr>
            <w:color w:val="0000FF"/>
            <w:szCs w:val="24"/>
            <w:u w:val="single"/>
          </w:rPr>
          <w:t>Chart 1.5 Direction of merchandise trade, 2014 and 2020</w:t>
        </w:r>
        <w:r>
          <w:rPr>
            <w:noProof/>
            <w:webHidden/>
            <w:szCs w:val="24"/>
          </w:rPr>
          <w:tab/>
        </w:r>
        <w:r>
          <w:rPr>
            <w:noProof/>
            <w:webHidden/>
            <w:szCs w:val="24"/>
          </w:rPr>
          <w:fldChar w:fldCharType="begin" w:fldLock="1"/>
        </w:r>
        <w:r>
          <w:rPr>
            <w:noProof/>
            <w:webHidden/>
            <w:szCs w:val="24"/>
          </w:rPr>
          <w:instrText xml:space="preserve"> PAGEREF _Toc81566421 \h </w:instrText>
        </w:r>
        <w:r>
          <w:rPr>
            <w:noProof/>
            <w:webHidden/>
            <w:szCs w:val="24"/>
          </w:rPr>
        </w:r>
        <w:r>
          <w:rPr>
            <w:noProof/>
            <w:webHidden/>
            <w:szCs w:val="24"/>
          </w:rPr>
          <w:fldChar w:fldCharType="separate"/>
        </w:r>
        <w:r>
          <w:rPr>
            <w:noProof/>
            <w:webHidden/>
            <w:szCs w:val="24"/>
          </w:rPr>
          <w:t>19</w:t>
        </w:r>
        <w:r>
          <w:rPr>
            <w:noProof/>
            <w:webHidden/>
            <w:szCs w:val="24"/>
          </w:rPr>
          <w:fldChar w:fldCharType="end"/>
        </w:r>
      </w:hyperlink>
    </w:p>
    <w:p w14:paraId="1F558F16"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422" w:history="1">
        <w:r w:rsidRPr="00D5600E">
          <w:rPr>
            <w:color w:val="0000FF"/>
            <w:szCs w:val="24"/>
            <w:u w:val="single"/>
          </w:rPr>
          <w:t>Chart 3.1 Distribution of MFN tariff rates, 2021</w:t>
        </w:r>
        <w:r>
          <w:rPr>
            <w:noProof/>
            <w:webHidden/>
            <w:szCs w:val="24"/>
          </w:rPr>
          <w:tab/>
        </w:r>
        <w:r>
          <w:rPr>
            <w:noProof/>
            <w:webHidden/>
            <w:szCs w:val="24"/>
          </w:rPr>
          <w:fldChar w:fldCharType="begin" w:fldLock="1"/>
        </w:r>
        <w:r>
          <w:rPr>
            <w:noProof/>
            <w:webHidden/>
            <w:szCs w:val="24"/>
          </w:rPr>
          <w:instrText xml:space="preserve"> PAGEREF _Toc81566422 \h </w:instrText>
        </w:r>
        <w:r>
          <w:rPr>
            <w:noProof/>
            <w:webHidden/>
            <w:szCs w:val="24"/>
          </w:rPr>
        </w:r>
        <w:r>
          <w:rPr>
            <w:noProof/>
            <w:webHidden/>
            <w:szCs w:val="24"/>
          </w:rPr>
          <w:fldChar w:fldCharType="separate"/>
        </w:r>
        <w:r>
          <w:rPr>
            <w:noProof/>
            <w:webHidden/>
            <w:szCs w:val="24"/>
          </w:rPr>
          <w:t>37</w:t>
        </w:r>
        <w:r>
          <w:rPr>
            <w:noProof/>
            <w:webHidden/>
            <w:szCs w:val="24"/>
          </w:rPr>
          <w:fldChar w:fldCharType="end"/>
        </w:r>
      </w:hyperlink>
    </w:p>
    <w:p w14:paraId="305F1516" w14:textId="77777777" w:rsidR="00DE4516" w:rsidRDefault="00DE4516">
      <w:pPr>
        <w:keepNext/>
        <w:keepLines/>
        <w:tabs>
          <w:tab w:val="right" w:pos="9027"/>
        </w:tabs>
        <w:autoSpaceDE w:val="0"/>
        <w:autoSpaceDN w:val="0"/>
        <w:adjustRightInd w:val="0"/>
        <w:rPr>
          <w:rFonts w:ascii="Times New Roman" w:hAnsi="Times New Roman"/>
          <w:sz w:val="24"/>
          <w:szCs w:val="24"/>
        </w:rPr>
      </w:pPr>
      <w:r>
        <w:rPr>
          <w:szCs w:val="24"/>
        </w:rPr>
        <w:fldChar w:fldCharType="end"/>
      </w:r>
    </w:p>
    <w:p w14:paraId="4AB8BB84" w14:textId="77777777" w:rsidR="00DE4516" w:rsidRDefault="00DE4516">
      <w:pPr>
        <w:pStyle w:val="TOCHeading"/>
        <w:autoSpaceDE w:val="0"/>
        <w:autoSpaceDN w:val="0"/>
        <w:adjustRightInd w:val="0"/>
        <w:rPr>
          <w:bCs w:val="0"/>
          <w:szCs w:val="24"/>
        </w:rPr>
      </w:pPr>
      <w:r>
        <w:rPr>
          <w:bCs w:val="0"/>
          <w:szCs w:val="24"/>
        </w:rPr>
        <w:t>TABLES</w:t>
      </w:r>
    </w:p>
    <w:p w14:paraId="2BFE9E95"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r>
        <w:rPr>
          <w:szCs w:val="24"/>
        </w:rPr>
        <w:fldChar w:fldCharType="begin"/>
      </w:r>
      <w:r>
        <w:rPr>
          <w:szCs w:val="24"/>
        </w:rPr>
        <w:instrText xml:space="preserve"> TOC \h \z \c "Table" </w:instrText>
      </w:r>
      <w:r>
        <w:rPr>
          <w:szCs w:val="24"/>
        </w:rPr>
        <w:fldChar w:fldCharType="separate"/>
      </w:r>
      <w:hyperlink w:anchor="_Toc81566583" w:history="1">
        <w:r w:rsidRPr="00D5600E">
          <w:rPr>
            <w:color w:val="0000FF"/>
            <w:szCs w:val="24"/>
            <w:u w:val="single"/>
          </w:rPr>
          <w:t>Table 1.1 GDP by economic activity, 2014-20</w:t>
        </w:r>
        <w:r>
          <w:rPr>
            <w:noProof/>
            <w:webHidden/>
            <w:szCs w:val="24"/>
          </w:rPr>
          <w:tab/>
        </w:r>
        <w:r>
          <w:rPr>
            <w:noProof/>
            <w:webHidden/>
            <w:szCs w:val="24"/>
          </w:rPr>
          <w:fldChar w:fldCharType="begin" w:fldLock="1"/>
        </w:r>
        <w:r>
          <w:rPr>
            <w:noProof/>
            <w:webHidden/>
            <w:szCs w:val="24"/>
          </w:rPr>
          <w:instrText xml:space="preserve"> PAGEREF _Toc81566583 \h </w:instrText>
        </w:r>
        <w:r>
          <w:rPr>
            <w:noProof/>
            <w:webHidden/>
            <w:szCs w:val="24"/>
          </w:rPr>
        </w:r>
        <w:r>
          <w:rPr>
            <w:noProof/>
            <w:webHidden/>
            <w:szCs w:val="24"/>
          </w:rPr>
          <w:fldChar w:fldCharType="separate"/>
        </w:r>
        <w:r>
          <w:rPr>
            <w:noProof/>
            <w:webHidden/>
            <w:szCs w:val="24"/>
          </w:rPr>
          <w:t>10</w:t>
        </w:r>
        <w:r>
          <w:rPr>
            <w:noProof/>
            <w:webHidden/>
            <w:szCs w:val="24"/>
          </w:rPr>
          <w:fldChar w:fldCharType="end"/>
        </w:r>
      </w:hyperlink>
    </w:p>
    <w:p w14:paraId="6216759F"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84" w:history="1">
        <w:r w:rsidRPr="00D5600E">
          <w:rPr>
            <w:color w:val="0000FF"/>
            <w:szCs w:val="24"/>
            <w:u w:val="single"/>
          </w:rPr>
          <w:t>Table 1.2 Oman population, 2014-20</w:t>
        </w:r>
        <w:r>
          <w:rPr>
            <w:noProof/>
            <w:webHidden/>
            <w:szCs w:val="24"/>
          </w:rPr>
          <w:tab/>
        </w:r>
        <w:r>
          <w:rPr>
            <w:noProof/>
            <w:webHidden/>
            <w:szCs w:val="24"/>
          </w:rPr>
          <w:fldChar w:fldCharType="begin" w:fldLock="1"/>
        </w:r>
        <w:r>
          <w:rPr>
            <w:noProof/>
            <w:webHidden/>
            <w:szCs w:val="24"/>
          </w:rPr>
          <w:instrText xml:space="preserve"> PAGEREF _Toc81566584 \h </w:instrText>
        </w:r>
        <w:r>
          <w:rPr>
            <w:noProof/>
            <w:webHidden/>
            <w:szCs w:val="24"/>
          </w:rPr>
        </w:r>
        <w:r>
          <w:rPr>
            <w:noProof/>
            <w:webHidden/>
            <w:szCs w:val="24"/>
          </w:rPr>
          <w:fldChar w:fldCharType="separate"/>
        </w:r>
        <w:r>
          <w:rPr>
            <w:noProof/>
            <w:webHidden/>
            <w:szCs w:val="24"/>
          </w:rPr>
          <w:t>11</w:t>
        </w:r>
        <w:r>
          <w:rPr>
            <w:noProof/>
            <w:webHidden/>
            <w:szCs w:val="24"/>
          </w:rPr>
          <w:fldChar w:fldCharType="end"/>
        </w:r>
      </w:hyperlink>
    </w:p>
    <w:p w14:paraId="12AB3725"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85" w:history="1">
        <w:r w:rsidRPr="00D5600E">
          <w:rPr>
            <w:color w:val="0000FF"/>
            <w:szCs w:val="24"/>
            <w:u w:val="single"/>
          </w:rPr>
          <w:t>Table 1.3 Selected macroeconomic indicators, 2014-20</w:t>
        </w:r>
        <w:r>
          <w:rPr>
            <w:noProof/>
            <w:webHidden/>
            <w:szCs w:val="24"/>
          </w:rPr>
          <w:tab/>
        </w:r>
        <w:r>
          <w:rPr>
            <w:noProof/>
            <w:webHidden/>
            <w:szCs w:val="24"/>
          </w:rPr>
          <w:fldChar w:fldCharType="begin" w:fldLock="1"/>
        </w:r>
        <w:r>
          <w:rPr>
            <w:noProof/>
            <w:webHidden/>
            <w:szCs w:val="24"/>
          </w:rPr>
          <w:instrText xml:space="preserve"> PAGEREF _Toc81566585 \h </w:instrText>
        </w:r>
        <w:r>
          <w:rPr>
            <w:noProof/>
            <w:webHidden/>
            <w:szCs w:val="24"/>
          </w:rPr>
        </w:r>
        <w:r>
          <w:rPr>
            <w:noProof/>
            <w:webHidden/>
            <w:szCs w:val="24"/>
          </w:rPr>
          <w:fldChar w:fldCharType="separate"/>
        </w:r>
        <w:r>
          <w:rPr>
            <w:noProof/>
            <w:webHidden/>
            <w:szCs w:val="24"/>
          </w:rPr>
          <w:t>11</w:t>
        </w:r>
        <w:r>
          <w:rPr>
            <w:noProof/>
            <w:webHidden/>
            <w:szCs w:val="24"/>
          </w:rPr>
          <w:fldChar w:fldCharType="end"/>
        </w:r>
      </w:hyperlink>
    </w:p>
    <w:p w14:paraId="4D6F4CE0"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86" w:history="1">
        <w:r w:rsidRPr="00D5600E">
          <w:rPr>
            <w:color w:val="0000FF"/>
            <w:szCs w:val="24"/>
            <w:u w:val="single"/>
          </w:rPr>
          <w:t>Table 1.4 Balance of payments, 2014-20</w:t>
        </w:r>
        <w:r>
          <w:rPr>
            <w:noProof/>
            <w:webHidden/>
            <w:szCs w:val="24"/>
          </w:rPr>
          <w:tab/>
        </w:r>
        <w:r>
          <w:rPr>
            <w:noProof/>
            <w:webHidden/>
            <w:szCs w:val="24"/>
          </w:rPr>
          <w:fldChar w:fldCharType="begin" w:fldLock="1"/>
        </w:r>
        <w:r>
          <w:rPr>
            <w:noProof/>
            <w:webHidden/>
            <w:szCs w:val="24"/>
          </w:rPr>
          <w:instrText xml:space="preserve"> PAGEREF _Toc81566586 \h </w:instrText>
        </w:r>
        <w:r>
          <w:rPr>
            <w:noProof/>
            <w:webHidden/>
            <w:szCs w:val="24"/>
          </w:rPr>
        </w:r>
        <w:r>
          <w:rPr>
            <w:noProof/>
            <w:webHidden/>
            <w:szCs w:val="24"/>
          </w:rPr>
          <w:fldChar w:fldCharType="separate"/>
        </w:r>
        <w:r>
          <w:rPr>
            <w:noProof/>
            <w:webHidden/>
            <w:szCs w:val="24"/>
          </w:rPr>
          <w:t>16</w:t>
        </w:r>
        <w:r>
          <w:rPr>
            <w:noProof/>
            <w:webHidden/>
            <w:szCs w:val="24"/>
          </w:rPr>
          <w:fldChar w:fldCharType="end"/>
        </w:r>
      </w:hyperlink>
    </w:p>
    <w:p w14:paraId="41E4FD53"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87" w:history="1">
        <w:r w:rsidRPr="00D5600E">
          <w:rPr>
            <w:color w:val="0000FF"/>
            <w:szCs w:val="24"/>
            <w:u w:val="single"/>
          </w:rPr>
          <w:t>Table 1.5 Trade in services, 2014-20</w:t>
        </w:r>
        <w:r>
          <w:rPr>
            <w:noProof/>
            <w:webHidden/>
            <w:szCs w:val="24"/>
          </w:rPr>
          <w:tab/>
        </w:r>
        <w:r>
          <w:rPr>
            <w:noProof/>
            <w:webHidden/>
            <w:szCs w:val="24"/>
          </w:rPr>
          <w:fldChar w:fldCharType="begin" w:fldLock="1"/>
        </w:r>
        <w:r>
          <w:rPr>
            <w:noProof/>
            <w:webHidden/>
            <w:szCs w:val="24"/>
          </w:rPr>
          <w:instrText xml:space="preserve"> PAGEREF _Toc81566587 \h </w:instrText>
        </w:r>
        <w:r>
          <w:rPr>
            <w:noProof/>
            <w:webHidden/>
            <w:szCs w:val="24"/>
          </w:rPr>
        </w:r>
        <w:r>
          <w:rPr>
            <w:noProof/>
            <w:webHidden/>
            <w:szCs w:val="24"/>
          </w:rPr>
          <w:fldChar w:fldCharType="separate"/>
        </w:r>
        <w:r>
          <w:rPr>
            <w:noProof/>
            <w:webHidden/>
            <w:szCs w:val="24"/>
          </w:rPr>
          <w:t>19</w:t>
        </w:r>
        <w:r>
          <w:rPr>
            <w:noProof/>
            <w:webHidden/>
            <w:szCs w:val="24"/>
          </w:rPr>
          <w:fldChar w:fldCharType="end"/>
        </w:r>
      </w:hyperlink>
    </w:p>
    <w:p w14:paraId="08D72BBA"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88" w:history="1">
        <w:r w:rsidRPr="00D5600E">
          <w:rPr>
            <w:color w:val="0000FF"/>
            <w:szCs w:val="24"/>
            <w:u w:val="single"/>
          </w:rPr>
          <w:t>Table 1.6 FDI stock, 2014-19</w:t>
        </w:r>
        <w:r>
          <w:rPr>
            <w:noProof/>
            <w:webHidden/>
            <w:szCs w:val="24"/>
          </w:rPr>
          <w:tab/>
        </w:r>
        <w:r>
          <w:rPr>
            <w:noProof/>
            <w:webHidden/>
            <w:szCs w:val="24"/>
          </w:rPr>
          <w:fldChar w:fldCharType="begin" w:fldLock="1"/>
        </w:r>
        <w:r>
          <w:rPr>
            <w:noProof/>
            <w:webHidden/>
            <w:szCs w:val="24"/>
          </w:rPr>
          <w:instrText xml:space="preserve"> PAGEREF _Toc81566588 \h </w:instrText>
        </w:r>
        <w:r>
          <w:rPr>
            <w:noProof/>
            <w:webHidden/>
            <w:szCs w:val="24"/>
          </w:rPr>
        </w:r>
        <w:r>
          <w:rPr>
            <w:noProof/>
            <w:webHidden/>
            <w:szCs w:val="24"/>
          </w:rPr>
          <w:fldChar w:fldCharType="separate"/>
        </w:r>
        <w:r>
          <w:rPr>
            <w:noProof/>
            <w:webHidden/>
            <w:szCs w:val="24"/>
          </w:rPr>
          <w:t>20</w:t>
        </w:r>
        <w:r>
          <w:rPr>
            <w:noProof/>
            <w:webHidden/>
            <w:szCs w:val="24"/>
          </w:rPr>
          <w:fldChar w:fldCharType="end"/>
        </w:r>
      </w:hyperlink>
    </w:p>
    <w:p w14:paraId="41B5387D"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89" w:history="1">
        <w:r w:rsidRPr="00D5600E">
          <w:rPr>
            <w:color w:val="0000FF"/>
            <w:szCs w:val="24"/>
            <w:u w:val="single"/>
          </w:rPr>
          <w:t>Table 2.1 List of ministries and their recent changes</w:t>
        </w:r>
        <w:r>
          <w:rPr>
            <w:noProof/>
            <w:webHidden/>
            <w:szCs w:val="24"/>
          </w:rPr>
          <w:tab/>
        </w:r>
        <w:r>
          <w:rPr>
            <w:noProof/>
            <w:webHidden/>
            <w:szCs w:val="24"/>
          </w:rPr>
          <w:fldChar w:fldCharType="begin" w:fldLock="1"/>
        </w:r>
        <w:r>
          <w:rPr>
            <w:noProof/>
            <w:webHidden/>
            <w:szCs w:val="24"/>
          </w:rPr>
          <w:instrText xml:space="preserve"> PAGEREF _Toc81566589 \h </w:instrText>
        </w:r>
        <w:r>
          <w:rPr>
            <w:noProof/>
            <w:webHidden/>
            <w:szCs w:val="24"/>
          </w:rPr>
        </w:r>
        <w:r>
          <w:rPr>
            <w:noProof/>
            <w:webHidden/>
            <w:szCs w:val="24"/>
          </w:rPr>
          <w:fldChar w:fldCharType="separate"/>
        </w:r>
        <w:r>
          <w:rPr>
            <w:noProof/>
            <w:webHidden/>
            <w:szCs w:val="24"/>
          </w:rPr>
          <w:t>23</w:t>
        </w:r>
        <w:r>
          <w:rPr>
            <w:noProof/>
            <w:webHidden/>
            <w:szCs w:val="24"/>
          </w:rPr>
          <w:fldChar w:fldCharType="end"/>
        </w:r>
      </w:hyperlink>
    </w:p>
    <w:p w14:paraId="6044FCE8"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0" w:history="1">
        <w:r w:rsidRPr="00D5600E">
          <w:rPr>
            <w:color w:val="0000FF"/>
            <w:szCs w:val="24"/>
            <w:u w:val="single"/>
          </w:rPr>
          <w:t>Table 2.2 Main trade-related laws, 2021</w:t>
        </w:r>
        <w:r>
          <w:rPr>
            <w:noProof/>
            <w:webHidden/>
            <w:szCs w:val="24"/>
          </w:rPr>
          <w:tab/>
        </w:r>
        <w:r>
          <w:rPr>
            <w:noProof/>
            <w:webHidden/>
            <w:szCs w:val="24"/>
          </w:rPr>
          <w:fldChar w:fldCharType="begin" w:fldLock="1"/>
        </w:r>
        <w:r>
          <w:rPr>
            <w:noProof/>
            <w:webHidden/>
            <w:szCs w:val="24"/>
          </w:rPr>
          <w:instrText xml:space="preserve"> PAGEREF _Toc81566590 \h </w:instrText>
        </w:r>
        <w:r>
          <w:rPr>
            <w:noProof/>
            <w:webHidden/>
            <w:szCs w:val="24"/>
          </w:rPr>
        </w:r>
        <w:r>
          <w:rPr>
            <w:noProof/>
            <w:webHidden/>
            <w:szCs w:val="24"/>
          </w:rPr>
          <w:fldChar w:fldCharType="separate"/>
        </w:r>
        <w:r>
          <w:rPr>
            <w:noProof/>
            <w:webHidden/>
            <w:szCs w:val="24"/>
          </w:rPr>
          <w:t>25</w:t>
        </w:r>
        <w:r>
          <w:rPr>
            <w:noProof/>
            <w:webHidden/>
            <w:szCs w:val="24"/>
          </w:rPr>
          <w:fldChar w:fldCharType="end"/>
        </w:r>
      </w:hyperlink>
    </w:p>
    <w:p w14:paraId="51A746E4"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1" w:history="1">
        <w:r w:rsidRPr="00D5600E">
          <w:rPr>
            <w:color w:val="0000FF"/>
            <w:szCs w:val="24"/>
            <w:u w:val="single"/>
          </w:rPr>
          <w:t>Table 2.3 Selected notifications to the WTO, June 2021</w:t>
        </w:r>
        <w:r>
          <w:rPr>
            <w:noProof/>
            <w:webHidden/>
            <w:szCs w:val="24"/>
          </w:rPr>
          <w:tab/>
        </w:r>
        <w:r>
          <w:rPr>
            <w:noProof/>
            <w:webHidden/>
            <w:szCs w:val="24"/>
          </w:rPr>
          <w:fldChar w:fldCharType="begin" w:fldLock="1"/>
        </w:r>
        <w:r>
          <w:rPr>
            <w:noProof/>
            <w:webHidden/>
            <w:szCs w:val="24"/>
          </w:rPr>
          <w:instrText xml:space="preserve"> PAGEREF _Toc81566591 \h </w:instrText>
        </w:r>
        <w:r>
          <w:rPr>
            <w:noProof/>
            <w:webHidden/>
            <w:szCs w:val="24"/>
          </w:rPr>
        </w:r>
        <w:r>
          <w:rPr>
            <w:noProof/>
            <w:webHidden/>
            <w:szCs w:val="24"/>
          </w:rPr>
          <w:fldChar w:fldCharType="separate"/>
        </w:r>
        <w:r>
          <w:rPr>
            <w:noProof/>
            <w:webHidden/>
            <w:szCs w:val="24"/>
          </w:rPr>
          <w:t>26</w:t>
        </w:r>
        <w:r>
          <w:rPr>
            <w:noProof/>
            <w:webHidden/>
            <w:szCs w:val="24"/>
          </w:rPr>
          <w:fldChar w:fldCharType="end"/>
        </w:r>
      </w:hyperlink>
    </w:p>
    <w:p w14:paraId="19578746"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2" w:history="1">
        <w:r w:rsidRPr="00D5600E">
          <w:rPr>
            <w:color w:val="0000FF"/>
            <w:szCs w:val="24"/>
            <w:u w:val="single"/>
          </w:rPr>
          <w:t>Table 3.1 Structure of Oman's MFN tariff, 2014 and 2021</w:t>
        </w:r>
        <w:r>
          <w:rPr>
            <w:noProof/>
            <w:webHidden/>
            <w:szCs w:val="24"/>
          </w:rPr>
          <w:tab/>
        </w:r>
        <w:r>
          <w:rPr>
            <w:noProof/>
            <w:webHidden/>
            <w:szCs w:val="24"/>
          </w:rPr>
          <w:fldChar w:fldCharType="begin" w:fldLock="1"/>
        </w:r>
        <w:r>
          <w:rPr>
            <w:noProof/>
            <w:webHidden/>
            <w:szCs w:val="24"/>
          </w:rPr>
          <w:instrText xml:space="preserve"> PAGEREF _Toc81566592 \h </w:instrText>
        </w:r>
        <w:r>
          <w:rPr>
            <w:noProof/>
            <w:webHidden/>
            <w:szCs w:val="24"/>
          </w:rPr>
        </w:r>
        <w:r>
          <w:rPr>
            <w:noProof/>
            <w:webHidden/>
            <w:szCs w:val="24"/>
          </w:rPr>
          <w:fldChar w:fldCharType="separate"/>
        </w:r>
        <w:r>
          <w:rPr>
            <w:noProof/>
            <w:webHidden/>
            <w:szCs w:val="24"/>
          </w:rPr>
          <w:t>36</w:t>
        </w:r>
        <w:r>
          <w:rPr>
            <w:noProof/>
            <w:webHidden/>
            <w:szCs w:val="24"/>
          </w:rPr>
          <w:fldChar w:fldCharType="end"/>
        </w:r>
      </w:hyperlink>
    </w:p>
    <w:p w14:paraId="4DED583A"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3" w:history="1">
        <w:r w:rsidRPr="00D5600E">
          <w:rPr>
            <w:color w:val="0000FF"/>
            <w:szCs w:val="24"/>
            <w:u w:val="single"/>
          </w:rPr>
          <w:t>Table 3.2 Oman's applied MFN tariff summary, 2021</w:t>
        </w:r>
        <w:r>
          <w:rPr>
            <w:noProof/>
            <w:webHidden/>
            <w:szCs w:val="24"/>
          </w:rPr>
          <w:tab/>
        </w:r>
        <w:r>
          <w:rPr>
            <w:noProof/>
            <w:webHidden/>
            <w:szCs w:val="24"/>
          </w:rPr>
          <w:fldChar w:fldCharType="begin" w:fldLock="1"/>
        </w:r>
        <w:r>
          <w:rPr>
            <w:noProof/>
            <w:webHidden/>
            <w:szCs w:val="24"/>
          </w:rPr>
          <w:instrText xml:space="preserve"> PAGEREF _Toc81566593 \h </w:instrText>
        </w:r>
        <w:r>
          <w:rPr>
            <w:noProof/>
            <w:webHidden/>
            <w:szCs w:val="24"/>
          </w:rPr>
        </w:r>
        <w:r>
          <w:rPr>
            <w:noProof/>
            <w:webHidden/>
            <w:szCs w:val="24"/>
          </w:rPr>
          <w:fldChar w:fldCharType="separate"/>
        </w:r>
        <w:r>
          <w:rPr>
            <w:noProof/>
            <w:webHidden/>
            <w:szCs w:val="24"/>
          </w:rPr>
          <w:t>37</w:t>
        </w:r>
        <w:r>
          <w:rPr>
            <w:noProof/>
            <w:webHidden/>
            <w:szCs w:val="24"/>
          </w:rPr>
          <w:fldChar w:fldCharType="end"/>
        </w:r>
      </w:hyperlink>
    </w:p>
    <w:p w14:paraId="255E9412"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4" w:history="1">
        <w:r w:rsidRPr="00D5600E">
          <w:rPr>
            <w:color w:val="0000FF"/>
            <w:szCs w:val="24"/>
            <w:u w:val="single"/>
          </w:rPr>
          <w:t>Table 3.3 Customs revenue, 2014-20</w:t>
        </w:r>
        <w:r>
          <w:rPr>
            <w:noProof/>
            <w:webHidden/>
            <w:szCs w:val="24"/>
          </w:rPr>
          <w:tab/>
        </w:r>
        <w:r>
          <w:rPr>
            <w:noProof/>
            <w:webHidden/>
            <w:szCs w:val="24"/>
          </w:rPr>
          <w:fldChar w:fldCharType="begin" w:fldLock="1"/>
        </w:r>
        <w:r>
          <w:rPr>
            <w:noProof/>
            <w:webHidden/>
            <w:szCs w:val="24"/>
          </w:rPr>
          <w:instrText xml:space="preserve"> PAGEREF _Toc81566594 \h </w:instrText>
        </w:r>
        <w:r>
          <w:rPr>
            <w:noProof/>
            <w:webHidden/>
            <w:szCs w:val="24"/>
          </w:rPr>
        </w:r>
        <w:r>
          <w:rPr>
            <w:noProof/>
            <w:webHidden/>
            <w:szCs w:val="24"/>
          </w:rPr>
          <w:fldChar w:fldCharType="separate"/>
        </w:r>
        <w:r>
          <w:rPr>
            <w:noProof/>
            <w:webHidden/>
            <w:szCs w:val="24"/>
          </w:rPr>
          <w:t>38</w:t>
        </w:r>
        <w:r>
          <w:rPr>
            <w:noProof/>
            <w:webHidden/>
            <w:szCs w:val="24"/>
          </w:rPr>
          <w:fldChar w:fldCharType="end"/>
        </w:r>
      </w:hyperlink>
    </w:p>
    <w:p w14:paraId="386338B4"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5" w:history="1">
        <w:r w:rsidRPr="00D5600E">
          <w:rPr>
            <w:color w:val="0000FF"/>
            <w:szCs w:val="24"/>
            <w:u w:val="single"/>
          </w:rPr>
          <w:t>Table 3.4 Tariff lines where applied rate exceeds bound tariff rate</w:t>
        </w:r>
        <w:r>
          <w:rPr>
            <w:noProof/>
            <w:webHidden/>
            <w:szCs w:val="24"/>
          </w:rPr>
          <w:tab/>
        </w:r>
        <w:r>
          <w:rPr>
            <w:noProof/>
            <w:webHidden/>
            <w:szCs w:val="24"/>
          </w:rPr>
          <w:fldChar w:fldCharType="begin" w:fldLock="1"/>
        </w:r>
        <w:r>
          <w:rPr>
            <w:noProof/>
            <w:webHidden/>
            <w:szCs w:val="24"/>
          </w:rPr>
          <w:instrText xml:space="preserve"> PAGEREF _Toc81566595 \h </w:instrText>
        </w:r>
        <w:r>
          <w:rPr>
            <w:noProof/>
            <w:webHidden/>
            <w:szCs w:val="24"/>
          </w:rPr>
        </w:r>
        <w:r>
          <w:rPr>
            <w:noProof/>
            <w:webHidden/>
            <w:szCs w:val="24"/>
          </w:rPr>
          <w:fldChar w:fldCharType="separate"/>
        </w:r>
        <w:r>
          <w:rPr>
            <w:noProof/>
            <w:webHidden/>
            <w:szCs w:val="24"/>
          </w:rPr>
          <w:t>38</w:t>
        </w:r>
        <w:r>
          <w:rPr>
            <w:noProof/>
            <w:webHidden/>
            <w:szCs w:val="24"/>
          </w:rPr>
          <w:fldChar w:fldCharType="end"/>
        </w:r>
      </w:hyperlink>
    </w:p>
    <w:p w14:paraId="518313C7"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6" w:history="1">
        <w:r w:rsidRPr="00D5600E">
          <w:rPr>
            <w:color w:val="0000FF"/>
            <w:szCs w:val="24"/>
            <w:u w:val="single"/>
          </w:rPr>
          <w:t>Table 3.5 Tariffs under preferential agreements, 2021</w:t>
        </w:r>
        <w:r>
          <w:rPr>
            <w:noProof/>
            <w:webHidden/>
            <w:szCs w:val="24"/>
          </w:rPr>
          <w:tab/>
        </w:r>
        <w:r>
          <w:rPr>
            <w:noProof/>
            <w:webHidden/>
            <w:szCs w:val="24"/>
          </w:rPr>
          <w:fldChar w:fldCharType="begin" w:fldLock="1"/>
        </w:r>
        <w:r>
          <w:rPr>
            <w:noProof/>
            <w:webHidden/>
            <w:szCs w:val="24"/>
          </w:rPr>
          <w:instrText xml:space="preserve"> PAGEREF _Toc81566596 \h </w:instrText>
        </w:r>
        <w:r>
          <w:rPr>
            <w:noProof/>
            <w:webHidden/>
            <w:szCs w:val="24"/>
          </w:rPr>
        </w:r>
        <w:r>
          <w:rPr>
            <w:noProof/>
            <w:webHidden/>
            <w:szCs w:val="24"/>
          </w:rPr>
          <w:fldChar w:fldCharType="separate"/>
        </w:r>
        <w:r>
          <w:rPr>
            <w:noProof/>
            <w:webHidden/>
            <w:szCs w:val="24"/>
          </w:rPr>
          <w:t>39</w:t>
        </w:r>
        <w:r>
          <w:rPr>
            <w:noProof/>
            <w:webHidden/>
            <w:szCs w:val="24"/>
          </w:rPr>
          <w:fldChar w:fldCharType="end"/>
        </w:r>
      </w:hyperlink>
    </w:p>
    <w:p w14:paraId="2C9A9096"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7" w:history="1">
        <w:r w:rsidRPr="00D5600E">
          <w:rPr>
            <w:color w:val="0000FF"/>
            <w:szCs w:val="24"/>
            <w:u w:val="single"/>
          </w:rPr>
          <w:t>Table 3.6 Import prohibitions</w:t>
        </w:r>
        <w:r>
          <w:rPr>
            <w:noProof/>
            <w:webHidden/>
            <w:szCs w:val="24"/>
          </w:rPr>
          <w:tab/>
        </w:r>
        <w:r>
          <w:rPr>
            <w:noProof/>
            <w:webHidden/>
            <w:szCs w:val="24"/>
          </w:rPr>
          <w:fldChar w:fldCharType="begin" w:fldLock="1"/>
        </w:r>
        <w:r>
          <w:rPr>
            <w:noProof/>
            <w:webHidden/>
            <w:szCs w:val="24"/>
          </w:rPr>
          <w:instrText xml:space="preserve"> PAGEREF _Toc81566597 \h </w:instrText>
        </w:r>
        <w:r>
          <w:rPr>
            <w:noProof/>
            <w:webHidden/>
            <w:szCs w:val="24"/>
          </w:rPr>
        </w:r>
        <w:r>
          <w:rPr>
            <w:noProof/>
            <w:webHidden/>
            <w:szCs w:val="24"/>
          </w:rPr>
          <w:fldChar w:fldCharType="separate"/>
        </w:r>
        <w:r>
          <w:rPr>
            <w:noProof/>
            <w:webHidden/>
            <w:szCs w:val="24"/>
          </w:rPr>
          <w:t>40</w:t>
        </w:r>
        <w:r>
          <w:rPr>
            <w:noProof/>
            <w:webHidden/>
            <w:szCs w:val="24"/>
          </w:rPr>
          <w:fldChar w:fldCharType="end"/>
        </w:r>
      </w:hyperlink>
    </w:p>
    <w:p w14:paraId="40A9956C"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8" w:history="1">
        <w:r w:rsidRPr="00D5600E">
          <w:rPr>
            <w:color w:val="0000FF"/>
            <w:szCs w:val="24"/>
            <w:u w:val="single"/>
          </w:rPr>
          <w:t>Table 3.7 Import restrictions, June 2021</w:t>
        </w:r>
        <w:r>
          <w:rPr>
            <w:noProof/>
            <w:webHidden/>
            <w:szCs w:val="24"/>
          </w:rPr>
          <w:tab/>
        </w:r>
        <w:r>
          <w:rPr>
            <w:noProof/>
            <w:webHidden/>
            <w:szCs w:val="24"/>
          </w:rPr>
          <w:fldChar w:fldCharType="begin" w:fldLock="1"/>
        </w:r>
        <w:r>
          <w:rPr>
            <w:noProof/>
            <w:webHidden/>
            <w:szCs w:val="24"/>
          </w:rPr>
          <w:instrText xml:space="preserve"> PAGEREF _Toc81566598 \h </w:instrText>
        </w:r>
        <w:r>
          <w:rPr>
            <w:noProof/>
            <w:webHidden/>
            <w:szCs w:val="24"/>
          </w:rPr>
        </w:r>
        <w:r>
          <w:rPr>
            <w:noProof/>
            <w:webHidden/>
            <w:szCs w:val="24"/>
          </w:rPr>
          <w:fldChar w:fldCharType="separate"/>
        </w:r>
        <w:r>
          <w:rPr>
            <w:noProof/>
            <w:webHidden/>
            <w:szCs w:val="24"/>
          </w:rPr>
          <w:t>41</w:t>
        </w:r>
        <w:r>
          <w:rPr>
            <w:noProof/>
            <w:webHidden/>
            <w:szCs w:val="24"/>
          </w:rPr>
          <w:fldChar w:fldCharType="end"/>
        </w:r>
      </w:hyperlink>
    </w:p>
    <w:p w14:paraId="44D61C49"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599" w:history="1">
        <w:r w:rsidRPr="00D5600E">
          <w:rPr>
            <w:color w:val="0000FF"/>
            <w:szCs w:val="24"/>
            <w:u w:val="single"/>
          </w:rPr>
          <w:t>Table 3.8 Selected state-owned enterprises, 2021</w:t>
        </w:r>
        <w:r>
          <w:rPr>
            <w:noProof/>
            <w:webHidden/>
            <w:szCs w:val="24"/>
          </w:rPr>
          <w:tab/>
        </w:r>
        <w:r>
          <w:rPr>
            <w:noProof/>
            <w:webHidden/>
            <w:szCs w:val="24"/>
          </w:rPr>
          <w:fldChar w:fldCharType="begin" w:fldLock="1"/>
        </w:r>
        <w:r>
          <w:rPr>
            <w:noProof/>
            <w:webHidden/>
            <w:szCs w:val="24"/>
          </w:rPr>
          <w:instrText xml:space="preserve"> PAGEREF _Toc81566599 \h </w:instrText>
        </w:r>
        <w:r>
          <w:rPr>
            <w:noProof/>
            <w:webHidden/>
            <w:szCs w:val="24"/>
          </w:rPr>
        </w:r>
        <w:r>
          <w:rPr>
            <w:noProof/>
            <w:webHidden/>
            <w:szCs w:val="24"/>
          </w:rPr>
          <w:fldChar w:fldCharType="separate"/>
        </w:r>
        <w:r>
          <w:rPr>
            <w:noProof/>
            <w:webHidden/>
            <w:szCs w:val="24"/>
          </w:rPr>
          <w:t>51</w:t>
        </w:r>
        <w:r>
          <w:rPr>
            <w:noProof/>
            <w:webHidden/>
            <w:szCs w:val="24"/>
          </w:rPr>
          <w:fldChar w:fldCharType="end"/>
        </w:r>
      </w:hyperlink>
    </w:p>
    <w:p w14:paraId="6508045E"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0" w:history="1">
        <w:r w:rsidRPr="00D5600E">
          <w:rPr>
            <w:color w:val="0000FF"/>
            <w:szCs w:val="24"/>
            <w:u w:val="single"/>
          </w:rPr>
          <w:t>Table 3.9 Overview of intellectual property rights (IPRs) legislation, June 2021</w:t>
        </w:r>
        <w:r>
          <w:rPr>
            <w:noProof/>
            <w:webHidden/>
            <w:szCs w:val="24"/>
          </w:rPr>
          <w:tab/>
        </w:r>
        <w:r>
          <w:rPr>
            <w:noProof/>
            <w:webHidden/>
            <w:szCs w:val="24"/>
          </w:rPr>
          <w:fldChar w:fldCharType="begin" w:fldLock="1"/>
        </w:r>
        <w:r>
          <w:rPr>
            <w:noProof/>
            <w:webHidden/>
            <w:szCs w:val="24"/>
          </w:rPr>
          <w:instrText xml:space="preserve"> PAGEREF _Toc81566600 \h </w:instrText>
        </w:r>
        <w:r>
          <w:rPr>
            <w:noProof/>
            <w:webHidden/>
            <w:szCs w:val="24"/>
          </w:rPr>
        </w:r>
        <w:r>
          <w:rPr>
            <w:noProof/>
            <w:webHidden/>
            <w:szCs w:val="24"/>
          </w:rPr>
          <w:fldChar w:fldCharType="separate"/>
        </w:r>
        <w:r>
          <w:rPr>
            <w:noProof/>
            <w:webHidden/>
            <w:szCs w:val="24"/>
          </w:rPr>
          <w:t>53</w:t>
        </w:r>
        <w:r>
          <w:rPr>
            <w:noProof/>
            <w:webHidden/>
            <w:szCs w:val="24"/>
          </w:rPr>
          <w:fldChar w:fldCharType="end"/>
        </w:r>
      </w:hyperlink>
    </w:p>
    <w:p w14:paraId="7F9C80E8"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1" w:history="1">
        <w:r w:rsidRPr="00D5600E">
          <w:rPr>
            <w:color w:val="0000FF"/>
            <w:szCs w:val="24"/>
            <w:u w:val="single"/>
          </w:rPr>
          <w:t>Table 3.10 Participation in international IPR agreements, 2021</w:t>
        </w:r>
        <w:r>
          <w:rPr>
            <w:noProof/>
            <w:webHidden/>
            <w:szCs w:val="24"/>
          </w:rPr>
          <w:tab/>
        </w:r>
        <w:r>
          <w:rPr>
            <w:noProof/>
            <w:webHidden/>
            <w:szCs w:val="24"/>
          </w:rPr>
          <w:fldChar w:fldCharType="begin" w:fldLock="1"/>
        </w:r>
        <w:r>
          <w:rPr>
            <w:noProof/>
            <w:webHidden/>
            <w:szCs w:val="24"/>
          </w:rPr>
          <w:instrText xml:space="preserve"> PAGEREF _Toc81566601 \h </w:instrText>
        </w:r>
        <w:r>
          <w:rPr>
            <w:noProof/>
            <w:webHidden/>
            <w:szCs w:val="24"/>
          </w:rPr>
        </w:r>
        <w:r>
          <w:rPr>
            <w:noProof/>
            <w:webHidden/>
            <w:szCs w:val="24"/>
          </w:rPr>
          <w:fldChar w:fldCharType="separate"/>
        </w:r>
        <w:r>
          <w:rPr>
            <w:noProof/>
            <w:webHidden/>
            <w:szCs w:val="24"/>
          </w:rPr>
          <w:t>53</w:t>
        </w:r>
        <w:r>
          <w:rPr>
            <w:noProof/>
            <w:webHidden/>
            <w:szCs w:val="24"/>
          </w:rPr>
          <w:fldChar w:fldCharType="end"/>
        </w:r>
      </w:hyperlink>
    </w:p>
    <w:p w14:paraId="320A40AA"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2" w:history="1">
        <w:r w:rsidRPr="00D5600E">
          <w:rPr>
            <w:color w:val="0000FF"/>
            <w:szCs w:val="24"/>
            <w:u w:val="single"/>
          </w:rPr>
          <w:t>Table 3.11 Copyright applications, 2016-20</w:t>
        </w:r>
        <w:r>
          <w:rPr>
            <w:noProof/>
            <w:webHidden/>
            <w:szCs w:val="24"/>
          </w:rPr>
          <w:tab/>
        </w:r>
        <w:r>
          <w:rPr>
            <w:noProof/>
            <w:webHidden/>
            <w:szCs w:val="24"/>
          </w:rPr>
          <w:fldChar w:fldCharType="begin" w:fldLock="1"/>
        </w:r>
        <w:r>
          <w:rPr>
            <w:noProof/>
            <w:webHidden/>
            <w:szCs w:val="24"/>
          </w:rPr>
          <w:instrText xml:space="preserve"> PAGEREF _Toc81566602 \h </w:instrText>
        </w:r>
        <w:r>
          <w:rPr>
            <w:noProof/>
            <w:webHidden/>
            <w:szCs w:val="24"/>
          </w:rPr>
        </w:r>
        <w:r>
          <w:rPr>
            <w:noProof/>
            <w:webHidden/>
            <w:szCs w:val="24"/>
          </w:rPr>
          <w:fldChar w:fldCharType="separate"/>
        </w:r>
        <w:r>
          <w:rPr>
            <w:noProof/>
            <w:webHidden/>
            <w:szCs w:val="24"/>
          </w:rPr>
          <w:t>55</w:t>
        </w:r>
        <w:r>
          <w:rPr>
            <w:noProof/>
            <w:webHidden/>
            <w:szCs w:val="24"/>
          </w:rPr>
          <w:fldChar w:fldCharType="end"/>
        </w:r>
      </w:hyperlink>
    </w:p>
    <w:p w14:paraId="4E5F8150"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3" w:history="1">
        <w:r w:rsidRPr="00D5600E">
          <w:rPr>
            <w:color w:val="0000FF"/>
            <w:szCs w:val="24"/>
            <w:u w:val="single"/>
          </w:rPr>
          <w:t>Table 3.12 Trademark applications, 2017-20</w:t>
        </w:r>
        <w:r>
          <w:rPr>
            <w:noProof/>
            <w:webHidden/>
            <w:szCs w:val="24"/>
          </w:rPr>
          <w:tab/>
        </w:r>
        <w:r>
          <w:rPr>
            <w:noProof/>
            <w:webHidden/>
            <w:szCs w:val="24"/>
          </w:rPr>
          <w:fldChar w:fldCharType="begin" w:fldLock="1"/>
        </w:r>
        <w:r>
          <w:rPr>
            <w:noProof/>
            <w:webHidden/>
            <w:szCs w:val="24"/>
          </w:rPr>
          <w:instrText xml:space="preserve"> PAGEREF _Toc81566603 \h </w:instrText>
        </w:r>
        <w:r>
          <w:rPr>
            <w:noProof/>
            <w:webHidden/>
            <w:szCs w:val="24"/>
          </w:rPr>
        </w:r>
        <w:r>
          <w:rPr>
            <w:noProof/>
            <w:webHidden/>
            <w:szCs w:val="24"/>
          </w:rPr>
          <w:fldChar w:fldCharType="separate"/>
        </w:r>
        <w:r>
          <w:rPr>
            <w:noProof/>
            <w:webHidden/>
            <w:szCs w:val="24"/>
          </w:rPr>
          <w:t>56</w:t>
        </w:r>
        <w:r>
          <w:rPr>
            <w:noProof/>
            <w:webHidden/>
            <w:szCs w:val="24"/>
          </w:rPr>
          <w:fldChar w:fldCharType="end"/>
        </w:r>
      </w:hyperlink>
    </w:p>
    <w:p w14:paraId="40F0C5CF"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4" w:history="1">
        <w:r w:rsidRPr="00D5600E">
          <w:rPr>
            <w:color w:val="0000FF"/>
            <w:szCs w:val="24"/>
            <w:u w:val="single"/>
          </w:rPr>
          <w:t>Table 4.1 Selected indicators of agriculture, 2014-20</w:t>
        </w:r>
        <w:r>
          <w:rPr>
            <w:noProof/>
            <w:webHidden/>
            <w:szCs w:val="24"/>
          </w:rPr>
          <w:tab/>
        </w:r>
        <w:r>
          <w:rPr>
            <w:noProof/>
            <w:webHidden/>
            <w:szCs w:val="24"/>
          </w:rPr>
          <w:fldChar w:fldCharType="begin" w:fldLock="1"/>
        </w:r>
        <w:r>
          <w:rPr>
            <w:noProof/>
            <w:webHidden/>
            <w:szCs w:val="24"/>
          </w:rPr>
          <w:instrText xml:space="preserve"> PAGEREF _Toc81566604 \h </w:instrText>
        </w:r>
        <w:r>
          <w:rPr>
            <w:noProof/>
            <w:webHidden/>
            <w:szCs w:val="24"/>
          </w:rPr>
        </w:r>
        <w:r>
          <w:rPr>
            <w:noProof/>
            <w:webHidden/>
            <w:szCs w:val="24"/>
          </w:rPr>
          <w:fldChar w:fldCharType="separate"/>
        </w:r>
        <w:r>
          <w:rPr>
            <w:noProof/>
            <w:webHidden/>
            <w:szCs w:val="24"/>
          </w:rPr>
          <w:t>58</w:t>
        </w:r>
        <w:r>
          <w:rPr>
            <w:noProof/>
            <w:webHidden/>
            <w:szCs w:val="24"/>
          </w:rPr>
          <w:fldChar w:fldCharType="end"/>
        </w:r>
      </w:hyperlink>
    </w:p>
    <w:p w14:paraId="6FE177AE"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5" w:history="1">
        <w:r w:rsidRPr="00D5600E">
          <w:rPr>
            <w:color w:val="0000FF"/>
            <w:szCs w:val="24"/>
            <w:u w:val="single"/>
          </w:rPr>
          <w:t>Table 4.2 Domestic support, 2013-19</w:t>
        </w:r>
        <w:r>
          <w:rPr>
            <w:noProof/>
            <w:webHidden/>
            <w:szCs w:val="24"/>
          </w:rPr>
          <w:tab/>
        </w:r>
        <w:r>
          <w:rPr>
            <w:noProof/>
            <w:webHidden/>
            <w:szCs w:val="24"/>
          </w:rPr>
          <w:fldChar w:fldCharType="begin" w:fldLock="1"/>
        </w:r>
        <w:r>
          <w:rPr>
            <w:noProof/>
            <w:webHidden/>
            <w:szCs w:val="24"/>
          </w:rPr>
          <w:instrText xml:space="preserve"> PAGEREF _Toc81566605 \h </w:instrText>
        </w:r>
        <w:r>
          <w:rPr>
            <w:noProof/>
            <w:webHidden/>
            <w:szCs w:val="24"/>
          </w:rPr>
        </w:r>
        <w:r>
          <w:rPr>
            <w:noProof/>
            <w:webHidden/>
            <w:szCs w:val="24"/>
          </w:rPr>
          <w:fldChar w:fldCharType="separate"/>
        </w:r>
        <w:r>
          <w:rPr>
            <w:noProof/>
            <w:webHidden/>
            <w:szCs w:val="24"/>
          </w:rPr>
          <w:t>59</w:t>
        </w:r>
        <w:r>
          <w:rPr>
            <w:noProof/>
            <w:webHidden/>
            <w:szCs w:val="24"/>
          </w:rPr>
          <w:fldChar w:fldCharType="end"/>
        </w:r>
      </w:hyperlink>
    </w:p>
    <w:p w14:paraId="37B9341D"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6" w:history="1">
        <w:r w:rsidRPr="00D5600E">
          <w:rPr>
            <w:color w:val="0000FF"/>
            <w:szCs w:val="24"/>
            <w:u w:val="single"/>
          </w:rPr>
          <w:t>Table 4.3 Selected indicators of fisheries, 2014-20</w:t>
        </w:r>
        <w:r>
          <w:rPr>
            <w:noProof/>
            <w:webHidden/>
            <w:szCs w:val="24"/>
          </w:rPr>
          <w:tab/>
        </w:r>
        <w:r>
          <w:rPr>
            <w:noProof/>
            <w:webHidden/>
            <w:szCs w:val="24"/>
          </w:rPr>
          <w:fldChar w:fldCharType="begin" w:fldLock="1"/>
        </w:r>
        <w:r>
          <w:rPr>
            <w:noProof/>
            <w:webHidden/>
            <w:szCs w:val="24"/>
          </w:rPr>
          <w:instrText xml:space="preserve"> PAGEREF _Toc81566606 \h </w:instrText>
        </w:r>
        <w:r>
          <w:rPr>
            <w:noProof/>
            <w:webHidden/>
            <w:szCs w:val="24"/>
          </w:rPr>
        </w:r>
        <w:r>
          <w:rPr>
            <w:noProof/>
            <w:webHidden/>
            <w:szCs w:val="24"/>
          </w:rPr>
          <w:fldChar w:fldCharType="separate"/>
        </w:r>
        <w:r>
          <w:rPr>
            <w:noProof/>
            <w:webHidden/>
            <w:szCs w:val="24"/>
          </w:rPr>
          <w:t>60</w:t>
        </w:r>
        <w:r>
          <w:rPr>
            <w:noProof/>
            <w:webHidden/>
            <w:szCs w:val="24"/>
          </w:rPr>
          <w:fldChar w:fldCharType="end"/>
        </w:r>
      </w:hyperlink>
    </w:p>
    <w:p w14:paraId="57111792"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7" w:history="1">
        <w:r w:rsidRPr="00D5600E">
          <w:rPr>
            <w:color w:val="0000FF"/>
            <w:szCs w:val="24"/>
            <w:u w:val="single"/>
          </w:rPr>
          <w:t>Table 4.4 Selected mineral production, 2014-20</w:t>
        </w:r>
        <w:r>
          <w:rPr>
            <w:noProof/>
            <w:webHidden/>
            <w:szCs w:val="24"/>
          </w:rPr>
          <w:tab/>
        </w:r>
        <w:r>
          <w:rPr>
            <w:noProof/>
            <w:webHidden/>
            <w:szCs w:val="24"/>
          </w:rPr>
          <w:fldChar w:fldCharType="begin" w:fldLock="1"/>
        </w:r>
        <w:r>
          <w:rPr>
            <w:noProof/>
            <w:webHidden/>
            <w:szCs w:val="24"/>
          </w:rPr>
          <w:instrText xml:space="preserve"> PAGEREF _Toc81566607 \h </w:instrText>
        </w:r>
        <w:r>
          <w:rPr>
            <w:noProof/>
            <w:webHidden/>
            <w:szCs w:val="24"/>
          </w:rPr>
        </w:r>
        <w:r>
          <w:rPr>
            <w:noProof/>
            <w:webHidden/>
            <w:szCs w:val="24"/>
          </w:rPr>
          <w:fldChar w:fldCharType="separate"/>
        </w:r>
        <w:r>
          <w:rPr>
            <w:noProof/>
            <w:webHidden/>
            <w:szCs w:val="24"/>
          </w:rPr>
          <w:t>61</w:t>
        </w:r>
        <w:r>
          <w:rPr>
            <w:noProof/>
            <w:webHidden/>
            <w:szCs w:val="24"/>
          </w:rPr>
          <w:fldChar w:fldCharType="end"/>
        </w:r>
      </w:hyperlink>
    </w:p>
    <w:p w14:paraId="45C2307A"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8" w:history="1">
        <w:r w:rsidRPr="00D5600E">
          <w:rPr>
            <w:color w:val="0000FF"/>
            <w:szCs w:val="24"/>
            <w:u w:val="single"/>
          </w:rPr>
          <w:t>Table 4.5 Selected indicators for oil and gas, 2014-20</w:t>
        </w:r>
        <w:r>
          <w:rPr>
            <w:noProof/>
            <w:webHidden/>
            <w:szCs w:val="24"/>
          </w:rPr>
          <w:tab/>
        </w:r>
        <w:r>
          <w:rPr>
            <w:noProof/>
            <w:webHidden/>
            <w:szCs w:val="24"/>
          </w:rPr>
          <w:fldChar w:fldCharType="begin" w:fldLock="1"/>
        </w:r>
        <w:r>
          <w:rPr>
            <w:noProof/>
            <w:webHidden/>
            <w:szCs w:val="24"/>
          </w:rPr>
          <w:instrText xml:space="preserve"> PAGEREF _Toc81566608 \h </w:instrText>
        </w:r>
        <w:r>
          <w:rPr>
            <w:noProof/>
            <w:webHidden/>
            <w:szCs w:val="24"/>
          </w:rPr>
        </w:r>
        <w:r>
          <w:rPr>
            <w:noProof/>
            <w:webHidden/>
            <w:szCs w:val="24"/>
          </w:rPr>
          <w:fldChar w:fldCharType="separate"/>
        </w:r>
        <w:r>
          <w:rPr>
            <w:noProof/>
            <w:webHidden/>
            <w:szCs w:val="24"/>
          </w:rPr>
          <w:t>63</w:t>
        </w:r>
        <w:r>
          <w:rPr>
            <w:noProof/>
            <w:webHidden/>
            <w:szCs w:val="24"/>
          </w:rPr>
          <w:fldChar w:fldCharType="end"/>
        </w:r>
      </w:hyperlink>
    </w:p>
    <w:p w14:paraId="45CA9C80"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09" w:history="1">
        <w:r w:rsidRPr="00D5600E">
          <w:rPr>
            <w:color w:val="0000FF"/>
            <w:szCs w:val="24"/>
            <w:u w:val="single"/>
          </w:rPr>
          <w:t>Table 4.6 Electricity retail prices, 2021</w:t>
        </w:r>
        <w:r>
          <w:rPr>
            <w:noProof/>
            <w:webHidden/>
            <w:szCs w:val="24"/>
          </w:rPr>
          <w:tab/>
        </w:r>
        <w:r>
          <w:rPr>
            <w:noProof/>
            <w:webHidden/>
            <w:szCs w:val="24"/>
          </w:rPr>
          <w:fldChar w:fldCharType="begin" w:fldLock="1"/>
        </w:r>
        <w:r>
          <w:rPr>
            <w:noProof/>
            <w:webHidden/>
            <w:szCs w:val="24"/>
          </w:rPr>
          <w:instrText xml:space="preserve"> PAGEREF _Toc81566609 \h </w:instrText>
        </w:r>
        <w:r>
          <w:rPr>
            <w:noProof/>
            <w:webHidden/>
            <w:szCs w:val="24"/>
          </w:rPr>
        </w:r>
        <w:r>
          <w:rPr>
            <w:noProof/>
            <w:webHidden/>
            <w:szCs w:val="24"/>
          </w:rPr>
          <w:fldChar w:fldCharType="separate"/>
        </w:r>
        <w:r>
          <w:rPr>
            <w:noProof/>
            <w:webHidden/>
            <w:szCs w:val="24"/>
          </w:rPr>
          <w:t>66</w:t>
        </w:r>
        <w:r>
          <w:rPr>
            <w:noProof/>
            <w:webHidden/>
            <w:szCs w:val="24"/>
          </w:rPr>
          <w:fldChar w:fldCharType="end"/>
        </w:r>
      </w:hyperlink>
    </w:p>
    <w:p w14:paraId="08E2AEB9"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10" w:history="1">
        <w:r w:rsidRPr="00D5600E">
          <w:rPr>
            <w:color w:val="0000FF"/>
            <w:szCs w:val="24"/>
            <w:u w:val="single"/>
          </w:rPr>
          <w:t>Table 4.7 GDP of manufacturing sector, 2014-20</w:t>
        </w:r>
        <w:r>
          <w:rPr>
            <w:noProof/>
            <w:webHidden/>
            <w:szCs w:val="24"/>
          </w:rPr>
          <w:tab/>
        </w:r>
        <w:r>
          <w:rPr>
            <w:noProof/>
            <w:webHidden/>
            <w:szCs w:val="24"/>
          </w:rPr>
          <w:fldChar w:fldCharType="begin" w:fldLock="1"/>
        </w:r>
        <w:r>
          <w:rPr>
            <w:noProof/>
            <w:webHidden/>
            <w:szCs w:val="24"/>
          </w:rPr>
          <w:instrText xml:space="preserve"> PAGEREF _Toc81566610 \h </w:instrText>
        </w:r>
        <w:r>
          <w:rPr>
            <w:noProof/>
            <w:webHidden/>
            <w:szCs w:val="24"/>
          </w:rPr>
        </w:r>
        <w:r>
          <w:rPr>
            <w:noProof/>
            <w:webHidden/>
            <w:szCs w:val="24"/>
          </w:rPr>
          <w:fldChar w:fldCharType="separate"/>
        </w:r>
        <w:r>
          <w:rPr>
            <w:noProof/>
            <w:webHidden/>
            <w:szCs w:val="24"/>
          </w:rPr>
          <w:t>66</w:t>
        </w:r>
        <w:r>
          <w:rPr>
            <w:noProof/>
            <w:webHidden/>
            <w:szCs w:val="24"/>
          </w:rPr>
          <w:fldChar w:fldCharType="end"/>
        </w:r>
      </w:hyperlink>
    </w:p>
    <w:p w14:paraId="7B55A8F9"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11" w:history="1">
        <w:r w:rsidRPr="00D5600E">
          <w:rPr>
            <w:color w:val="0000FF"/>
            <w:szCs w:val="24"/>
            <w:u w:val="single"/>
          </w:rPr>
          <w:t>Table 4.8 Selected telecommunications indicators, 2014-20</w:t>
        </w:r>
        <w:r>
          <w:rPr>
            <w:noProof/>
            <w:webHidden/>
            <w:szCs w:val="24"/>
          </w:rPr>
          <w:tab/>
        </w:r>
        <w:r>
          <w:rPr>
            <w:noProof/>
            <w:webHidden/>
            <w:szCs w:val="24"/>
          </w:rPr>
          <w:fldChar w:fldCharType="begin" w:fldLock="1"/>
        </w:r>
        <w:r>
          <w:rPr>
            <w:noProof/>
            <w:webHidden/>
            <w:szCs w:val="24"/>
          </w:rPr>
          <w:instrText xml:space="preserve"> PAGEREF _Toc81566611 \h </w:instrText>
        </w:r>
        <w:r>
          <w:rPr>
            <w:noProof/>
            <w:webHidden/>
            <w:szCs w:val="24"/>
          </w:rPr>
        </w:r>
        <w:r>
          <w:rPr>
            <w:noProof/>
            <w:webHidden/>
            <w:szCs w:val="24"/>
          </w:rPr>
          <w:fldChar w:fldCharType="separate"/>
        </w:r>
        <w:r>
          <w:rPr>
            <w:noProof/>
            <w:webHidden/>
            <w:szCs w:val="24"/>
          </w:rPr>
          <w:t>70</w:t>
        </w:r>
        <w:r>
          <w:rPr>
            <w:noProof/>
            <w:webHidden/>
            <w:szCs w:val="24"/>
          </w:rPr>
          <w:fldChar w:fldCharType="end"/>
        </w:r>
      </w:hyperlink>
    </w:p>
    <w:p w14:paraId="20405A63"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12" w:history="1">
        <w:r w:rsidRPr="00D5600E">
          <w:rPr>
            <w:color w:val="0000FF"/>
            <w:szCs w:val="24"/>
            <w:u w:val="single"/>
          </w:rPr>
          <w:t>Table 4.9 Selected indicators of maritime transport, 2014-20</w:t>
        </w:r>
        <w:r>
          <w:rPr>
            <w:noProof/>
            <w:webHidden/>
            <w:szCs w:val="24"/>
          </w:rPr>
          <w:tab/>
        </w:r>
        <w:r>
          <w:rPr>
            <w:noProof/>
            <w:webHidden/>
            <w:szCs w:val="24"/>
          </w:rPr>
          <w:fldChar w:fldCharType="begin" w:fldLock="1"/>
        </w:r>
        <w:r>
          <w:rPr>
            <w:noProof/>
            <w:webHidden/>
            <w:szCs w:val="24"/>
          </w:rPr>
          <w:instrText xml:space="preserve"> PAGEREF _Toc81566612 \h </w:instrText>
        </w:r>
        <w:r>
          <w:rPr>
            <w:noProof/>
            <w:webHidden/>
            <w:szCs w:val="24"/>
          </w:rPr>
        </w:r>
        <w:r>
          <w:rPr>
            <w:noProof/>
            <w:webHidden/>
            <w:szCs w:val="24"/>
          </w:rPr>
          <w:fldChar w:fldCharType="separate"/>
        </w:r>
        <w:r>
          <w:rPr>
            <w:noProof/>
            <w:webHidden/>
            <w:szCs w:val="24"/>
          </w:rPr>
          <w:t>74</w:t>
        </w:r>
        <w:r>
          <w:rPr>
            <w:noProof/>
            <w:webHidden/>
            <w:szCs w:val="24"/>
          </w:rPr>
          <w:fldChar w:fldCharType="end"/>
        </w:r>
      </w:hyperlink>
    </w:p>
    <w:p w14:paraId="5FD83A3D"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13" w:history="1">
        <w:r w:rsidRPr="00D5600E">
          <w:rPr>
            <w:color w:val="0000FF"/>
            <w:szCs w:val="24"/>
            <w:u w:val="single"/>
          </w:rPr>
          <w:t>Table 4.10 Selected indicators of aviation transport, 2014-20</w:t>
        </w:r>
        <w:r>
          <w:rPr>
            <w:noProof/>
            <w:webHidden/>
            <w:szCs w:val="24"/>
          </w:rPr>
          <w:tab/>
        </w:r>
        <w:r>
          <w:rPr>
            <w:noProof/>
            <w:webHidden/>
            <w:szCs w:val="24"/>
          </w:rPr>
          <w:fldChar w:fldCharType="begin" w:fldLock="1"/>
        </w:r>
        <w:r>
          <w:rPr>
            <w:noProof/>
            <w:webHidden/>
            <w:szCs w:val="24"/>
          </w:rPr>
          <w:instrText xml:space="preserve"> PAGEREF _Toc81566613 \h </w:instrText>
        </w:r>
        <w:r>
          <w:rPr>
            <w:noProof/>
            <w:webHidden/>
            <w:szCs w:val="24"/>
          </w:rPr>
        </w:r>
        <w:r>
          <w:rPr>
            <w:noProof/>
            <w:webHidden/>
            <w:szCs w:val="24"/>
          </w:rPr>
          <w:fldChar w:fldCharType="separate"/>
        </w:r>
        <w:r>
          <w:rPr>
            <w:noProof/>
            <w:webHidden/>
            <w:szCs w:val="24"/>
          </w:rPr>
          <w:t>76</w:t>
        </w:r>
        <w:r>
          <w:rPr>
            <w:noProof/>
            <w:webHidden/>
            <w:szCs w:val="24"/>
          </w:rPr>
          <w:fldChar w:fldCharType="end"/>
        </w:r>
      </w:hyperlink>
    </w:p>
    <w:p w14:paraId="053F31CC" w14:textId="77777777" w:rsidR="00DE4516" w:rsidRDefault="00DE4516">
      <w:pPr>
        <w:pStyle w:val="TableofFigures"/>
        <w:autoSpaceDE w:val="0"/>
        <w:autoSpaceDN w:val="0"/>
        <w:adjustRightInd w:val="0"/>
        <w:ind w:right="95"/>
        <w:rPr>
          <w:rFonts w:asciiTheme="minorHAnsi" w:eastAsiaTheme="minorEastAsia" w:hAnsiTheme="minorHAnsi"/>
          <w:noProof/>
          <w:sz w:val="22"/>
          <w:szCs w:val="22"/>
        </w:rPr>
      </w:pPr>
      <w:hyperlink w:anchor="_Toc81566614" w:history="1">
        <w:r w:rsidRPr="00D5600E">
          <w:rPr>
            <w:color w:val="0000FF"/>
            <w:szCs w:val="24"/>
            <w:u w:val="single"/>
          </w:rPr>
          <w:t>Table 4.11 Selected indicators of tourism, 2014-20</w:t>
        </w:r>
        <w:r>
          <w:rPr>
            <w:noProof/>
            <w:webHidden/>
            <w:szCs w:val="24"/>
          </w:rPr>
          <w:tab/>
        </w:r>
        <w:r>
          <w:rPr>
            <w:noProof/>
            <w:webHidden/>
            <w:szCs w:val="24"/>
          </w:rPr>
          <w:fldChar w:fldCharType="begin" w:fldLock="1"/>
        </w:r>
        <w:r>
          <w:rPr>
            <w:noProof/>
            <w:webHidden/>
            <w:szCs w:val="24"/>
          </w:rPr>
          <w:instrText xml:space="preserve"> PAGEREF _Toc81566614 \h </w:instrText>
        </w:r>
        <w:r>
          <w:rPr>
            <w:noProof/>
            <w:webHidden/>
            <w:szCs w:val="24"/>
          </w:rPr>
        </w:r>
        <w:r>
          <w:rPr>
            <w:noProof/>
            <w:webHidden/>
            <w:szCs w:val="24"/>
          </w:rPr>
          <w:fldChar w:fldCharType="separate"/>
        </w:r>
        <w:r>
          <w:rPr>
            <w:noProof/>
            <w:webHidden/>
            <w:szCs w:val="24"/>
          </w:rPr>
          <w:t>78</w:t>
        </w:r>
        <w:r>
          <w:rPr>
            <w:noProof/>
            <w:webHidden/>
            <w:szCs w:val="24"/>
          </w:rPr>
          <w:fldChar w:fldCharType="end"/>
        </w:r>
      </w:hyperlink>
    </w:p>
    <w:p w14:paraId="64660758" w14:textId="77777777" w:rsidR="00DE4516" w:rsidRDefault="00DE4516">
      <w:pPr>
        <w:tabs>
          <w:tab w:val="right" w:pos="9027"/>
        </w:tabs>
        <w:autoSpaceDE w:val="0"/>
        <w:autoSpaceDN w:val="0"/>
        <w:adjustRightInd w:val="0"/>
        <w:rPr>
          <w:rFonts w:ascii="Times New Roman" w:hAnsi="Times New Roman"/>
          <w:sz w:val="24"/>
          <w:szCs w:val="24"/>
        </w:rPr>
      </w:pPr>
      <w:r>
        <w:rPr>
          <w:szCs w:val="24"/>
        </w:rPr>
        <w:fldChar w:fldCharType="end"/>
      </w:r>
    </w:p>
    <w:p w14:paraId="3934A990" w14:textId="77777777" w:rsidR="00DE4516" w:rsidRDefault="00DE4516">
      <w:pPr>
        <w:pStyle w:val="TOCHeading"/>
        <w:autoSpaceDE w:val="0"/>
        <w:autoSpaceDN w:val="0"/>
        <w:adjustRightInd w:val="0"/>
        <w:rPr>
          <w:bCs w:val="0"/>
          <w:szCs w:val="24"/>
        </w:rPr>
      </w:pPr>
      <w:r>
        <w:rPr>
          <w:bCs w:val="0"/>
          <w:szCs w:val="24"/>
        </w:rPr>
        <w:t>APPENDIX TABLES</w:t>
      </w:r>
    </w:p>
    <w:p w14:paraId="3459D70D" w14:textId="77777777" w:rsidR="00DE4516" w:rsidRPr="00FC7388" w:rsidRDefault="00DE4516">
      <w:pPr>
        <w:pStyle w:val="TableofFigures"/>
        <w:autoSpaceDE w:val="0"/>
        <w:autoSpaceDN w:val="0"/>
        <w:adjustRightInd w:val="0"/>
        <w:ind w:right="95"/>
        <w:rPr>
          <w:noProof/>
          <w:szCs w:val="24"/>
        </w:rPr>
      </w:pPr>
      <w:r>
        <w:rPr>
          <w:szCs w:val="24"/>
        </w:rPr>
        <w:fldChar w:fldCharType="begin"/>
      </w:r>
      <w:r>
        <w:rPr>
          <w:szCs w:val="24"/>
        </w:rPr>
        <w:instrText xml:space="preserve"> TOC \h \z \c "Table A1." </w:instrText>
      </w:r>
      <w:r>
        <w:rPr>
          <w:szCs w:val="24"/>
        </w:rPr>
        <w:fldChar w:fldCharType="separate"/>
      </w:r>
      <w:hyperlink w:anchor="_Toc81566619" w:history="1">
        <w:r w:rsidRPr="00D5600E">
          <w:rPr>
            <w:color w:val="0000FF"/>
            <w:szCs w:val="24"/>
            <w:u w:val="single"/>
          </w:rPr>
          <w:t>Table A1.1 Merchandise exports (including re-exports) by HS section and major HS chapter/subheading, 2014-20</w:t>
        </w:r>
        <w:r w:rsidRPr="00D5600E">
          <w:rPr>
            <w:webHidden/>
            <w:color w:val="0000FF"/>
            <w:szCs w:val="24"/>
            <w:u w:val="single"/>
          </w:rPr>
          <w:tab/>
        </w:r>
        <w:r w:rsidRPr="00D5600E">
          <w:rPr>
            <w:webHidden/>
            <w:color w:val="0000FF"/>
            <w:szCs w:val="24"/>
            <w:u w:val="single"/>
          </w:rPr>
          <w:fldChar w:fldCharType="begin" w:fldLock="1"/>
        </w:r>
        <w:r w:rsidRPr="00D5600E">
          <w:rPr>
            <w:webHidden/>
            <w:color w:val="0000FF"/>
            <w:szCs w:val="24"/>
            <w:u w:val="single"/>
          </w:rPr>
          <w:instrText xml:space="preserve"> PAGEREF _Toc81566619 \h </w:instrText>
        </w:r>
        <w:r w:rsidRPr="00D5600E">
          <w:rPr>
            <w:webHidden/>
            <w:color w:val="0000FF"/>
            <w:szCs w:val="24"/>
            <w:u w:val="single"/>
          </w:rPr>
        </w:r>
        <w:r w:rsidRPr="00D5600E">
          <w:rPr>
            <w:webHidden/>
            <w:color w:val="0000FF"/>
            <w:szCs w:val="24"/>
            <w:u w:val="single"/>
          </w:rPr>
          <w:fldChar w:fldCharType="separate"/>
        </w:r>
        <w:r w:rsidRPr="00D5600E">
          <w:rPr>
            <w:webHidden/>
            <w:color w:val="0000FF"/>
            <w:szCs w:val="24"/>
            <w:u w:val="single"/>
          </w:rPr>
          <w:t>80</w:t>
        </w:r>
        <w:r w:rsidRPr="00D5600E">
          <w:rPr>
            <w:webHidden/>
            <w:color w:val="0000FF"/>
            <w:szCs w:val="24"/>
            <w:u w:val="single"/>
          </w:rPr>
          <w:fldChar w:fldCharType="end"/>
        </w:r>
      </w:hyperlink>
    </w:p>
    <w:p w14:paraId="759BCA1D" w14:textId="77777777" w:rsidR="00DE4516" w:rsidRPr="00FC7388" w:rsidRDefault="00DE4516" w:rsidP="00FC7388">
      <w:pPr>
        <w:pStyle w:val="TableofFigures"/>
        <w:tabs>
          <w:tab w:val="clear" w:pos="567"/>
          <w:tab w:val="right" w:pos="9027"/>
        </w:tabs>
        <w:ind w:right="95"/>
        <w:rPr>
          <w:noProof/>
          <w:szCs w:val="24"/>
        </w:rPr>
      </w:pPr>
      <w:hyperlink w:anchor="_Toc81566620" w:history="1">
        <w:r w:rsidRPr="00D5600E">
          <w:rPr>
            <w:color w:val="0000FF"/>
            <w:szCs w:val="24"/>
            <w:u w:val="single"/>
          </w:rPr>
          <w:t>Table A1.2 Merchandise imports by major HS section, 2014-20</w:t>
        </w:r>
        <w:r w:rsidRPr="00D5600E">
          <w:rPr>
            <w:webHidden/>
            <w:color w:val="0000FF"/>
            <w:szCs w:val="24"/>
            <w:u w:val="single"/>
          </w:rPr>
          <w:tab/>
        </w:r>
        <w:r w:rsidRPr="00D5600E">
          <w:rPr>
            <w:webHidden/>
            <w:color w:val="0000FF"/>
            <w:szCs w:val="24"/>
            <w:u w:val="single"/>
          </w:rPr>
          <w:fldChar w:fldCharType="begin" w:fldLock="1"/>
        </w:r>
        <w:r w:rsidRPr="00D5600E">
          <w:rPr>
            <w:webHidden/>
            <w:color w:val="0000FF"/>
            <w:szCs w:val="24"/>
            <w:u w:val="single"/>
          </w:rPr>
          <w:instrText xml:space="preserve"> PAGEREF _Toc81566620 \h </w:instrText>
        </w:r>
        <w:r w:rsidRPr="00D5600E">
          <w:rPr>
            <w:webHidden/>
            <w:color w:val="0000FF"/>
            <w:szCs w:val="24"/>
            <w:u w:val="single"/>
          </w:rPr>
        </w:r>
        <w:r w:rsidRPr="00D5600E">
          <w:rPr>
            <w:webHidden/>
            <w:color w:val="0000FF"/>
            <w:szCs w:val="24"/>
            <w:u w:val="single"/>
          </w:rPr>
          <w:fldChar w:fldCharType="separate"/>
        </w:r>
        <w:r w:rsidRPr="00D5600E">
          <w:rPr>
            <w:webHidden/>
            <w:color w:val="0000FF"/>
            <w:szCs w:val="24"/>
            <w:u w:val="single"/>
          </w:rPr>
          <w:t>81</w:t>
        </w:r>
        <w:r w:rsidRPr="00D5600E">
          <w:rPr>
            <w:webHidden/>
            <w:color w:val="0000FF"/>
            <w:szCs w:val="24"/>
            <w:u w:val="single"/>
          </w:rPr>
          <w:fldChar w:fldCharType="end"/>
        </w:r>
      </w:hyperlink>
    </w:p>
    <w:p w14:paraId="74A5A3CE" w14:textId="77777777" w:rsidR="00DE4516" w:rsidRPr="00FC7388" w:rsidRDefault="00DE4516" w:rsidP="00FC7388">
      <w:pPr>
        <w:pStyle w:val="TableofFigures"/>
        <w:tabs>
          <w:tab w:val="clear" w:pos="567"/>
          <w:tab w:val="right" w:pos="9027"/>
        </w:tabs>
        <w:ind w:right="95"/>
        <w:rPr>
          <w:noProof/>
          <w:szCs w:val="24"/>
        </w:rPr>
      </w:pPr>
      <w:hyperlink w:anchor="_Toc81566621" w:history="1">
        <w:r w:rsidRPr="00D5600E">
          <w:rPr>
            <w:color w:val="0000FF"/>
            <w:szCs w:val="24"/>
            <w:u w:val="single"/>
          </w:rPr>
          <w:t>Table A1.3 Merchandise exports (including re-exports) by destination, 2014-20</w:t>
        </w:r>
        <w:r w:rsidRPr="00D5600E">
          <w:rPr>
            <w:webHidden/>
            <w:color w:val="0000FF"/>
            <w:szCs w:val="24"/>
            <w:u w:val="single"/>
          </w:rPr>
          <w:tab/>
        </w:r>
        <w:r w:rsidRPr="00D5600E">
          <w:rPr>
            <w:webHidden/>
            <w:color w:val="0000FF"/>
            <w:szCs w:val="24"/>
            <w:u w:val="single"/>
          </w:rPr>
          <w:fldChar w:fldCharType="begin" w:fldLock="1"/>
        </w:r>
        <w:r w:rsidRPr="00D5600E">
          <w:rPr>
            <w:webHidden/>
            <w:color w:val="0000FF"/>
            <w:szCs w:val="24"/>
            <w:u w:val="single"/>
          </w:rPr>
          <w:instrText xml:space="preserve"> PAGEREF _Toc81566621 \h </w:instrText>
        </w:r>
        <w:r w:rsidRPr="00D5600E">
          <w:rPr>
            <w:webHidden/>
            <w:color w:val="0000FF"/>
            <w:szCs w:val="24"/>
            <w:u w:val="single"/>
          </w:rPr>
        </w:r>
        <w:r w:rsidRPr="00D5600E">
          <w:rPr>
            <w:webHidden/>
            <w:color w:val="0000FF"/>
            <w:szCs w:val="24"/>
            <w:u w:val="single"/>
          </w:rPr>
          <w:fldChar w:fldCharType="separate"/>
        </w:r>
        <w:r w:rsidRPr="00D5600E">
          <w:rPr>
            <w:webHidden/>
            <w:color w:val="0000FF"/>
            <w:szCs w:val="24"/>
            <w:u w:val="single"/>
          </w:rPr>
          <w:t>82</w:t>
        </w:r>
        <w:r w:rsidRPr="00D5600E">
          <w:rPr>
            <w:webHidden/>
            <w:color w:val="0000FF"/>
            <w:szCs w:val="24"/>
            <w:u w:val="single"/>
          </w:rPr>
          <w:fldChar w:fldCharType="end"/>
        </w:r>
      </w:hyperlink>
    </w:p>
    <w:p w14:paraId="118A1DFC" w14:textId="77777777" w:rsidR="00DE4516" w:rsidRPr="00FC7388" w:rsidRDefault="00DE4516" w:rsidP="00FC7388">
      <w:pPr>
        <w:pStyle w:val="TableofFigures"/>
        <w:tabs>
          <w:tab w:val="clear" w:pos="567"/>
          <w:tab w:val="right" w:pos="9027"/>
        </w:tabs>
        <w:ind w:right="95"/>
        <w:rPr>
          <w:noProof/>
          <w:szCs w:val="24"/>
        </w:rPr>
      </w:pPr>
      <w:hyperlink w:anchor="_Toc81566622" w:history="1">
        <w:r w:rsidRPr="00D5600E">
          <w:rPr>
            <w:color w:val="0000FF"/>
            <w:szCs w:val="24"/>
            <w:u w:val="single"/>
          </w:rPr>
          <w:t>Table A1.4 Merchandise imports by origin, 2014-20</w:t>
        </w:r>
        <w:r w:rsidRPr="00D5600E">
          <w:rPr>
            <w:webHidden/>
            <w:color w:val="0000FF"/>
            <w:szCs w:val="24"/>
            <w:u w:val="single"/>
          </w:rPr>
          <w:tab/>
        </w:r>
        <w:r w:rsidRPr="00D5600E">
          <w:rPr>
            <w:webHidden/>
            <w:color w:val="0000FF"/>
            <w:szCs w:val="24"/>
            <w:u w:val="single"/>
          </w:rPr>
          <w:fldChar w:fldCharType="begin" w:fldLock="1"/>
        </w:r>
        <w:r w:rsidRPr="00D5600E">
          <w:rPr>
            <w:webHidden/>
            <w:color w:val="0000FF"/>
            <w:szCs w:val="24"/>
            <w:u w:val="single"/>
          </w:rPr>
          <w:instrText xml:space="preserve"> PAGEREF _Toc81566622 \h </w:instrText>
        </w:r>
        <w:r w:rsidRPr="00D5600E">
          <w:rPr>
            <w:webHidden/>
            <w:color w:val="0000FF"/>
            <w:szCs w:val="24"/>
            <w:u w:val="single"/>
          </w:rPr>
        </w:r>
        <w:r w:rsidRPr="00D5600E">
          <w:rPr>
            <w:webHidden/>
            <w:color w:val="0000FF"/>
            <w:szCs w:val="24"/>
            <w:u w:val="single"/>
          </w:rPr>
          <w:fldChar w:fldCharType="separate"/>
        </w:r>
        <w:r w:rsidRPr="00D5600E">
          <w:rPr>
            <w:webHidden/>
            <w:color w:val="0000FF"/>
            <w:szCs w:val="24"/>
            <w:u w:val="single"/>
          </w:rPr>
          <w:t>83</w:t>
        </w:r>
        <w:r w:rsidRPr="00D5600E">
          <w:rPr>
            <w:webHidden/>
            <w:color w:val="0000FF"/>
            <w:szCs w:val="24"/>
            <w:u w:val="single"/>
          </w:rPr>
          <w:fldChar w:fldCharType="end"/>
        </w:r>
      </w:hyperlink>
    </w:p>
    <w:p w14:paraId="7AAD01AB" w14:textId="77777777" w:rsidR="00DE4516" w:rsidRDefault="00DE4516">
      <w:pPr>
        <w:tabs>
          <w:tab w:val="right" w:pos="9027"/>
        </w:tabs>
        <w:autoSpaceDE w:val="0"/>
        <w:autoSpaceDN w:val="0"/>
        <w:adjustRightInd w:val="0"/>
        <w:rPr>
          <w:rFonts w:ascii="Times New Roman" w:hAnsi="Times New Roman"/>
          <w:sz w:val="24"/>
          <w:szCs w:val="24"/>
        </w:rPr>
      </w:pPr>
      <w:r>
        <w:rPr>
          <w:szCs w:val="24"/>
        </w:rPr>
        <w:fldChar w:fldCharType="end"/>
      </w:r>
    </w:p>
    <w:p w14:paraId="5A25F501" w14:textId="77777777" w:rsidR="00DE4516" w:rsidRDefault="00DE4516">
      <w:pPr>
        <w:pStyle w:val="FrontmatterHead1"/>
        <w:autoSpaceDE w:val="0"/>
        <w:autoSpaceDN w:val="0"/>
        <w:adjustRightInd w:val="0"/>
      </w:pPr>
      <w:r>
        <w:t>SUMMARY</w:t>
      </w:r>
    </w:p>
    <w:p w14:paraId="7D35192D" w14:textId="77777777" w:rsidR="00DE4516" w:rsidRDefault="00DE4516">
      <w:pPr>
        <w:pStyle w:val="FrontmatterText"/>
        <w:autoSpaceDE w:val="0"/>
        <w:autoSpaceDN w:val="0"/>
        <w:adjustRightInd w:val="0"/>
      </w:pPr>
      <w:r>
        <w:t>1.</w:t>
      </w:r>
      <w:r>
        <w:tab/>
        <w:t>Though Oman is relatively less hydrocarbon-rich than its neighbours, oil and gas still play a significant role in the economy. In 2020, the oil and gas sector accounted for 26.2% of GDP, represented about 60% of Oman's merchandise exports, and contributed three quarters of total government revenues. Oman joined the OPEC+ Agreement in November 2017, and its average daily production was cut to 760,000 barrels as of July 2020. During the review period, Oman faced a double challenge from low oil prices and the COVID</w:t>
      </w:r>
      <w:r>
        <w:noBreakHyphen/>
        <w:t>19 pandemic; Oman's economy grew to a peak in 2016 at a rate of 5.1% before it began a sharp slowdown in 2017. The economy contracted by 0.8% in 2019, and by a further 6.4% in 2020, mainly due to the global pandemic. As vaccine rollout gradually restores domestic activity along with the recovery of external demand, the economy is expected to grow by 2.5% in 2021</w:t>
      </w:r>
    </w:p>
    <w:p w14:paraId="7913D02D" w14:textId="77777777" w:rsidR="00DE4516" w:rsidRDefault="00DE4516">
      <w:pPr>
        <w:pStyle w:val="FrontmatterText"/>
        <w:autoSpaceDE w:val="0"/>
        <w:autoSpaceDN w:val="0"/>
        <w:adjustRightInd w:val="0"/>
      </w:pPr>
      <w:r>
        <w:t>2.</w:t>
      </w:r>
      <w:r>
        <w:tab/>
        <w:t>As a result of low oil prices, government revenues have decreased by two thirds since 2014. New taxes such as the value added tax (VAT) and the excise tax were introduced during the review period. The contribution of customs duties to total government revenue is small, accounting for 2.6% of total revenue on average. On the other hand, government expenditure remained rigid due to social security spending, commitments to infrastructure investment, and COVID</w:t>
      </w:r>
      <w:r>
        <w:noBreakHyphen/>
        <w:t xml:space="preserve">19 relief </w:t>
      </w:r>
      <w:r>
        <w:lastRenderedPageBreak/>
        <w:t>measures (</w:t>
      </w:r>
      <w:proofErr w:type="gramStart"/>
      <w:r>
        <w:t>e.g.</w:t>
      </w:r>
      <w:proofErr w:type="gramEnd"/>
      <w:r>
        <w:t> tax and charge waivers). Consequently, government gross debt was equivalent to 81% of GDP in 2020, up from 60% in 2019 and 5.4% in 2014</w:t>
      </w:r>
    </w:p>
    <w:p w14:paraId="08263FDE" w14:textId="77777777" w:rsidR="00DE4516" w:rsidRDefault="00DE4516">
      <w:pPr>
        <w:pStyle w:val="FrontmatterText"/>
        <w:autoSpaceDE w:val="0"/>
        <w:autoSpaceDN w:val="0"/>
        <w:adjustRightInd w:val="0"/>
      </w:pPr>
      <w:r>
        <w:t>3.</w:t>
      </w:r>
      <w:r>
        <w:tab/>
        <w:t>Oman operates a pegged exchange rate regime with the US dollar. However, the liquidity in the domestic money market is highly associated with oil prices. Therefore, oil price fluctuations can generate an undesired divergence in liquidities with the central bank's policy rates, and thus impede monetary policy objectives. During the review period, the spread between the policy rate and the market lending rate widened. In the case of persistent low oil prices, Oman's non</w:t>
      </w:r>
      <w:r>
        <w:noBreakHyphen/>
        <w:t>oil sector growth through monetary stimulus could be undermined</w:t>
      </w:r>
    </w:p>
    <w:p w14:paraId="3E6CE251" w14:textId="77777777" w:rsidR="00DE4516" w:rsidRDefault="00DE4516">
      <w:pPr>
        <w:pStyle w:val="FrontmatterText"/>
        <w:autoSpaceDE w:val="0"/>
        <w:autoSpaceDN w:val="0"/>
        <w:adjustRightInd w:val="0"/>
      </w:pPr>
      <w:r>
        <w:t>4.</w:t>
      </w:r>
      <w:r>
        <w:tab/>
        <w:t xml:space="preserve">The value of merchandise imports declined by about 25% during the review period, and merchandise export value dropped by about 28%, mostly owing to low prices of hydrocarbon exports. Consequently, the current account has been in deficit since 2015, and is estimated to continue its widening trend. As of end-2020, the current account deficit was equivalent to 10% of GDP. Reflecting stable foreign direct investment (FDI) inflows and a bond issuance, Oman's international reserves slightly declined. Asian economies are Oman's top oil export markets, while its Gulf Cooperation Council (GCC) neighbours are its major trading partners </w:t>
      </w:r>
      <w:proofErr w:type="gramStart"/>
      <w:r>
        <w:t>with regard to</w:t>
      </w:r>
      <w:proofErr w:type="gramEnd"/>
      <w:r>
        <w:t xml:space="preserve"> non</w:t>
      </w:r>
      <w:r>
        <w:noBreakHyphen/>
        <w:t>oil trade. The United Kingdom and the United States are the major sources of FDI</w:t>
      </w:r>
    </w:p>
    <w:p w14:paraId="72331FE1" w14:textId="77777777" w:rsidR="00DE4516" w:rsidRDefault="00DE4516">
      <w:pPr>
        <w:pStyle w:val="FrontmatterText"/>
        <w:autoSpaceDE w:val="0"/>
        <w:autoSpaceDN w:val="0"/>
        <w:adjustRightInd w:val="0"/>
      </w:pPr>
      <w:r>
        <w:t>5.</w:t>
      </w:r>
      <w:r>
        <w:tab/>
        <w:t xml:space="preserve">The Ministry of Commerce, Industry, and Investment Promotion (MOCIIP) has overall responsibility for the formulation of Oman's trade policies. The National Committee, created in 2001, deals with all WTO-related matters and meets several times a year. It acts under the chair of the MOCIIP and comprises representatives from various ministries, the customs authority, and the private sector. Bills are prepared by the relevant ministries, and presented by the Cabinet to the Consultative and State Councils, and are then issued by the Sultan through a Royal or </w:t>
      </w:r>
      <w:proofErr w:type="spellStart"/>
      <w:r>
        <w:t>Sultani</w:t>
      </w:r>
      <w:proofErr w:type="spellEnd"/>
      <w:r>
        <w:t xml:space="preserve"> Decree</w:t>
      </w:r>
    </w:p>
    <w:p w14:paraId="2E5AEE81" w14:textId="77777777" w:rsidR="00DE4516" w:rsidRDefault="00DE4516">
      <w:pPr>
        <w:pStyle w:val="FrontmatterText"/>
        <w:autoSpaceDE w:val="0"/>
        <w:autoSpaceDN w:val="0"/>
        <w:adjustRightInd w:val="0"/>
      </w:pPr>
      <w:r>
        <w:t>6.</w:t>
      </w:r>
      <w:r>
        <w:tab/>
        <w:t xml:space="preserve">Oman's economic objectives are laid down in "Oman Vision 2040" and successive five-year plans. They are to achieve developed country status by 2040, diversify production and exports away from oil, and create employment opportunities for Omanis. In addition, Oman seeks to achieve a balanced budget, attract foreign investment, and maintain low inflation rates. The 2016-2020 Five-Year Development Plan initiated the </w:t>
      </w:r>
      <w:proofErr w:type="spellStart"/>
      <w:r>
        <w:t>Tanfeedh</w:t>
      </w:r>
      <w:proofErr w:type="spellEnd"/>
      <w:r>
        <w:t xml:space="preserve"> initiative to support various sectors such as manufacturing, tourism, mining, fishery, transportation, and logistics to diversify income sources</w:t>
      </w:r>
    </w:p>
    <w:p w14:paraId="717C96C3" w14:textId="77777777" w:rsidR="00DE4516" w:rsidRDefault="00DE4516">
      <w:pPr>
        <w:pStyle w:val="FrontmatterText"/>
        <w:autoSpaceDE w:val="0"/>
        <w:autoSpaceDN w:val="0"/>
        <w:adjustRightInd w:val="0"/>
      </w:pPr>
      <w:r>
        <w:t>7.</w:t>
      </w:r>
      <w:r>
        <w:tab/>
        <w:t xml:space="preserve">A WTO Member since November 2000, Oman grants at least MFN treatment to </w:t>
      </w:r>
      <w:proofErr w:type="gramStart"/>
      <w:r>
        <w:t>all of</w:t>
      </w:r>
      <w:proofErr w:type="gramEnd"/>
      <w:r>
        <w:t xml:space="preserve"> its trading partners. It has never been directly involved in any WTO </w:t>
      </w:r>
      <w:proofErr w:type="gramStart"/>
      <w:r>
        <w:t>dispute, but</w:t>
      </w:r>
      <w:proofErr w:type="gramEnd"/>
      <w:r>
        <w:t xml:space="preserve"> has reserved its third-party rights in a number of cases. Oman established a National Committee on Trade Facilitation in 2014 and ratified the Trade Facilitation Agreement in 2017. Since 2020, Oman has officially implemented 100% of its commitments under the Agreement. During the review period, Oman submitted numerous notifications to the WTO</w:t>
      </w:r>
    </w:p>
    <w:p w14:paraId="53B0B71E" w14:textId="77777777" w:rsidR="00DE4516" w:rsidRDefault="00DE4516">
      <w:pPr>
        <w:pStyle w:val="FrontmatterText"/>
        <w:autoSpaceDE w:val="0"/>
        <w:autoSpaceDN w:val="0"/>
        <w:adjustRightInd w:val="0"/>
      </w:pPr>
      <w:r>
        <w:t>8.</w:t>
      </w:r>
      <w:r>
        <w:tab/>
        <w:t xml:space="preserve">Oman is a member of the GCC, which also comprises the Kingdom of Bahrain, the State of Kuwait, Qatar, the Kingdom of Saudi Arabia, and the United Arab Emirates. A free trade area among GCC members was established in 1983, and a common market for services in January 2008. </w:t>
      </w:r>
      <w:proofErr w:type="gramStart"/>
      <w:r>
        <w:t>With the exception of</w:t>
      </w:r>
      <w:proofErr w:type="gramEnd"/>
      <w:r>
        <w:t xml:space="preserve"> a few products, the GCC applies a common external tariff. Common legislation has been adopted in </w:t>
      </w:r>
      <w:proofErr w:type="gramStart"/>
      <w:r>
        <w:t>a number of</w:t>
      </w:r>
      <w:proofErr w:type="gramEnd"/>
      <w:r>
        <w:t xml:space="preserve"> other areas, such as trade contingency measures, veterinary quarantine, and plant quarantine. Oman is also a member of the Pan-Arab Free Trade Area (PAFTA) Treaty, under which most trade barriers among members were eliminated in 2005. Oman has a bilateral free trade agreement (FTA) with the United States, and, through the GCC, FTAs with Singapore and the European Free Trade Association (EFTA). </w:t>
      </w:r>
      <w:proofErr w:type="gramStart"/>
      <w:r>
        <w:t>With the exception of</w:t>
      </w:r>
      <w:proofErr w:type="gramEnd"/>
      <w:r>
        <w:t xml:space="preserve"> the agreement with the EFTA, these agreements have been notified to the WTO</w:t>
      </w:r>
    </w:p>
    <w:p w14:paraId="3D6DD28A" w14:textId="77777777" w:rsidR="00DE4516" w:rsidRDefault="00DE4516">
      <w:pPr>
        <w:pStyle w:val="FrontmatterText"/>
        <w:autoSpaceDE w:val="0"/>
        <w:autoSpaceDN w:val="0"/>
        <w:adjustRightInd w:val="0"/>
      </w:pPr>
      <w:r>
        <w:t>9.</w:t>
      </w:r>
      <w:r>
        <w:tab/>
        <w:t xml:space="preserve">New legislation on investment was adopted in 2019 and 2020. The Commercial Companies Law of 2019 allows both foreign and domestic investment in seven different legal forms. Under the New Foreign Capital Investment Law of 2020, foreign investors no longer need to partner with a local shareholder, as the former 30% Omani ownership requirement was revoked. However, foreign investment projects must comply with inspection and monitoring procedures. A list issued by the MOCIIP defines activities that are reserved for Omani nationals. Since land ownership by foreigners is generally prohibited, long-term and project-based lease of land is the preferred solution for most foreign investors. Investment incentives include various tax and fee exemptions. </w:t>
      </w:r>
      <w:r>
        <w:lastRenderedPageBreak/>
        <w:t>Omani-owned small and medium-sized enterprises (SMEs) are also eligible for soft loans provided by the state-owned Oman Development Bank</w:t>
      </w:r>
    </w:p>
    <w:p w14:paraId="3932CD67" w14:textId="77777777" w:rsidR="00DE4516" w:rsidRDefault="00DE4516">
      <w:pPr>
        <w:pStyle w:val="FrontmatterText"/>
        <w:autoSpaceDE w:val="0"/>
        <w:autoSpaceDN w:val="0"/>
        <w:adjustRightInd w:val="0"/>
      </w:pPr>
      <w:r>
        <w:t>10.</w:t>
      </w:r>
      <w:r>
        <w:tab/>
        <w:t xml:space="preserve">Oman's applied MFN tariff is based on the GCC's common external tariff, which consists of three rates: zero (11.1% of all lines), 5% (87.1%), and mixed tariffs (0.3%). Except for 20 tariff lines on tobacco products, which carry a mixed tariff, all lines are </w:t>
      </w:r>
      <w:r>
        <w:rPr>
          <w:i/>
        </w:rPr>
        <w:t>ad valorem</w:t>
      </w:r>
      <w:r>
        <w:t>. Imports of alcoholic beverages and pork products are subject to a 100% tariff, a purely national tariff rate. Oman's overall average MFN applied tariff is 5.5%, the same as at the time of its last Reviews, in 2008 and 2014. Preferential tariffs apply to imports from other members of the GCC, the EFTA, PAFTA, Singapore, and the United States. Average bound rates are 28% on agricultural products and 11.6% on non</w:t>
      </w:r>
      <w:r>
        <w:noBreakHyphen/>
        <w:t>agricultural goods. For 26 tariff lines, applied rates are higher than bound rates</w:t>
      </w:r>
    </w:p>
    <w:p w14:paraId="6CFEB704" w14:textId="77777777" w:rsidR="00DE4516" w:rsidRDefault="00DE4516">
      <w:pPr>
        <w:pStyle w:val="FrontmatterText"/>
        <w:autoSpaceDE w:val="0"/>
        <w:autoSpaceDN w:val="0"/>
        <w:adjustRightInd w:val="0"/>
      </w:pPr>
      <w:r>
        <w:t>11.</w:t>
      </w:r>
      <w:r>
        <w:tab/>
        <w:t>Average clearance time for imports has been reduced to seven hours. In the wake of the COVID</w:t>
      </w:r>
      <w:r>
        <w:noBreakHyphen/>
        <w:t>19 crisis, Oman approved the practice of "direct" imports from the country of origin, to speed up the clearance process and reduce costs. It also reinforced the transition to electronic submission of documents and virtual customs clearance</w:t>
      </w:r>
    </w:p>
    <w:p w14:paraId="02C0030D" w14:textId="77777777" w:rsidR="00DE4516" w:rsidRDefault="00DE4516">
      <w:pPr>
        <w:pStyle w:val="FrontmatterText"/>
        <w:autoSpaceDE w:val="0"/>
        <w:autoSpaceDN w:val="0"/>
        <w:adjustRightInd w:val="0"/>
      </w:pPr>
      <w:r>
        <w:t>12.</w:t>
      </w:r>
      <w:r>
        <w:tab/>
        <w:t>Following a GCC decision of 2015, Oman introduced a VAT of 5% in April 2021. The tax applies to all goods and services, except those related to healthcare, education, financial services, basic food items, and public transport. Excise taxes apply to alcoholic beverages (50%) and to pork meat, carbonated drinks, and cigarettes (100%)</w:t>
      </w:r>
    </w:p>
    <w:p w14:paraId="1B41C119" w14:textId="77777777" w:rsidR="00DE4516" w:rsidRDefault="00DE4516">
      <w:pPr>
        <w:pStyle w:val="FrontmatterText"/>
        <w:autoSpaceDE w:val="0"/>
        <w:autoSpaceDN w:val="0"/>
        <w:adjustRightInd w:val="0"/>
      </w:pPr>
      <w:r>
        <w:t>13.</w:t>
      </w:r>
      <w:r>
        <w:tab/>
        <w:t>Import prohibitions and restrictions are in place mainly for health, security, and moral reasons. Import prohibitions cover narcotics, weapons, certain media products, and several country-specific animal products. In 2015, Oman ratified the GCC Amended Common Law on Anti</w:t>
      </w:r>
      <w:r>
        <w:noBreakHyphen/>
        <w:t xml:space="preserve">dumping, Countervailing and Safeguards. Various GCC institutions </w:t>
      </w:r>
      <w:proofErr w:type="gramStart"/>
      <w:r>
        <w:t>are in charge of</w:t>
      </w:r>
      <w:proofErr w:type="gramEnd"/>
      <w:r>
        <w:t xml:space="preserve"> implementing the Law. During the review period, five definitive </w:t>
      </w:r>
      <w:proofErr w:type="gramStart"/>
      <w:r>
        <w:t>anti</w:t>
      </w:r>
      <w:proofErr w:type="gramEnd"/>
      <w:r>
        <w:noBreakHyphen/>
        <w:t>dumping measures and three safeguard measures were taken. Oman develops technical regulations and standards at the national level only if there is a pressing need. It submitted numerous TBT and SPS notifications during the review period. No specific trade concerns were raised against Oman's TBT and SPS measures</w:t>
      </w:r>
    </w:p>
    <w:p w14:paraId="4499987A" w14:textId="77777777" w:rsidR="00DE4516" w:rsidRDefault="00DE4516">
      <w:pPr>
        <w:pStyle w:val="FrontmatterText"/>
        <w:autoSpaceDE w:val="0"/>
        <w:autoSpaceDN w:val="0"/>
        <w:adjustRightInd w:val="0"/>
      </w:pPr>
      <w:r>
        <w:t>14.</w:t>
      </w:r>
      <w:r>
        <w:tab/>
        <w:t>Oman does not apply any export duties and taxes. Temporary export bans apply to several species of fresh and frozen fish. In the wake of the COVID</w:t>
      </w:r>
      <w:r>
        <w:noBreakHyphen/>
        <w:t>19 crisis, exports of masks and hand sanitizers were prohibited. No export subsidies are granted, but there are three free zones and two special economic zones aimed at promoting exports. The Unified Customs Laws of the GCC allows exporters to recover the duty paid on their imported products once the product is re-exported. The fully government-funded Credit Oman SAOC provides credit insurance to exporters regardless of their nationality</w:t>
      </w:r>
    </w:p>
    <w:p w14:paraId="537B5A3C" w14:textId="77777777" w:rsidR="00DE4516" w:rsidRDefault="00DE4516">
      <w:pPr>
        <w:pStyle w:val="FrontmatterText"/>
        <w:autoSpaceDE w:val="0"/>
        <w:autoSpaceDN w:val="0"/>
        <w:adjustRightInd w:val="0"/>
      </w:pPr>
      <w:r>
        <w:t>15.</w:t>
      </w:r>
      <w:r>
        <w:tab/>
        <w:t xml:space="preserve">State ownership remains important in Oman's economy, although privatization has been a policy objective for many years. Since the last Review, partial privatization took place in telecommunications and electricity transmission. In 2020, the Oman Investment Authority (OIA) was established to group together various state-owned entities. As </w:t>
      </w:r>
      <w:proofErr w:type="gramStart"/>
      <w:r>
        <w:t>at</w:t>
      </w:r>
      <w:proofErr w:type="gramEnd"/>
      <w:r>
        <w:t xml:space="preserve"> June 2021, there were 29 companies in which the OIA holds more than 40% of shares</w:t>
      </w:r>
    </w:p>
    <w:p w14:paraId="3E418870" w14:textId="77777777" w:rsidR="00DE4516" w:rsidRDefault="00DE4516">
      <w:pPr>
        <w:pStyle w:val="FrontmatterText"/>
        <w:autoSpaceDE w:val="0"/>
        <w:autoSpaceDN w:val="0"/>
        <w:adjustRightInd w:val="0"/>
      </w:pPr>
      <w:r>
        <w:t>16.</w:t>
      </w:r>
      <w:r>
        <w:tab/>
        <w:t>In December 2014, Oman adopted its first law on competition. The Anti-Monopoly and Competition Law prohibits any activity that would undermine competition. Companies abusing a dominant position can be sanctioned. The Competition Protection and Monopoly Prevention Centre, established in 2018 and merged into the MOCIIP in 2020, reviews mergers and abuse cases. New legislation on consumer protection was also adopted in 2014; it reinforced the powers of the Consumer Protection Authority and increased potential penalties</w:t>
      </w:r>
    </w:p>
    <w:p w14:paraId="731C05F4" w14:textId="77777777" w:rsidR="00DE4516" w:rsidRDefault="00DE4516">
      <w:pPr>
        <w:pStyle w:val="FrontmatterText"/>
        <w:autoSpaceDE w:val="0"/>
        <w:autoSpaceDN w:val="0"/>
        <w:adjustRightInd w:val="0"/>
      </w:pPr>
      <w:r>
        <w:t>17.</w:t>
      </w:r>
      <w:r>
        <w:tab/>
        <w:t xml:space="preserve">Legislation on government procurement and intellectual property dates mainly from 2008. Public tender is the main method for procurement of goods and services. A price preference of 10% to the products of Omani SMEs and of 5% to products of other GCC countries is applied. Oman is an observer to the Government Procurement Agreement. Intellectual property right (IPR) infringements and violations can be subject to fines and imprisonment. The Public Prosecution Office may initiate legal action </w:t>
      </w:r>
      <w:r>
        <w:rPr>
          <w:i/>
        </w:rPr>
        <w:t>ex officio</w:t>
      </w:r>
      <w:r>
        <w:t xml:space="preserve"> with respect to IPR-related offences, without the need for a formal complaint by a private party or right holder. A National Strategy for Intellectual Property with the aim of building a knowledge-based economy is currently under formulation</w:t>
      </w:r>
    </w:p>
    <w:p w14:paraId="151D569B" w14:textId="77777777" w:rsidR="00DE4516" w:rsidRDefault="00DE4516">
      <w:pPr>
        <w:pStyle w:val="FrontmatterText"/>
        <w:autoSpaceDE w:val="0"/>
        <w:autoSpaceDN w:val="0"/>
        <w:adjustRightInd w:val="0"/>
      </w:pPr>
      <w:r>
        <w:lastRenderedPageBreak/>
        <w:t>18.</w:t>
      </w:r>
      <w:r>
        <w:tab/>
        <w:t xml:space="preserve">Agriculture and fisheries </w:t>
      </w:r>
      <w:proofErr w:type="gramStart"/>
      <w:r>
        <w:t>is</w:t>
      </w:r>
      <w:proofErr w:type="gramEnd"/>
      <w:r>
        <w:t xml:space="preserve"> considered as one of the key sectors for Oman's diversification strategy. The Government has the dual aim of reducing Oman's dependence on imported agricultural produce and increasing exports where possible. Oman does not maintain tariff quotas or quantitative restrictions on agricultural products. All the support measures notified by Oman to the WTO belong to the Green Box. During the review period, the spending of domestic support for the agriculture sector continued to decrease. In 2019, spending was OMR 8.2 million, down from OMR 24.5 million in 2013</w:t>
      </w:r>
    </w:p>
    <w:p w14:paraId="2190409E" w14:textId="77777777" w:rsidR="00DE4516" w:rsidRDefault="00DE4516">
      <w:pPr>
        <w:pStyle w:val="FrontmatterText"/>
        <w:autoSpaceDE w:val="0"/>
        <w:autoSpaceDN w:val="0"/>
        <w:adjustRightInd w:val="0"/>
      </w:pPr>
      <w:r>
        <w:t>19.</w:t>
      </w:r>
      <w:r>
        <w:tab/>
        <w:t>Since the last Review, the institutions responsible for the mining and energy sector have been overhauled. The Ministry of Energy and Minerals became the umbrella entity overseeing sectoral policy development and regulating activities by licensees/concessionaires. In 2013, the In-Country Value strategy was first concepted in the energy sector, and subsequently rolled out nationwide as part of the country's diversification efforts</w:t>
      </w:r>
    </w:p>
    <w:p w14:paraId="360BABBD" w14:textId="77777777" w:rsidR="00DE4516" w:rsidRDefault="00DE4516">
      <w:pPr>
        <w:pStyle w:val="FrontmatterText"/>
        <w:autoSpaceDE w:val="0"/>
        <w:autoSpaceDN w:val="0"/>
        <w:adjustRightInd w:val="0"/>
      </w:pPr>
      <w:r>
        <w:t>20.</w:t>
      </w:r>
      <w:r>
        <w:tab/>
        <w:t xml:space="preserve">Manufacturing accounted for about 10% of GDP during the review period. Considering Oman's endowment of mineral resources, the sector is dominated by activities related to oil and gas, such as petroleum refineries and petrochemicals. Most manufacturing establishments </w:t>
      </w:r>
      <w:proofErr w:type="gramStart"/>
      <w:r>
        <w:t>are located in</w:t>
      </w:r>
      <w:proofErr w:type="gramEnd"/>
      <w:r>
        <w:t xml:space="preserve"> the industrial estates, free zones, and special economic zones, where they are served by the airports or ports nearby</w:t>
      </w:r>
    </w:p>
    <w:p w14:paraId="78C8504B" w14:textId="77777777" w:rsidR="00DE4516" w:rsidRDefault="00DE4516">
      <w:pPr>
        <w:pStyle w:val="FrontmatterText"/>
        <w:autoSpaceDE w:val="0"/>
        <w:autoSpaceDN w:val="0"/>
        <w:adjustRightInd w:val="0"/>
      </w:pPr>
      <w:r>
        <w:t>21.</w:t>
      </w:r>
      <w:r>
        <w:tab/>
        <w:t xml:space="preserve">Transport and logistics have been identified as key priorities for economic diversification. The Government invested heavily to expand and improve capacity across air, land, and sea. While the Ministry of Transport, Communications and Information Technology remains the policy maker for the transport sector, the wholly state-owned </w:t>
      </w:r>
      <w:proofErr w:type="spellStart"/>
      <w:r>
        <w:t>Asyad</w:t>
      </w:r>
      <w:proofErr w:type="spellEnd"/>
      <w:r>
        <w:t xml:space="preserve"> Group was created in 2016 to represent the state ownership of infrastructure assets. Almost half of the bilateral air service agreements offered the fourth freedom without restriction on capacity, destinations, and pricing. Sea port operation efficiency, </w:t>
      </w:r>
      <w:proofErr w:type="gramStart"/>
      <w:r>
        <w:t>in particular for</w:t>
      </w:r>
      <w:proofErr w:type="gramEnd"/>
      <w:r>
        <w:t xml:space="preserve"> container handling, improved during the review period; however, the long-anticipated national railway network has not been materialized</w:t>
      </w:r>
    </w:p>
    <w:p w14:paraId="37BD36E5" w14:textId="77777777" w:rsidR="00DE4516" w:rsidRDefault="00DE4516">
      <w:pPr>
        <w:pStyle w:val="FrontmatterText"/>
        <w:autoSpaceDE w:val="0"/>
        <w:autoSpaceDN w:val="0"/>
        <w:adjustRightInd w:val="0"/>
      </w:pPr>
      <w:r>
        <w:t>22.</w:t>
      </w:r>
      <w:r>
        <w:tab/>
        <w:t>The telecommunications infrastructure in Oman has significantly improved since the last Review. In addition to a mobile network operator being licensed in 2021, the national backbone fibre optic network began construction in April 2014, and now covers 54% of urban regions. The COVID</w:t>
      </w:r>
      <w:r>
        <w:noBreakHyphen/>
        <w:t>19 pandemic has increased the demand for certain telecom services (</w:t>
      </w:r>
      <w:proofErr w:type="gramStart"/>
      <w:r>
        <w:t>e.g.</w:t>
      </w:r>
      <w:proofErr w:type="gramEnd"/>
      <w:r>
        <w:t> video conferencing and streaming services). To mitigate the impact, Oman adopted several measures including the abolishment of the ban on VoIP calls</w:t>
      </w:r>
    </w:p>
    <w:p w14:paraId="70EFCD86" w14:textId="77777777" w:rsidR="00DE4516" w:rsidRDefault="00DE4516">
      <w:pPr>
        <w:pStyle w:val="FrontmatterText"/>
        <w:autoSpaceDE w:val="0"/>
        <w:autoSpaceDN w:val="0"/>
        <w:adjustRightInd w:val="0"/>
      </w:pPr>
      <w:r>
        <w:t>23.</w:t>
      </w:r>
      <w:r>
        <w:tab/>
        <w:t xml:space="preserve">During the review period, the legal framework for financial services continued being improved and modernized. The authorities maintain the same licensing procedures for local and foreign-owned banks. Ownership limitations for Islamic financial services (including banking and insurance) are </w:t>
      </w:r>
      <w:proofErr w:type="gramStart"/>
      <w:r>
        <w:t>similar to</w:t>
      </w:r>
      <w:proofErr w:type="gramEnd"/>
      <w:r>
        <w:t xml:space="preserve"> those applicable to conventional business</w:t>
      </w:r>
    </w:p>
    <w:p w14:paraId="3AAC81D2" w14:textId="77777777" w:rsidR="00DE4516" w:rsidRDefault="00DE4516">
      <w:pPr>
        <w:pStyle w:val="FrontmatterText"/>
        <w:autoSpaceDE w:val="0"/>
        <w:autoSpaceDN w:val="0"/>
        <w:adjustRightInd w:val="0"/>
      </w:pPr>
      <w:r>
        <w:t>24.</w:t>
      </w:r>
      <w:r>
        <w:tab/>
        <w:t xml:space="preserve">The tourism sector is also identified as key to the country's diversification </w:t>
      </w:r>
      <w:proofErr w:type="gramStart"/>
      <w:r>
        <w:t>programme, and</w:t>
      </w:r>
      <w:proofErr w:type="gramEnd"/>
      <w:r>
        <w:t xml:space="preserve"> considered as a source of significant employment. State involvement in the sector is quite large, while foreign investment restrictions remain in place. The COVID</w:t>
      </w:r>
      <w:r>
        <w:noBreakHyphen/>
        <w:t>19 pandemic had a huge impact. According to the authorities, the lost revenue due to travel restrictions and lockdown measures was estimated to reach OMR 2.6 billion in 2020. To mitigate the impact, the authorities exempted tourism establishments from tourism tax and municipality tax for two years (2020-21)</w:t>
      </w:r>
    </w:p>
    <w:p w14:paraId="06FD1DC0" w14:textId="77777777" w:rsidR="00DE4516" w:rsidRDefault="00DE4516">
      <w:pPr>
        <w:keepNext/>
        <w:keepLines/>
        <w:autoSpaceDE w:val="0"/>
        <w:autoSpaceDN w:val="0"/>
        <w:adjustRightInd w:val="0"/>
        <w:outlineLvl w:val="0"/>
        <w:rPr>
          <w:rFonts w:ascii="Times New Roman" w:hAnsi="Times New Roman"/>
          <w:sz w:val="24"/>
          <w:szCs w:val="24"/>
        </w:rPr>
        <w:sectPr w:rsidR="00DE4516" w:rsidSect="008D50D5">
          <w:headerReference w:type="even" r:id="rId9"/>
          <w:headerReference w:type="default" r:id="rId10"/>
          <w:footerReference w:type="even" r:id="rId11"/>
          <w:footerReference w:type="default" r:id="rId12"/>
          <w:headerReference w:type="first" r:id="rId13"/>
          <w:footnotePr>
            <w:numRestart w:val="eachSect"/>
          </w:footnotePr>
          <w:type w:val="continuous"/>
          <w:pgSz w:w="11906" w:h="16838" w:code="9"/>
          <w:pgMar w:top="1701" w:right="1440" w:bottom="1440" w:left="1440" w:header="720" w:footer="720" w:gutter="0"/>
          <w:cols w:space="720"/>
          <w:titlePg/>
          <w:docGrid w:linePitch="360"/>
        </w:sectPr>
      </w:pPr>
    </w:p>
    <w:p w14:paraId="376AF4AA" w14:textId="77777777" w:rsidR="00DE4516" w:rsidRDefault="00DE4516">
      <w:pPr>
        <w:pStyle w:val="Heading10"/>
        <w:autoSpaceDE w:val="0"/>
        <w:autoSpaceDN w:val="0"/>
        <w:adjustRightInd w:val="0"/>
        <w:rPr>
          <w:szCs w:val="24"/>
        </w:rPr>
      </w:pPr>
      <w:r>
        <w:rPr>
          <w:szCs w:val="24"/>
        </w:rPr>
        <w:lastRenderedPageBreak/>
        <w:t>ECONOMIC ENVIRONMENT</w:t>
      </w:r>
    </w:p>
    <w:p w14:paraId="1D38F427" w14:textId="77777777" w:rsidR="00DE4516" w:rsidRDefault="00DE4516">
      <w:pPr>
        <w:pStyle w:val="Heading20"/>
        <w:autoSpaceDE w:val="0"/>
        <w:autoSpaceDN w:val="0"/>
        <w:adjustRightInd w:val="0"/>
        <w:rPr>
          <w:szCs w:val="24"/>
        </w:rPr>
      </w:pPr>
      <w:r>
        <w:rPr>
          <w:szCs w:val="24"/>
        </w:rPr>
        <w:t>Main Features of the Economy</w:t>
      </w:r>
    </w:p>
    <w:p w14:paraId="2CFB4034" w14:textId="77777777" w:rsidR="00DE4516" w:rsidRDefault="00DE4516">
      <w:pPr>
        <w:pStyle w:val="BodyText0"/>
        <w:autoSpaceDE w:val="0"/>
        <w:autoSpaceDN w:val="0"/>
        <w:adjustRightInd w:val="0"/>
        <w:rPr>
          <w:szCs w:val="24"/>
        </w:rPr>
      </w:pPr>
      <w:r>
        <w:rPr>
          <w:szCs w:val="24"/>
        </w:rPr>
        <w:t>Oman is situated in the south-eastern corner of the Arabian Peninsula, sharing land borders in the west with the Kingdom of Saudi Arabia, the United Arab Emirates, and Yemen. As the only member of the Gulf Cooperation Council (GCC) geographically outside the Gulf, Oman has 3,126 km coastline, flanked by the Sea of Oman from the northeast, and the Arabian Sea from the southeast</w:t>
      </w:r>
      <w:r w:rsidRPr="00DE4516">
        <w:rPr>
          <w:rStyle w:val="FootnoteReference"/>
        </w:rPr>
        <w:footnoteReference w:id="1"/>
      </w:r>
      <w:r>
        <w:rPr>
          <w:szCs w:val="24"/>
        </w:rPr>
        <w:t xml:space="preserve">; the Gulf of Aden is not far from the southwest corner of the Sultanate. Oman is located near the main shipping lanes of the northern Indian Ocean, which sits strategically on the east-west trade routes, ensuring easy access to markets in the Middle East, South Asia, </w:t>
      </w:r>
      <w:proofErr w:type="gramStart"/>
      <w:r>
        <w:rPr>
          <w:szCs w:val="24"/>
        </w:rPr>
        <w:t>South East</w:t>
      </w:r>
      <w:proofErr w:type="gramEnd"/>
      <w:r>
        <w:rPr>
          <w:szCs w:val="24"/>
        </w:rPr>
        <w:t xml:space="preserve"> Asia, Africa, and Europe.</w:t>
      </w:r>
    </w:p>
    <w:p w14:paraId="3DDAE208" w14:textId="77777777" w:rsidR="00DE4516" w:rsidRDefault="00DE4516">
      <w:pPr>
        <w:pStyle w:val="BodyText0"/>
        <w:autoSpaceDE w:val="0"/>
        <w:autoSpaceDN w:val="0"/>
        <w:adjustRightInd w:val="0"/>
        <w:rPr>
          <w:szCs w:val="24"/>
        </w:rPr>
      </w:pPr>
      <w:r>
        <w:rPr>
          <w:szCs w:val="24"/>
        </w:rPr>
        <w:t>Oman is classified by the World Bank as a high-income economy.</w:t>
      </w:r>
      <w:r w:rsidRPr="00DE4516">
        <w:rPr>
          <w:rStyle w:val="FootnoteReference"/>
        </w:rPr>
        <w:footnoteReference w:id="2"/>
      </w:r>
      <w:r>
        <w:rPr>
          <w:szCs w:val="24"/>
        </w:rPr>
        <w:t xml:space="preserve"> The economy was traditionally based on agriculture, fisheries, and trade before the discovery and development of oil and gas reserves. Though the country is less hydrocarbon-rich than its GCC neighbours, oil and gas still play a significant role in the economy. In 2020, the oil and gas sector accounted for 26.2% of national GDP (</w:t>
      </w:r>
      <w:r>
        <w:rPr>
          <w:rStyle w:val="citetbl"/>
          <w:szCs w:val="24"/>
        </w:rPr>
        <w:t>Table 1.1</w:t>
      </w:r>
      <w:r>
        <w:rPr>
          <w:szCs w:val="24"/>
        </w:rPr>
        <w:t>), and it contributes about 60% of Oman's merchandise exports (</w:t>
      </w:r>
      <w:r>
        <w:rPr>
          <w:rStyle w:val="citetbl"/>
          <w:szCs w:val="24"/>
        </w:rPr>
        <w:t>Table A1.1</w:t>
      </w:r>
      <w:r>
        <w:rPr>
          <w:szCs w:val="24"/>
        </w:rPr>
        <w:t>) and three quarters of total government revenues (</w:t>
      </w:r>
      <w:r>
        <w:rPr>
          <w:rStyle w:val="citetbl"/>
          <w:szCs w:val="24"/>
        </w:rPr>
        <w:t>Table 4.5</w:t>
      </w:r>
      <w:r>
        <w:rPr>
          <w:szCs w:val="24"/>
        </w:rPr>
        <w:t>).</w:t>
      </w:r>
    </w:p>
    <w:p w14:paraId="111E3044" w14:textId="77777777" w:rsidR="00DE4516" w:rsidRDefault="00DE4516">
      <w:pPr>
        <w:pStyle w:val="TableTitle"/>
        <w:autoSpaceDE w:val="0"/>
        <w:autoSpaceDN w:val="0"/>
        <w:adjustRightInd w:val="0"/>
      </w:pPr>
      <w:r>
        <w:t>Table 1.1 GDP by economic activity, 2014-20</w:t>
      </w:r>
    </w:p>
    <w:tbl>
      <w:tblPr>
        <w:tblStyle w:val="WTOTable1"/>
        <w:tblW w:w="0" w:type="auto"/>
        <w:tblLayout w:type="fixed"/>
        <w:tblLook w:val="05E0" w:firstRow="1" w:lastRow="1" w:firstColumn="1" w:lastColumn="1" w:noHBand="0" w:noVBand="1"/>
      </w:tblPr>
      <w:tblGrid>
        <w:gridCol w:w="3966"/>
        <w:gridCol w:w="722"/>
        <w:gridCol w:w="721"/>
        <w:gridCol w:w="721"/>
        <w:gridCol w:w="721"/>
        <w:gridCol w:w="721"/>
        <w:gridCol w:w="721"/>
        <w:gridCol w:w="723"/>
      </w:tblGrid>
      <w:tr w:rsidR="007F015E" w:rsidRPr="007F015E" w14:paraId="7DA9A3F4" w14:textId="77777777" w:rsidTr="002C718D">
        <w:trPr>
          <w:cnfStyle w:val="100000000000" w:firstRow="1" w:lastRow="0" w:firstColumn="0" w:lastColumn="0" w:oddVBand="0" w:evenVBand="0" w:oddHBand="0" w:evenHBand="0" w:firstRowFirstColumn="0" w:firstRowLastColumn="0" w:lastRowFirstColumn="0" w:lastRowLastColumn="0"/>
          <w:cantSplit/>
        </w:trPr>
        <w:tc>
          <w:tcPr>
            <w:tcW w:w="3966" w:type="dxa"/>
            <w:tcBorders>
              <w:top w:val="single" w:sz="4" w:space="0" w:color="auto"/>
            </w:tcBorders>
            <w:noWrap/>
            <w:vAlign w:val="center"/>
            <w:hideMark/>
          </w:tcPr>
          <w:p w14:paraId="618B83F3" w14:textId="77777777" w:rsidR="00DE4516" w:rsidRPr="007F015E" w:rsidRDefault="00DE4516" w:rsidP="00DE4516">
            <w:pPr>
              <w:pStyle w:val="TableHead"/>
              <w:autoSpaceDE w:val="0"/>
              <w:autoSpaceDN w:val="0"/>
              <w:adjustRightInd w:val="0"/>
              <w:rPr>
                <w:b/>
              </w:rPr>
            </w:pPr>
          </w:p>
        </w:tc>
        <w:tc>
          <w:tcPr>
            <w:tcW w:w="722" w:type="dxa"/>
            <w:tcBorders>
              <w:top w:val="single" w:sz="4" w:space="0" w:color="auto"/>
            </w:tcBorders>
            <w:noWrap/>
            <w:vAlign w:val="center"/>
            <w:hideMark/>
          </w:tcPr>
          <w:p w14:paraId="4051FF15"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2014</w:t>
            </w:r>
          </w:p>
        </w:tc>
        <w:tc>
          <w:tcPr>
            <w:tcW w:w="721" w:type="dxa"/>
            <w:tcBorders>
              <w:top w:val="single" w:sz="4" w:space="0" w:color="auto"/>
            </w:tcBorders>
            <w:noWrap/>
            <w:vAlign w:val="center"/>
            <w:hideMark/>
          </w:tcPr>
          <w:p w14:paraId="24B3A17F"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2015</w:t>
            </w:r>
          </w:p>
        </w:tc>
        <w:tc>
          <w:tcPr>
            <w:tcW w:w="721" w:type="dxa"/>
            <w:tcBorders>
              <w:top w:val="single" w:sz="4" w:space="0" w:color="auto"/>
            </w:tcBorders>
            <w:noWrap/>
            <w:vAlign w:val="center"/>
            <w:hideMark/>
          </w:tcPr>
          <w:p w14:paraId="1A4748F3"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2016</w:t>
            </w:r>
          </w:p>
        </w:tc>
        <w:tc>
          <w:tcPr>
            <w:tcW w:w="721" w:type="dxa"/>
            <w:tcBorders>
              <w:top w:val="single" w:sz="4" w:space="0" w:color="auto"/>
            </w:tcBorders>
            <w:noWrap/>
            <w:vAlign w:val="center"/>
            <w:hideMark/>
          </w:tcPr>
          <w:p w14:paraId="3BC65484"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2017</w:t>
            </w:r>
          </w:p>
        </w:tc>
        <w:tc>
          <w:tcPr>
            <w:tcW w:w="721" w:type="dxa"/>
            <w:tcBorders>
              <w:top w:val="single" w:sz="4" w:space="0" w:color="auto"/>
            </w:tcBorders>
            <w:noWrap/>
            <w:vAlign w:val="center"/>
            <w:hideMark/>
          </w:tcPr>
          <w:p w14:paraId="42A5154F"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2018</w:t>
            </w:r>
          </w:p>
        </w:tc>
        <w:tc>
          <w:tcPr>
            <w:tcW w:w="721" w:type="dxa"/>
            <w:tcBorders>
              <w:top w:val="single" w:sz="4" w:space="0" w:color="auto"/>
            </w:tcBorders>
            <w:noWrap/>
            <w:vAlign w:val="center"/>
            <w:hideMark/>
          </w:tcPr>
          <w:p w14:paraId="522F4ADE"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2019</w:t>
            </w:r>
          </w:p>
        </w:tc>
        <w:tc>
          <w:tcPr>
            <w:tcW w:w="723" w:type="dxa"/>
            <w:tcBorders>
              <w:top w:val="single" w:sz="4" w:space="0" w:color="auto"/>
            </w:tcBorders>
            <w:noWrap/>
            <w:vAlign w:val="center"/>
            <w:hideMark/>
          </w:tcPr>
          <w:p w14:paraId="7B581850"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2020</w:t>
            </w:r>
          </w:p>
        </w:tc>
      </w:tr>
      <w:tr w:rsidR="007F015E" w:rsidRPr="00045A4A" w14:paraId="2698D0E0" w14:textId="77777777" w:rsidTr="002C718D">
        <w:trPr>
          <w:cantSplit/>
        </w:trPr>
        <w:tc>
          <w:tcPr>
            <w:tcW w:w="3966" w:type="dxa"/>
            <w:noWrap/>
            <w:vAlign w:val="center"/>
            <w:hideMark/>
          </w:tcPr>
          <w:p w14:paraId="7003C13F"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GDP (OMR billion)</w:t>
            </w:r>
          </w:p>
        </w:tc>
        <w:tc>
          <w:tcPr>
            <w:tcW w:w="722" w:type="dxa"/>
            <w:noWrap/>
            <w:vAlign w:val="center"/>
            <w:hideMark/>
          </w:tcPr>
          <w:p w14:paraId="5B19869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31.0</w:t>
            </w:r>
          </w:p>
        </w:tc>
        <w:tc>
          <w:tcPr>
            <w:tcW w:w="721" w:type="dxa"/>
            <w:noWrap/>
            <w:vAlign w:val="center"/>
            <w:hideMark/>
          </w:tcPr>
          <w:p w14:paraId="7D4D670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26.3</w:t>
            </w:r>
          </w:p>
        </w:tc>
        <w:tc>
          <w:tcPr>
            <w:tcW w:w="721" w:type="dxa"/>
            <w:noWrap/>
            <w:vAlign w:val="center"/>
            <w:hideMark/>
          </w:tcPr>
          <w:p w14:paraId="1D769AB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25.2</w:t>
            </w:r>
          </w:p>
        </w:tc>
        <w:tc>
          <w:tcPr>
            <w:tcW w:w="721" w:type="dxa"/>
            <w:noWrap/>
            <w:vAlign w:val="center"/>
            <w:hideMark/>
          </w:tcPr>
          <w:p w14:paraId="6A1B0FD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27.1</w:t>
            </w:r>
          </w:p>
        </w:tc>
        <w:tc>
          <w:tcPr>
            <w:tcW w:w="721" w:type="dxa"/>
            <w:noWrap/>
            <w:vAlign w:val="center"/>
            <w:hideMark/>
          </w:tcPr>
          <w:p w14:paraId="2B3A7F8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30.7</w:t>
            </w:r>
          </w:p>
        </w:tc>
        <w:tc>
          <w:tcPr>
            <w:tcW w:w="721" w:type="dxa"/>
            <w:noWrap/>
            <w:vAlign w:val="center"/>
            <w:hideMark/>
          </w:tcPr>
          <w:p w14:paraId="7E3AECC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29.3</w:t>
            </w:r>
          </w:p>
        </w:tc>
        <w:tc>
          <w:tcPr>
            <w:tcW w:w="723" w:type="dxa"/>
            <w:noWrap/>
            <w:vAlign w:val="center"/>
            <w:hideMark/>
          </w:tcPr>
          <w:p w14:paraId="359B6C5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24.3</w:t>
            </w:r>
          </w:p>
        </w:tc>
      </w:tr>
      <w:tr w:rsidR="00DE4516" w:rsidRPr="00045A4A" w14:paraId="2DDDE47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9016" w:type="dxa"/>
            <w:gridSpan w:val="8"/>
            <w:noWrap/>
            <w:vAlign w:val="center"/>
            <w:hideMark/>
          </w:tcPr>
          <w:p w14:paraId="4F91F7D7" w14:textId="77777777" w:rsidR="00DE4516" w:rsidRPr="00A46ADC" w:rsidRDefault="00DE4516" w:rsidP="00DE4516">
            <w:pPr>
              <w:pStyle w:val="TableBody"/>
              <w:autoSpaceDE w:val="0"/>
              <w:autoSpaceDN w:val="0"/>
              <w:adjustRightInd w:val="0"/>
              <w:jc w:val="both"/>
              <w:rPr>
                <w:szCs w:val="16"/>
              </w:rPr>
            </w:pPr>
            <w:r w:rsidRPr="00A46ADC">
              <w:t>(% of GDP at current prices)</w:t>
            </w:r>
          </w:p>
        </w:tc>
      </w:tr>
      <w:tr w:rsidR="007F015E" w:rsidRPr="00045A4A" w14:paraId="376680EF" w14:textId="77777777" w:rsidTr="002C718D">
        <w:trPr>
          <w:cantSplit/>
        </w:trPr>
        <w:tc>
          <w:tcPr>
            <w:tcW w:w="3966" w:type="dxa"/>
            <w:noWrap/>
            <w:vAlign w:val="center"/>
            <w:hideMark/>
          </w:tcPr>
          <w:p w14:paraId="3492C8FB" w14:textId="77777777" w:rsidR="00DE4516" w:rsidRPr="00A46ADC" w:rsidRDefault="00DE4516" w:rsidP="00DE4516">
            <w:pPr>
              <w:pStyle w:val="TableBody"/>
              <w:autoSpaceDE w:val="0"/>
              <w:autoSpaceDN w:val="0"/>
              <w:adjustRightInd w:val="0"/>
              <w:jc w:val="both"/>
              <w:rPr>
                <w:rFonts w:cs="Calibri"/>
                <w:color w:val="000000"/>
                <w:szCs w:val="16"/>
              </w:rPr>
            </w:pPr>
            <w:r w:rsidRPr="00A46ADC">
              <w:t>Petroleum activities</w:t>
            </w:r>
          </w:p>
        </w:tc>
        <w:tc>
          <w:tcPr>
            <w:tcW w:w="722" w:type="dxa"/>
            <w:noWrap/>
            <w:vAlign w:val="center"/>
            <w:hideMark/>
          </w:tcPr>
          <w:p w14:paraId="7E35028C" w14:textId="77777777" w:rsidR="00DE4516" w:rsidRPr="00A46ADC" w:rsidRDefault="00DE4516" w:rsidP="00DE4516">
            <w:pPr>
              <w:pStyle w:val="TableBody"/>
              <w:autoSpaceDE w:val="0"/>
              <w:autoSpaceDN w:val="0"/>
              <w:adjustRightInd w:val="0"/>
              <w:jc w:val="right"/>
              <w:rPr>
                <w:rFonts w:cs="Calibri"/>
                <w:color w:val="000000"/>
                <w:szCs w:val="16"/>
              </w:rPr>
            </w:pPr>
            <w:r w:rsidRPr="00A46ADC">
              <w:t>44.7</w:t>
            </w:r>
          </w:p>
        </w:tc>
        <w:tc>
          <w:tcPr>
            <w:tcW w:w="721" w:type="dxa"/>
            <w:noWrap/>
            <w:vAlign w:val="center"/>
            <w:hideMark/>
          </w:tcPr>
          <w:p w14:paraId="52AFABFF" w14:textId="77777777" w:rsidR="00DE4516" w:rsidRPr="00A46ADC" w:rsidRDefault="00DE4516" w:rsidP="00DE4516">
            <w:pPr>
              <w:pStyle w:val="TableBody"/>
              <w:autoSpaceDE w:val="0"/>
              <w:autoSpaceDN w:val="0"/>
              <w:adjustRightInd w:val="0"/>
              <w:jc w:val="right"/>
              <w:rPr>
                <w:rFonts w:cs="Calibri"/>
                <w:color w:val="000000"/>
                <w:szCs w:val="16"/>
              </w:rPr>
            </w:pPr>
            <w:r w:rsidRPr="00A46ADC">
              <w:t>32.3</w:t>
            </w:r>
          </w:p>
        </w:tc>
        <w:tc>
          <w:tcPr>
            <w:tcW w:w="721" w:type="dxa"/>
            <w:noWrap/>
            <w:vAlign w:val="center"/>
            <w:hideMark/>
          </w:tcPr>
          <w:p w14:paraId="38662849" w14:textId="77777777" w:rsidR="00DE4516" w:rsidRPr="00A46ADC" w:rsidRDefault="00DE4516" w:rsidP="00DE4516">
            <w:pPr>
              <w:pStyle w:val="TableBody"/>
              <w:autoSpaceDE w:val="0"/>
              <w:autoSpaceDN w:val="0"/>
              <w:adjustRightInd w:val="0"/>
              <w:jc w:val="right"/>
              <w:rPr>
                <w:rFonts w:cs="Calibri"/>
                <w:color w:val="000000"/>
                <w:szCs w:val="16"/>
              </w:rPr>
            </w:pPr>
            <w:r w:rsidRPr="00A46ADC">
              <w:t>26.4</w:t>
            </w:r>
          </w:p>
        </w:tc>
        <w:tc>
          <w:tcPr>
            <w:tcW w:w="721" w:type="dxa"/>
            <w:noWrap/>
            <w:vAlign w:val="center"/>
            <w:hideMark/>
          </w:tcPr>
          <w:p w14:paraId="42243968" w14:textId="77777777" w:rsidR="00DE4516" w:rsidRPr="00A46ADC" w:rsidRDefault="00DE4516" w:rsidP="00DE4516">
            <w:pPr>
              <w:pStyle w:val="TableBody"/>
              <w:autoSpaceDE w:val="0"/>
              <w:autoSpaceDN w:val="0"/>
              <w:adjustRightInd w:val="0"/>
              <w:jc w:val="right"/>
              <w:rPr>
                <w:rFonts w:cs="Calibri"/>
                <w:color w:val="000000"/>
                <w:szCs w:val="16"/>
              </w:rPr>
            </w:pPr>
            <w:r w:rsidRPr="00A46ADC">
              <w:t>29.4</w:t>
            </w:r>
          </w:p>
        </w:tc>
        <w:tc>
          <w:tcPr>
            <w:tcW w:w="721" w:type="dxa"/>
            <w:noWrap/>
            <w:vAlign w:val="center"/>
            <w:hideMark/>
          </w:tcPr>
          <w:p w14:paraId="02BB302A" w14:textId="77777777" w:rsidR="00DE4516" w:rsidRPr="00A46ADC" w:rsidRDefault="00DE4516" w:rsidP="00DE4516">
            <w:pPr>
              <w:pStyle w:val="TableBody"/>
              <w:autoSpaceDE w:val="0"/>
              <w:autoSpaceDN w:val="0"/>
              <w:adjustRightInd w:val="0"/>
              <w:jc w:val="right"/>
              <w:rPr>
                <w:rFonts w:cs="Calibri"/>
                <w:color w:val="000000"/>
                <w:szCs w:val="16"/>
              </w:rPr>
            </w:pPr>
            <w:r w:rsidRPr="00A46ADC">
              <w:t>35.5</w:t>
            </w:r>
          </w:p>
        </w:tc>
        <w:tc>
          <w:tcPr>
            <w:tcW w:w="721" w:type="dxa"/>
            <w:noWrap/>
            <w:vAlign w:val="center"/>
            <w:hideMark/>
          </w:tcPr>
          <w:p w14:paraId="62336584" w14:textId="77777777" w:rsidR="00DE4516" w:rsidRPr="00A46ADC" w:rsidRDefault="00DE4516" w:rsidP="00DE4516">
            <w:pPr>
              <w:pStyle w:val="TableBody"/>
              <w:autoSpaceDE w:val="0"/>
              <w:autoSpaceDN w:val="0"/>
              <w:adjustRightInd w:val="0"/>
              <w:jc w:val="right"/>
              <w:rPr>
                <w:rFonts w:cs="Calibri"/>
                <w:color w:val="000000"/>
                <w:szCs w:val="16"/>
              </w:rPr>
            </w:pPr>
            <w:r w:rsidRPr="00A46ADC">
              <w:t>33.9</w:t>
            </w:r>
          </w:p>
        </w:tc>
        <w:tc>
          <w:tcPr>
            <w:tcW w:w="723" w:type="dxa"/>
            <w:noWrap/>
            <w:vAlign w:val="center"/>
          </w:tcPr>
          <w:p w14:paraId="68CA63E0" w14:textId="77777777" w:rsidR="00DE4516" w:rsidRPr="00A46ADC" w:rsidRDefault="00DE4516" w:rsidP="00DE4516">
            <w:pPr>
              <w:pStyle w:val="TableBody"/>
              <w:autoSpaceDE w:val="0"/>
              <w:autoSpaceDN w:val="0"/>
              <w:adjustRightInd w:val="0"/>
              <w:jc w:val="right"/>
              <w:rPr>
                <w:rFonts w:cs="Calibri"/>
                <w:color w:val="000000"/>
                <w:szCs w:val="16"/>
              </w:rPr>
            </w:pPr>
            <w:r w:rsidRPr="00A46ADC">
              <w:t>26.2</w:t>
            </w:r>
          </w:p>
        </w:tc>
      </w:tr>
      <w:tr w:rsidR="007F015E" w:rsidRPr="00045A4A" w14:paraId="0F242C9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726D34A0"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Crude petroleum</w:t>
            </w:r>
          </w:p>
        </w:tc>
        <w:tc>
          <w:tcPr>
            <w:tcW w:w="722" w:type="dxa"/>
            <w:noWrap/>
            <w:vAlign w:val="center"/>
            <w:hideMark/>
          </w:tcPr>
          <w:p w14:paraId="6288DC3A" w14:textId="77777777" w:rsidR="00DE4516" w:rsidRPr="00A46ADC" w:rsidRDefault="00DE4516" w:rsidP="00DE4516">
            <w:pPr>
              <w:pStyle w:val="TableBody"/>
              <w:autoSpaceDE w:val="0"/>
              <w:autoSpaceDN w:val="0"/>
              <w:adjustRightInd w:val="0"/>
              <w:jc w:val="right"/>
              <w:rPr>
                <w:rFonts w:cs="Calibri"/>
                <w:color w:val="000000"/>
                <w:szCs w:val="16"/>
              </w:rPr>
            </w:pPr>
            <w:r w:rsidRPr="00A46ADC">
              <w:t>41.6</w:t>
            </w:r>
          </w:p>
        </w:tc>
        <w:tc>
          <w:tcPr>
            <w:tcW w:w="721" w:type="dxa"/>
            <w:noWrap/>
            <w:vAlign w:val="center"/>
            <w:hideMark/>
          </w:tcPr>
          <w:p w14:paraId="377591E2" w14:textId="77777777" w:rsidR="00DE4516" w:rsidRPr="00A46ADC" w:rsidRDefault="00DE4516" w:rsidP="00DE4516">
            <w:pPr>
              <w:pStyle w:val="TableBody"/>
              <w:autoSpaceDE w:val="0"/>
              <w:autoSpaceDN w:val="0"/>
              <w:adjustRightInd w:val="0"/>
              <w:jc w:val="right"/>
              <w:rPr>
                <w:rFonts w:cs="Calibri"/>
                <w:color w:val="000000"/>
                <w:szCs w:val="16"/>
              </w:rPr>
            </w:pPr>
            <w:r w:rsidRPr="00A46ADC">
              <w:t>28.0</w:t>
            </w:r>
          </w:p>
        </w:tc>
        <w:tc>
          <w:tcPr>
            <w:tcW w:w="721" w:type="dxa"/>
            <w:noWrap/>
            <w:vAlign w:val="center"/>
            <w:hideMark/>
          </w:tcPr>
          <w:p w14:paraId="346A6BC3" w14:textId="77777777" w:rsidR="00DE4516" w:rsidRPr="00A46ADC" w:rsidRDefault="00DE4516" w:rsidP="00DE4516">
            <w:pPr>
              <w:pStyle w:val="TableBody"/>
              <w:autoSpaceDE w:val="0"/>
              <w:autoSpaceDN w:val="0"/>
              <w:adjustRightInd w:val="0"/>
              <w:jc w:val="right"/>
              <w:rPr>
                <w:rFonts w:cs="Calibri"/>
                <w:color w:val="000000"/>
                <w:szCs w:val="16"/>
              </w:rPr>
            </w:pPr>
            <w:r w:rsidRPr="00A46ADC">
              <w:t>21.6</w:t>
            </w:r>
          </w:p>
        </w:tc>
        <w:tc>
          <w:tcPr>
            <w:tcW w:w="721" w:type="dxa"/>
            <w:noWrap/>
            <w:vAlign w:val="center"/>
            <w:hideMark/>
          </w:tcPr>
          <w:p w14:paraId="71B4D774" w14:textId="77777777" w:rsidR="00DE4516" w:rsidRPr="00A46ADC" w:rsidRDefault="00DE4516" w:rsidP="00DE4516">
            <w:pPr>
              <w:pStyle w:val="TableBody"/>
              <w:autoSpaceDE w:val="0"/>
              <w:autoSpaceDN w:val="0"/>
              <w:adjustRightInd w:val="0"/>
              <w:jc w:val="right"/>
              <w:rPr>
                <w:rFonts w:cs="Calibri"/>
                <w:color w:val="000000"/>
                <w:szCs w:val="16"/>
              </w:rPr>
            </w:pPr>
            <w:r w:rsidRPr="00A46ADC">
              <w:t>24.7</w:t>
            </w:r>
          </w:p>
        </w:tc>
        <w:tc>
          <w:tcPr>
            <w:tcW w:w="721" w:type="dxa"/>
            <w:noWrap/>
            <w:vAlign w:val="center"/>
            <w:hideMark/>
          </w:tcPr>
          <w:p w14:paraId="41BA5F26" w14:textId="77777777" w:rsidR="00DE4516" w:rsidRPr="00A46ADC" w:rsidRDefault="00DE4516" w:rsidP="00DE4516">
            <w:pPr>
              <w:pStyle w:val="TableBody"/>
              <w:autoSpaceDE w:val="0"/>
              <w:autoSpaceDN w:val="0"/>
              <w:adjustRightInd w:val="0"/>
              <w:jc w:val="right"/>
              <w:rPr>
                <w:rFonts w:cs="Calibri"/>
                <w:color w:val="000000"/>
                <w:szCs w:val="16"/>
              </w:rPr>
            </w:pPr>
            <w:r w:rsidRPr="00A46ADC">
              <w:t>30.3</w:t>
            </w:r>
          </w:p>
        </w:tc>
        <w:tc>
          <w:tcPr>
            <w:tcW w:w="721" w:type="dxa"/>
            <w:noWrap/>
            <w:vAlign w:val="center"/>
            <w:hideMark/>
          </w:tcPr>
          <w:p w14:paraId="25E0FEC3" w14:textId="77777777" w:rsidR="00DE4516" w:rsidRPr="00A46ADC" w:rsidRDefault="00DE4516" w:rsidP="00DE4516">
            <w:pPr>
              <w:pStyle w:val="TableBody"/>
              <w:autoSpaceDE w:val="0"/>
              <w:autoSpaceDN w:val="0"/>
              <w:adjustRightInd w:val="0"/>
              <w:jc w:val="right"/>
              <w:rPr>
                <w:rFonts w:cs="Calibri"/>
                <w:color w:val="000000"/>
                <w:szCs w:val="16"/>
              </w:rPr>
            </w:pPr>
            <w:r w:rsidRPr="00A46ADC">
              <w:t>28.6</w:t>
            </w:r>
          </w:p>
        </w:tc>
        <w:tc>
          <w:tcPr>
            <w:tcW w:w="723" w:type="dxa"/>
            <w:noWrap/>
            <w:vAlign w:val="center"/>
          </w:tcPr>
          <w:p w14:paraId="439A3D08" w14:textId="77777777" w:rsidR="00DE4516" w:rsidRPr="00A46ADC" w:rsidRDefault="00DE4516" w:rsidP="00DE4516">
            <w:pPr>
              <w:pStyle w:val="TableBody"/>
              <w:autoSpaceDE w:val="0"/>
              <w:autoSpaceDN w:val="0"/>
              <w:adjustRightInd w:val="0"/>
              <w:jc w:val="right"/>
              <w:rPr>
                <w:rFonts w:cs="Calibri"/>
                <w:color w:val="000000"/>
                <w:szCs w:val="16"/>
              </w:rPr>
            </w:pPr>
            <w:r w:rsidRPr="00A46ADC">
              <w:t>21.0</w:t>
            </w:r>
          </w:p>
        </w:tc>
      </w:tr>
      <w:tr w:rsidR="007F015E" w:rsidRPr="00045A4A" w14:paraId="1C80493F" w14:textId="77777777" w:rsidTr="002C718D">
        <w:trPr>
          <w:cantSplit/>
        </w:trPr>
        <w:tc>
          <w:tcPr>
            <w:tcW w:w="3966" w:type="dxa"/>
            <w:noWrap/>
            <w:vAlign w:val="center"/>
            <w:hideMark/>
          </w:tcPr>
          <w:p w14:paraId="79D001D5"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Natural gas</w:t>
            </w:r>
          </w:p>
        </w:tc>
        <w:tc>
          <w:tcPr>
            <w:tcW w:w="722" w:type="dxa"/>
            <w:noWrap/>
            <w:vAlign w:val="center"/>
            <w:hideMark/>
          </w:tcPr>
          <w:p w14:paraId="3BE34C2E" w14:textId="77777777" w:rsidR="00DE4516" w:rsidRPr="00A46ADC" w:rsidRDefault="00DE4516" w:rsidP="00DE4516">
            <w:pPr>
              <w:pStyle w:val="TableBody"/>
              <w:autoSpaceDE w:val="0"/>
              <w:autoSpaceDN w:val="0"/>
              <w:adjustRightInd w:val="0"/>
              <w:jc w:val="right"/>
              <w:rPr>
                <w:rFonts w:cs="Calibri"/>
                <w:color w:val="000000"/>
                <w:szCs w:val="16"/>
              </w:rPr>
            </w:pPr>
            <w:r w:rsidRPr="00A46ADC">
              <w:t>3.1</w:t>
            </w:r>
          </w:p>
        </w:tc>
        <w:tc>
          <w:tcPr>
            <w:tcW w:w="721" w:type="dxa"/>
            <w:noWrap/>
            <w:vAlign w:val="center"/>
            <w:hideMark/>
          </w:tcPr>
          <w:p w14:paraId="19EE47AC" w14:textId="77777777" w:rsidR="00DE4516" w:rsidRPr="00A46ADC" w:rsidRDefault="00DE4516" w:rsidP="00DE4516">
            <w:pPr>
              <w:pStyle w:val="TableBody"/>
              <w:autoSpaceDE w:val="0"/>
              <w:autoSpaceDN w:val="0"/>
              <w:adjustRightInd w:val="0"/>
              <w:jc w:val="right"/>
              <w:rPr>
                <w:rFonts w:cs="Calibri"/>
                <w:color w:val="000000"/>
                <w:szCs w:val="16"/>
              </w:rPr>
            </w:pPr>
            <w:r w:rsidRPr="00A46ADC">
              <w:t>4.3</w:t>
            </w:r>
          </w:p>
        </w:tc>
        <w:tc>
          <w:tcPr>
            <w:tcW w:w="721" w:type="dxa"/>
            <w:noWrap/>
            <w:vAlign w:val="center"/>
            <w:hideMark/>
          </w:tcPr>
          <w:p w14:paraId="6540457C" w14:textId="77777777" w:rsidR="00DE4516" w:rsidRPr="00A46ADC" w:rsidRDefault="00DE4516" w:rsidP="00DE4516">
            <w:pPr>
              <w:pStyle w:val="TableBody"/>
              <w:autoSpaceDE w:val="0"/>
              <w:autoSpaceDN w:val="0"/>
              <w:adjustRightInd w:val="0"/>
              <w:jc w:val="right"/>
              <w:rPr>
                <w:rFonts w:cs="Calibri"/>
                <w:color w:val="000000"/>
                <w:szCs w:val="16"/>
              </w:rPr>
            </w:pPr>
            <w:r w:rsidRPr="00A46ADC">
              <w:t>4.8</w:t>
            </w:r>
          </w:p>
        </w:tc>
        <w:tc>
          <w:tcPr>
            <w:tcW w:w="721" w:type="dxa"/>
            <w:noWrap/>
            <w:vAlign w:val="center"/>
            <w:hideMark/>
          </w:tcPr>
          <w:p w14:paraId="6DB68222" w14:textId="77777777" w:rsidR="00DE4516" w:rsidRPr="00A46ADC" w:rsidRDefault="00DE4516" w:rsidP="00DE4516">
            <w:pPr>
              <w:pStyle w:val="TableBody"/>
              <w:autoSpaceDE w:val="0"/>
              <w:autoSpaceDN w:val="0"/>
              <w:adjustRightInd w:val="0"/>
              <w:jc w:val="right"/>
              <w:rPr>
                <w:rFonts w:cs="Calibri"/>
                <w:color w:val="000000"/>
                <w:szCs w:val="16"/>
              </w:rPr>
            </w:pPr>
            <w:r w:rsidRPr="00A46ADC">
              <w:t>4.7</w:t>
            </w:r>
          </w:p>
        </w:tc>
        <w:tc>
          <w:tcPr>
            <w:tcW w:w="721" w:type="dxa"/>
            <w:noWrap/>
            <w:vAlign w:val="center"/>
            <w:hideMark/>
          </w:tcPr>
          <w:p w14:paraId="0DAB3543" w14:textId="77777777" w:rsidR="00DE4516" w:rsidRPr="00A46ADC" w:rsidRDefault="00DE4516" w:rsidP="00DE4516">
            <w:pPr>
              <w:pStyle w:val="TableBody"/>
              <w:autoSpaceDE w:val="0"/>
              <w:autoSpaceDN w:val="0"/>
              <w:adjustRightInd w:val="0"/>
              <w:jc w:val="right"/>
              <w:rPr>
                <w:rFonts w:cs="Calibri"/>
                <w:color w:val="000000"/>
                <w:szCs w:val="16"/>
              </w:rPr>
            </w:pPr>
            <w:r w:rsidRPr="00A46ADC">
              <w:t>5.2</w:t>
            </w:r>
          </w:p>
        </w:tc>
        <w:tc>
          <w:tcPr>
            <w:tcW w:w="721" w:type="dxa"/>
            <w:noWrap/>
            <w:vAlign w:val="center"/>
            <w:hideMark/>
          </w:tcPr>
          <w:p w14:paraId="7C26F5D2" w14:textId="77777777" w:rsidR="00DE4516" w:rsidRPr="00A46ADC" w:rsidRDefault="00DE4516" w:rsidP="00DE4516">
            <w:pPr>
              <w:pStyle w:val="TableBody"/>
              <w:autoSpaceDE w:val="0"/>
              <w:autoSpaceDN w:val="0"/>
              <w:adjustRightInd w:val="0"/>
              <w:jc w:val="right"/>
              <w:rPr>
                <w:rFonts w:cs="Calibri"/>
                <w:color w:val="000000"/>
                <w:szCs w:val="16"/>
              </w:rPr>
            </w:pPr>
            <w:r w:rsidRPr="00A46ADC">
              <w:t>5.3</w:t>
            </w:r>
          </w:p>
        </w:tc>
        <w:tc>
          <w:tcPr>
            <w:tcW w:w="723" w:type="dxa"/>
            <w:noWrap/>
            <w:vAlign w:val="center"/>
          </w:tcPr>
          <w:p w14:paraId="7DB1791D" w14:textId="77777777" w:rsidR="00DE4516" w:rsidRPr="00A46ADC" w:rsidRDefault="00DE4516" w:rsidP="00DE4516">
            <w:pPr>
              <w:pStyle w:val="TableBody"/>
              <w:autoSpaceDE w:val="0"/>
              <w:autoSpaceDN w:val="0"/>
              <w:adjustRightInd w:val="0"/>
              <w:jc w:val="right"/>
              <w:rPr>
                <w:rFonts w:cs="Calibri"/>
                <w:color w:val="000000"/>
                <w:szCs w:val="16"/>
              </w:rPr>
            </w:pPr>
            <w:r w:rsidRPr="00A46ADC">
              <w:t>5.3</w:t>
            </w:r>
          </w:p>
        </w:tc>
      </w:tr>
      <w:tr w:rsidR="007F015E" w:rsidRPr="00045A4A" w14:paraId="76C277E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0086A52C" w14:textId="77777777" w:rsidR="00DE4516" w:rsidRPr="00A46ADC" w:rsidRDefault="00DE4516" w:rsidP="00DE4516">
            <w:pPr>
              <w:pStyle w:val="TableBody"/>
              <w:autoSpaceDE w:val="0"/>
              <w:autoSpaceDN w:val="0"/>
              <w:adjustRightInd w:val="0"/>
              <w:jc w:val="both"/>
              <w:rPr>
                <w:rFonts w:cs="Calibri"/>
                <w:color w:val="000000"/>
                <w:szCs w:val="16"/>
              </w:rPr>
            </w:pPr>
            <w:r w:rsidRPr="00A46ADC">
              <w:t>Non</w:t>
            </w:r>
            <w:r w:rsidRPr="00A46ADC">
              <w:noBreakHyphen/>
              <w:t>petroleum activities</w:t>
            </w:r>
          </w:p>
        </w:tc>
        <w:tc>
          <w:tcPr>
            <w:tcW w:w="722" w:type="dxa"/>
            <w:noWrap/>
            <w:vAlign w:val="center"/>
            <w:hideMark/>
          </w:tcPr>
          <w:p w14:paraId="487B2DB3" w14:textId="77777777" w:rsidR="00DE4516" w:rsidRPr="00A46ADC" w:rsidRDefault="00DE4516" w:rsidP="00DE4516">
            <w:pPr>
              <w:pStyle w:val="TableBody"/>
              <w:autoSpaceDE w:val="0"/>
              <w:autoSpaceDN w:val="0"/>
              <w:adjustRightInd w:val="0"/>
              <w:jc w:val="right"/>
              <w:rPr>
                <w:rFonts w:cs="Calibri"/>
                <w:color w:val="000000"/>
                <w:szCs w:val="16"/>
              </w:rPr>
            </w:pPr>
            <w:r w:rsidRPr="00A46ADC">
              <w:t>57.3</w:t>
            </w:r>
          </w:p>
        </w:tc>
        <w:tc>
          <w:tcPr>
            <w:tcW w:w="721" w:type="dxa"/>
            <w:noWrap/>
            <w:vAlign w:val="center"/>
            <w:hideMark/>
          </w:tcPr>
          <w:p w14:paraId="38950605" w14:textId="77777777" w:rsidR="00DE4516" w:rsidRPr="00A46ADC" w:rsidRDefault="00DE4516" w:rsidP="00DE4516">
            <w:pPr>
              <w:pStyle w:val="TableBody"/>
              <w:autoSpaceDE w:val="0"/>
              <w:autoSpaceDN w:val="0"/>
              <w:adjustRightInd w:val="0"/>
              <w:jc w:val="right"/>
              <w:rPr>
                <w:rFonts w:cs="Calibri"/>
                <w:color w:val="000000"/>
                <w:szCs w:val="16"/>
              </w:rPr>
            </w:pPr>
            <w:r w:rsidRPr="00A46ADC">
              <w:t>70.2</w:t>
            </w:r>
          </w:p>
        </w:tc>
        <w:tc>
          <w:tcPr>
            <w:tcW w:w="721" w:type="dxa"/>
            <w:noWrap/>
            <w:vAlign w:val="center"/>
            <w:hideMark/>
          </w:tcPr>
          <w:p w14:paraId="4814B287" w14:textId="77777777" w:rsidR="00DE4516" w:rsidRPr="00A46ADC" w:rsidRDefault="00DE4516" w:rsidP="00DE4516">
            <w:pPr>
              <w:pStyle w:val="TableBody"/>
              <w:autoSpaceDE w:val="0"/>
              <w:autoSpaceDN w:val="0"/>
              <w:adjustRightInd w:val="0"/>
              <w:jc w:val="right"/>
              <w:rPr>
                <w:rFonts w:cs="Calibri"/>
                <w:color w:val="000000"/>
                <w:szCs w:val="16"/>
              </w:rPr>
            </w:pPr>
            <w:r w:rsidRPr="00A46ADC">
              <w:t>76.5</w:t>
            </w:r>
          </w:p>
        </w:tc>
        <w:tc>
          <w:tcPr>
            <w:tcW w:w="721" w:type="dxa"/>
            <w:noWrap/>
            <w:vAlign w:val="center"/>
            <w:hideMark/>
          </w:tcPr>
          <w:p w14:paraId="5D11AE2C" w14:textId="77777777" w:rsidR="00DE4516" w:rsidRPr="00A46ADC" w:rsidRDefault="00DE4516" w:rsidP="00DE4516">
            <w:pPr>
              <w:pStyle w:val="TableBody"/>
              <w:autoSpaceDE w:val="0"/>
              <w:autoSpaceDN w:val="0"/>
              <w:adjustRightInd w:val="0"/>
              <w:jc w:val="right"/>
              <w:rPr>
                <w:rFonts w:cs="Calibri"/>
                <w:color w:val="000000"/>
                <w:szCs w:val="16"/>
              </w:rPr>
            </w:pPr>
            <w:r w:rsidRPr="00A46ADC">
              <w:t>73.4</w:t>
            </w:r>
          </w:p>
        </w:tc>
        <w:tc>
          <w:tcPr>
            <w:tcW w:w="721" w:type="dxa"/>
            <w:noWrap/>
            <w:vAlign w:val="center"/>
            <w:hideMark/>
          </w:tcPr>
          <w:p w14:paraId="0A53B29E" w14:textId="77777777" w:rsidR="00DE4516" w:rsidRPr="00A46ADC" w:rsidRDefault="00DE4516" w:rsidP="00DE4516">
            <w:pPr>
              <w:pStyle w:val="TableBody"/>
              <w:autoSpaceDE w:val="0"/>
              <w:autoSpaceDN w:val="0"/>
              <w:adjustRightInd w:val="0"/>
              <w:jc w:val="right"/>
              <w:rPr>
                <w:rFonts w:cs="Calibri"/>
                <w:color w:val="000000"/>
                <w:szCs w:val="16"/>
              </w:rPr>
            </w:pPr>
            <w:r w:rsidRPr="00A46ADC">
              <w:t>67.0</w:t>
            </w:r>
          </w:p>
        </w:tc>
        <w:tc>
          <w:tcPr>
            <w:tcW w:w="721" w:type="dxa"/>
            <w:noWrap/>
            <w:vAlign w:val="center"/>
            <w:hideMark/>
          </w:tcPr>
          <w:p w14:paraId="47F808B3" w14:textId="77777777" w:rsidR="00DE4516" w:rsidRPr="00A46ADC" w:rsidRDefault="00DE4516" w:rsidP="00DE4516">
            <w:pPr>
              <w:pStyle w:val="TableBody"/>
              <w:autoSpaceDE w:val="0"/>
              <w:autoSpaceDN w:val="0"/>
              <w:adjustRightInd w:val="0"/>
              <w:jc w:val="right"/>
              <w:rPr>
                <w:rFonts w:cs="Calibri"/>
                <w:color w:val="000000"/>
                <w:szCs w:val="16"/>
              </w:rPr>
            </w:pPr>
            <w:r w:rsidRPr="00A46ADC">
              <w:t>68.8</w:t>
            </w:r>
          </w:p>
        </w:tc>
        <w:tc>
          <w:tcPr>
            <w:tcW w:w="723" w:type="dxa"/>
            <w:noWrap/>
            <w:vAlign w:val="center"/>
          </w:tcPr>
          <w:p w14:paraId="1172A8CD" w14:textId="77777777" w:rsidR="00DE4516" w:rsidRPr="00A46ADC" w:rsidRDefault="00DE4516" w:rsidP="00DE4516">
            <w:pPr>
              <w:pStyle w:val="TableBody"/>
              <w:autoSpaceDE w:val="0"/>
              <w:autoSpaceDN w:val="0"/>
              <w:adjustRightInd w:val="0"/>
              <w:jc w:val="right"/>
              <w:rPr>
                <w:rFonts w:cs="Calibri"/>
                <w:color w:val="000000"/>
                <w:szCs w:val="16"/>
              </w:rPr>
            </w:pPr>
            <w:r w:rsidRPr="00A46ADC">
              <w:t>76.6</w:t>
            </w:r>
          </w:p>
        </w:tc>
      </w:tr>
      <w:tr w:rsidR="007F015E" w:rsidRPr="00045A4A" w14:paraId="642B3C72" w14:textId="77777777" w:rsidTr="002C718D">
        <w:trPr>
          <w:cantSplit/>
        </w:trPr>
        <w:tc>
          <w:tcPr>
            <w:tcW w:w="3966" w:type="dxa"/>
            <w:noWrap/>
            <w:vAlign w:val="center"/>
            <w:hideMark/>
          </w:tcPr>
          <w:p w14:paraId="1D7F5C19"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Agriculture and fishing</w:t>
            </w:r>
          </w:p>
        </w:tc>
        <w:tc>
          <w:tcPr>
            <w:tcW w:w="722" w:type="dxa"/>
            <w:noWrap/>
            <w:vAlign w:val="center"/>
            <w:hideMark/>
          </w:tcPr>
          <w:p w14:paraId="39FCE9F3" w14:textId="77777777" w:rsidR="00DE4516" w:rsidRPr="00A46ADC" w:rsidRDefault="00DE4516" w:rsidP="00DE4516">
            <w:pPr>
              <w:pStyle w:val="TableBody"/>
              <w:autoSpaceDE w:val="0"/>
              <w:autoSpaceDN w:val="0"/>
              <w:adjustRightInd w:val="0"/>
              <w:jc w:val="right"/>
              <w:rPr>
                <w:rFonts w:cs="Calibri"/>
                <w:color w:val="000000"/>
                <w:szCs w:val="16"/>
              </w:rPr>
            </w:pPr>
            <w:r w:rsidRPr="00A46ADC">
              <w:t>1.2</w:t>
            </w:r>
          </w:p>
        </w:tc>
        <w:tc>
          <w:tcPr>
            <w:tcW w:w="721" w:type="dxa"/>
            <w:noWrap/>
            <w:vAlign w:val="center"/>
            <w:hideMark/>
          </w:tcPr>
          <w:p w14:paraId="36A7D1F7"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721" w:type="dxa"/>
            <w:noWrap/>
            <w:vAlign w:val="center"/>
            <w:hideMark/>
          </w:tcPr>
          <w:p w14:paraId="5F2EBD88" w14:textId="77777777" w:rsidR="00DE4516" w:rsidRPr="00A46ADC" w:rsidRDefault="00DE4516" w:rsidP="00DE4516">
            <w:pPr>
              <w:pStyle w:val="TableBody"/>
              <w:autoSpaceDE w:val="0"/>
              <w:autoSpaceDN w:val="0"/>
              <w:adjustRightInd w:val="0"/>
              <w:jc w:val="right"/>
              <w:rPr>
                <w:rFonts w:cs="Calibri"/>
                <w:color w:val="000000"/>
                <w:szCs w:val="16"/>
              </w:rPr>
            </w:pPr>
            <w:r w:rsidRPr="00A46ADC">
              <w:t>2.3</w:t>
            </w:r>
          </w:p>
        </w:tc>
        <w:tc>
          <w:tcPr>
            <w:tcW w:w="721" w:type="dxa"/>
            <w:noWrap/>
            <w:vAlign w:val="center"/>
            <w:hideMark/>
          </w:tcPr>
          <w:p w14:paraId="1F29EB37" w14:textId="77777777" w:rsidR="00DE4516" w:rsidRPr="00A46ADC" w:rsidRDefault="00DE4516" w:rsidP="00DE4516">
            <w:pPr>
              <w:pStyle w:val="TableBody"/>
              <w:autoSpaceDE w:val="0"/>
              <w:autoSpaceDN w:val="0"/>
              <w:adjustRightInd w:val="0"/>
              <w:jc w:val="right"/>
              <w:rPr>
                <w:rFonts w:cs="Calibri"/>
                <w:color w:val="000000"/>
                <w:szCs w:val="16"/>
              </w:rPr>
            </w:pPr>
            <w:r w:rsidRPr="00A46ADC">
              <w:t>2.2</w:t>
            </w:r>
          </w:p>
        </w:tc>
        <w:tc>
          <w:tcPr>
            <w:tcW w:w="721" w:type="dxa"/>
            <w:noWrap/>
            <w:vAlign w:val="center"/>
            <w:hideMark/>
          </w:tcPr>
          <w:p w14:paraId="26316A88" w14:textId="77777777" w:rsidR="00DE4516" w:rsidRPr="00A46ADC" w:rsidRDefault="00DE4516" w:rsidP="00DE4516">
            <w:pPr>
              <w:pStyle w:val="TableBody"/>
              <w:autoSpaceDE w:val="0"/>
              <w:autoSpaceDN w:val="0"/>
              <w:adjustRightInd w:val="0"/>
              <w:jc w:val="right"/>
              <w:rPr>
                <w:rFonts w:cs="Calibri"/>
                <w:color w:val="000000"/>
                <w:szCs w:val="16"/>
              </w:rPr>
            </w:pPr>
            <w:r w:rsidRPr="00A46ADC">
              <w:t>2.1</w:t>
            </w:r>
          </w:p>
        </w:tc>
        <w:tc>
          <w:tcPr>
            <w:tcW w:w="721" w:type="dxa"/>
            <w:noWrap/>
            <w:vAlign w:val="center"/>
            <w:hideMark/>
          </w:tcPr>
          <w:p w14:paraId="50D0BD2B" w14:textId="77777777" w:rsidR="00DE4516" w:rsidRPr="00A46ADC" w:rsidRDefault="00DE4516" w:rsidP="00DE4516">
            <w:pPr>
              <w:pStyle w:val="TableBody"/>
              <w:autoSpaceDE w:val="0"/>
              <w:autoSpaceDN w:val="0"/>
              <w:adjustRightInd w:val="0"/>
              <w:jc w:val="right"/>
              <w:rPr>
                <w:rFonts w:cs="Calibri"/>
                <w:color w:val="000000"/>
                <w:szCs w:val="16"/>
              </w:rPr>
            </w:pPr>
            <w:r w:rsidRPr="00A46ADC">
              <w:t>2.3</w:t>
            </w:r>
          </w:p>
        </w:tc>
        <w:tc>
          <w:tcPr>
            <w:tcW w:w="723" w:type="dxa"/>
            <w:noWrap/>
            <w:vAlign w:val="center"/>
          </w:tcPr>
          <w:p w14:paraId="72F60BAF" w14:textId="77777777" w:rsidR="00DE4516" w:rsidRPr="00A46ADC" w:rsidRDefault="00DE4516" w:rsidP="00DE4516">
            <w:pPr>
              <w:pStyle w:val="TableBody"/>
              <w:autoSpaceDE w:val="0"/>
              <w:autoSpaceDN w:val="0"/>
              <w:adjustRightInd w:val="0"/>
              <w:jc w:val="right"/>
              <w:rPr>
                <w:rFonts w:cs="Calibri"/>
                <w:color w:val="000000"/>
                <w:szCs w:val="16"/>
              </w:rPr>
            </w:pPr>
            <w:r w:rsidRPr="00A46ADC">
              <w:t>2.7</w:t>
            </w:r>
          </w:p>
        </w:tc>
      </w:tr>
      <w:tr w:rsidR="007F015E" w:rsidRPr="00045A4A" w14:paraId="72CE5923"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69BAD5A0"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Mining and quarrying</w:t>
            </w:r>
          </w:p>
        </w:tc>
        <w:tc>
          <w:tcPr>
            <w:tcW w:w="722" w:type="dxa"/>
            <w:noWrap/>
            <w:vAlign w:val="center"/>
            <w:hideMark/>
          </w:tcPr>
          <w:p w14:paraId="3FA250C3" w14:textId="77777777" w:rsidR="00DE4516" w:rsidRPr="00A46ADC" w:rsidRDefault="00DE4516" w:rsidP="00DE4516">
            <w:pPr>
              <w:pStyle w:val="TableBody"/>
              <w:autoSpaceDE w:val="0"/>
              <w:autoSpaceDN w:val="0"/>
              <w:adjustRightInd w:val="0"/>
              <w:jc w:val="right"/>
              <w:rPr>
                <w:rFonts w:cs="Calibri"/>
                <w:color w:val="000000"/>
                <w:szCs w:val="16"/>
              </w:rPr>
            </w:pPr>
            <w:r w:rsidRPr="00A46ADC">
              <w:t>0.4</w:t>
            </w:r>
          </w:p>
        </w:tc>
        <w:tc>
          <w:tcPr>
            <w:tcW w:w="721" w:type="dxa"/>
            <w:noWrap/>
            <w:vAlign w:val="center"/>
            <w:hideMark/>
          </w:tcPr>
          <w:p w14:paraId="5101296C" w14:textId="77777777" w:rsidR="00DE4516" w:rsidRPr="00A46ADC" w:rsidRDefault="00DE4516" w:rsidP="00DE4516">
            <w:pPr>
              <w:pStyle w:val="TableBody"/>
              <w:autoSpaceDE w:val="0"/>
              <w:autoSpaceDN w:val="0"/>
              <w:adjustRightInd w:val="0"/>
              <w:jc w:val="right"/>
              <w:rPr>
                <w:rFonts w:cs="Calibri"/>
                <w:color w:val="000000"/>
                <w:szCs w:val="16"/>
              </w:rPr>
            </w:pPr>
            <w:r w:rsidRPr="00A46ADC">
              <w:t>0.5</w:t>
            </w:r>
          </w:p>
        </w:tc>
        <w:tc>
          <w:tcPr>
            <w:tcW w:w="721" w:type="dxa"/>
            <w:noWrap/>
            <w:vAlign w:val="center"/>
            <w:hideMark/>
          </w:tcPr>
          <w:p w14:paraId="349EF33F" w14:textId="77777777" w:rsidR="00DE4516" w:rsidRPr="00A46ADC" w:rsidRDefault="00DE4516" w:rsidP="00DE4516">
            <w:pPr>
              <w:pStyle w:val="TableBody"/>
              <w:autoSpaceDE w:val="0"/>
              <w:autoSpaceDN w:val="0"/>
              <w:adjustRightInd w:val="0"/>
              <w:jc w:val="right"/>
              <w:rPr>
                <w:rFonts w:cs="Calibri"/>
                <w:color w:val="000000"/>
                <w:szCs w:val="16"/>
              </w:rPr>
            </w:pPr>
            <w:r w:rsidRPr="00A46ADC">
              <w:t>0.5</w:t>
            </w:r>
          </w:p>
        </w:tc>
        <w:tc>
          <w:tcPr>
            <w:tcW w:w="721" w:type="dxa"/>
            <w:noWrap/>
            <w:vAlign w:val="center"/>
            <w:hideMark/>
          </w:tcPr>
          <w:p w14:paraId="50E677A6" w14:textId="77777777" w:rsidR="00DE4516" w:rsidRPr="00A46ADC" w:rsidRDefault="00DE4516" w:rsidP="00DE4516">
            <w:pPr>
              <w:pStyle w:val="TableBody"/>
              <w:autoSpaceDE w:val="0"/>
              <w:autoSpaceDN w:val="0"/>
              <w:adjustRightInd w:val="0"/>
              <w:jc w:val="right"/>
              <w:rPr>
                <w:rFonts w:cs="Calibri"/>
                <w:color w:val="000000"/>
                <w:szCs w:val="16"/>
              </w:rPr>
            </w:pPr>
            <w:r w:rsidRPr="00A46ADC">
              <w:t>0.5</w:t>
            </w:r>
          </w:p>
        </w:tc>
        <w:tc>
          <w:tcPr>
            <w:tcW w:w="721" w:type="dxa"/>
            <w:noWrap/>
            <w:vAlign w:val="center"/>
            <w:hideMark/>
          </w:tcPr>
          <w:p w14:paraId="34890B40" w14:textId="77777777" w:rsidR="00DE4516" w:rsidRPr="00A46ADC" w:rsidRDefault="00DE4516" w:rsidP="00DE4516">
            <w:pPr>
              <w:pStyle w:val="TableBody"/>
              <w:autoSpaceDE w:val="0"/>
              <w:autoSpaceDN w:val="0"/>
              <w:adjustRightInd w:val="0"/>
              <w:jc w:val="right"/>
              <w:rPr>
                <w:rFonts w:cs="Calibri"/>
                <w:color w:val="000000"/>
                <w:szCs w:val="16"/>
              </w:rPr>
            </w:pPr>
            <w:r w:rsidRPr="00A46ADC">
              <w:t>0.5</w:t>
            </w:r>
          </w:p>
        </w:tc>
        <w:tc>
          <w:tcPr>
            <w:tcW w:w="721" w:type="dxa"/>
            <w:noWrap/>
            <w:vAlign w:val="center"/>
            <w:hideMark/>
          </w:tcPr>
          <w:p w14:paraId="088157F7" w14:textId="77777777" w:rsidR="00DE4516" w:rsidRPr="00A46ADC" w:rsidRDefault="00DE4516" w:rsidP="00DE4516">
            <w:pPr>
              <w:pStyle w:val="TableBody"/>
              <w:autoSpaceDE w:val="0"/>
              <w:autoSpaceDN w:val="0"/>
              <w:adjustRightInd w:val="0"/>
              <w:jc w:val="right"/>
              <w:rPr>
                <w:rFonts w:cs="Calibri"/>
                <w:color w:val="000000"/>
                <w:szCs w:val="16"/>
              </w:rPr>
            </w:pPr>
            <w:r w:rsidRPr="00A46ADC">
              <w:t>0.4</w:t>
            </w:r>
          </w:p>
        </w:tc>
        <w:tc>
          <w:tcPr>
            <w:tcW w:w="723" w:type="dxa"/>
            <w:noWrap/>
            <w:vAlign w:val="center"/>
          </w:tcPr>
          <w:p w14:paraId="65185DAB"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r>
      <w:tr w:rsidR="007F015E" w:rsidRPr="00045A4A" w14:paraId="1B019D85" w14:textId="77777777" w:rsidTr="002C718D">
        <w:trPr>
          <w:cantSplit/>
        </w:trPr>
        <w:tc>
          <w:tcPr>
            <w:tcW w:w="3966" w:type="dxa"/>
            <w:noWrap/>
            <w:vAlign w:val="center"/>
            <w:hideMark/>
          </w:tcPr>
          <w:p w14:paraId="713E82C2"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Manufacturing</w:t>
            </w:r>
          </w:p>
        </w:tc>
        <w:tc>
          <w:tcPr>
            <w:tcW w:w="722" w:type="dxa"/>
            <w:noWrap/>
            <w:vAlign w:val="center"/>
            <w:hideMark/>
          </w:tcPr>
          <w:p w14:paraId="062B2DD0" w14:textId="77777777" w:rsidR="00DE4516" w:rsidRPr="00A46ADC" w:rsidRDefault="00DE4516" w:rsidP="00DE4516">
            <w:pPr>
              <w:pStyle w:val="TableBody"/>
              <w:autoSpaceDE w:val="0"/>
              <w:autoSpaceDN w:val="0"/>
              <w:adjustRightInd w:val="0"/>
              <w:jc w:val="right"/>
              <w:rPr>
                <w:rFonts w:cs="Calibri"/>
                <w:color w:val="000000"/>
                <w:szCs w:val="16"/>
              </w:rPr>
            </w:pPr>
            <w:r w:rsidRPr="00A46ADC">
              <w:t>9.0</w:t>
            </w:r>
          </w:p>
        </w:tc>
        <w:tc>
          <w:tcPr>
            <w:tcW w:w="721" w:type="dxa"/>
            <w:noWrap/>
            <w:vAlign w:val="center"/>
            <w:hideMark/>
          </w:tcPr>
          <w:p w14:paraId="4189363D" w14:textId="77777777" w:rsidR="00DE4516" w:rsidRPr="00A46ADC" w:rsidRDefault="00DE4516" w:rsidP="00DE4516">
            <w:pPr>
              <w:pStyle w:val="TableBody"/>
              <w:autoSpaceDE w:val="0"/>
              <w:autoSpaceDN w:val="0"/>
              <w:adjustRightInd w:val="0"/>
              <w:jc w:val="right"/>
              <w:rPr>
                <w:rFonts w:cs="Calibri"/>
                <w:color w:val="000000"/>
                <w:szCs w:val="16"/>
              </w:rPr>
            </w:pPr>
            <w:r w:rsidRPr="00A46ADC">
              <w:t>9.6</w:t>
            </w:r>
          </w:p>
        </w:tc>
        <w:tc>
          <w:tcPr>
            <w:tcW w:w="721" w:type="dxa"/>
            <w:noWrap/>
            <w:vAlign w:val="center"/>
            <w:hideMark/>
          </w:tcPr>
          <w:p w14:paraId="47F2AC69" w14:textId="77777777" w:rsidR="00DE4516" w:rsidRPr="00A46ADC" w:rsidRDefault="00DE4516" w:rsidP="00DE4516">
            <w:pPr>
              <w:pStyle w:val="TableBody"/>
              <w:autoSpaceDE w:val="0"/>
              <w:autoSpaceDN w:val="0"/>
              <w:adjustRightInd w:val="0"/>
              <w:jc w:val="right"/>
              <w:rPr>
                <w:rFonts w:cs="Calibri"/>
                <w:color w:val="000000"/>
                <w:szCs w:val="16"/>
              </w:rPr>
            </w:pPr>
            <w:r w:rsidRPr="00A46ADC">
              <w:t>9.1</w:t>
            </w:r>
          </w:p>
        </w:tc>
        <w:tc>
          <w:tcPr>
            <w:tcW w:w="721" w:type="dxa"/>
            <w:noWrap/>
            <w:vAlign w:val="center"/>
            <w:hideMark/>
          </w:tcPr>
          <w:p w14:paraId="43CD0159" w14:textId="77777777" w:rsidR="00DE4516" w:rsidRPr="00A46ADC" w:rsidRDefault="00DE4516" w:rsidP="00DE4516">
            <w:pPr>
              <w:pStyle w:val="TableBody"/>
              <w:autoSpaceDE w:val="0"/>
              <w:autoSpaceDN w:val="0"/>
              <w:adjustRightInd w:val="0"/>
              <w:jc w:val="right"/>
              <w:rPr>
                <w:rFonts w:cs="Calibri"/>
                <w:color w:val="000000"/>
                <w:szCs w:val="16"/>
              </w:rPr>
            </w:pPr>
            <w:r w:rsidRPr="00A46ADC">
              <w:t>9.9</w:t>
            </w:r>
          </w:p>
        </w:tc>
        <w:tc>
          <w:tcPr>
            <w:tcW w:w="721" w:type="dxa"/>
            <w:noWrap/>
            <w:vAlign w:val="center"/>
            <w:hideMark/>
          </w:tcPr>
          <w:p w14:paraId="2AB99EEE" w14:textId="77777777" w:rsidR="00DE4516" w:rsidRPr="00A46ADC" w:rsidRDefault="00DE4516" w:rsidP="00DE4516">
            <w:pPr>
              <w:pStyle w:val="TableBody"/>
              <w:autoSpaceDE w:val="0"/>
              <w:autoSpaceDN w:val="0"/>
              <w:adjustRightInd w:val="0"/>
              <w:jc w:val="right"/>
              <w:rPr>
                <w:rFonts w:cs="Calibri"/>
                <w:color w:val="000000"/>
                <w:szCs w:val="16"/>
              </w:rPr>
            </w:pPr>
            <w:r w:rsidRPr="00A46ADC">
              <w:t>10.4</w:t>
            </w:r>
          </w:p>
        </w:tc>
        <w:tc>
          <w:tcPr>
            <w:tcW w:w="721" w:type="dxa"/>
            <w:noWrap/>
            <w:vAlign w:val="center"/>
            <w:hideMark/>
          </w:tcPr>
          <w:p w14:paraId="2E12E402" w14:textId="77777777" w:rsidR="00DE4516" w:rsidRPr="00A46ADC" w:rsidRDefault="00DE4516" w:rsidP="00DE4516">
            <w:pPr>
              <w:pStyle w:val="TableBody"/>
              <w:autoSpaceDE w:val="0"/>
              <w:autoSpaceDN w:val="0"/>
              <w:adjustRightInd w:val="0"/>
              <w:jc w:val="right"/>
              <w:rPr>
                <w:rFonts w:cs="Calibri"/>
                <w:color w:val="000000"/>
                <w:szCs w:val="16"/>
              </w:rPr>
            </w:pPr>
            <w:r w:rsidRPr="00A46ADC">
              <w:t>10.3</w:t>
            </w:r>
          </w:p>
        </w:tc>
        <w:tc>
          <w:tcPr>
            <w:tcW w:w="723" w:type="dxa"/>
            <w:noWrap/>
            <w:vAlign w:val="center"/>
          </w:tcPr>
          <w:p w14:paraId="25C1E883" w14:textId="77777777" w:rsidR="00DE4516" w:rsidRPr="00A46ADC" w:rsidRDefault="00DE4516" w:rsidP="00DE4516">
            <w:pPr>
              <w:pStyle w:val="TableBody"/>
              <w:autoSpaceDE w:val="0"/>
              <w:autoSpaceDN w:val="0"/>
              <w:adjustRightInd w:val="0"/>
              <w:jc w:val="right"/>
              <w:rPr>
                <w:rFonts w:cs="Calibri"/>
                <w:color w:val="000000"/>
                <w:szCs w:val="16"/>
              </w:rPr>
            </w:pPr>
            <w:r w:rsidRPr="00A46ADC">
              <w:t>7.5</w:t>
            </w:r>
          </w:p>
        </w:tc>
      </w:tr>
      <w:tr w:rsidR="007F015E" w:rsidRPr="00045A4A" w14:paraId="066CC034"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2804A613"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t>Refined petroleum products</w:t>
            </w:r>
          </w:p>
        </w:tc>
        <w:tc>
          <w:tcPr>
            <w:tcW w:w="722" w:type="dxa"/>
            <w:noWrap/>
            <w:vAlign w:val="center"/>
            <w:hideMark/>
          </w:tcPr>
          <w:p w14:paraId="5563E791" w14:textId="77777777" w:rsidR="00DE4516" w:rsidRPr="00A46ADC" w:rsidRDefault="00DE4516" w:rsidP="00DE4516">
            <w:pPr>
              <w:pStyle w:val="TableBody"/>
              <w:autoSpaceDE w:val="0"/>
              <w:autoSpaceDN w:val="0"/>
              <w:adjustRightInd w:val="0"/>
              <w:jc w:val="right"/>
              <w:rPr>
                <w:rFonts w:cs="Calibri"/>
                <w:color w:val="000000"/>
                <w:szCs w:val="16"/>
              </w:rPr>
            </w:pPr>
            <w:r w:rsidRPr="00A46ADC">
              <w:t>0.1</w:t>
            </w:r>
          </w:p>
        </w:tc>
        <w:tc>
          <w:tcPr>
            <w:tcW w:w="721" w:type="dxa"/>
            <w:noWrap/>
            <w:vAlign w:val="center"/>
            <w:hideMark/>
          </w:tcPr>
          <w:p w14:paraId="74B77625" w14:textId="77777777" w:rsidR="00DE4516" w:rsidRPr="00A46ADC" w:rsidRDefault="00DE4516" w:rsidP="00DE4516">
            <w:pPr>
              <w:pStyle w:val="TableBody"/>
              <w:autoSpaceDE w:val="0"/>
              <w:autoSpaceDN w:val="0"/>
              <w:adjustRightInd w:val="0"/>
              <w:jc w:val="right"/>
              <w:rPr>
                <w:rFonts w:cs="Calibri"/>
                <w:color w:val="000000"/>
                <w:szCs w:val="16"/>
              </w:rPr>
            </w:pPr>
            <w:r w:rsidRPr="00A46ADC">
              <w:t>0.8</w:t>
            </w:r>
          </w:p>
        </w:tc>
        <w:tc>
          <w:tcPr>
            <w:tcW w:w="721" w:type="dxa"/>
            <w:noWrap/>
            <w:vAlign w:val="center"/>
            <w:hideMark/>
          </w:tcPr>
          <w:p w14:paraId="3D3C6CCB"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721" w:type="dxa"/>
            <w:noWrap/>
            <w:vAlign w:val="center"/>
            <w:hideMark/>
          </w:tcPr>
          <w:p w14:paraId="52266B41" w14:textId="77777777" w:rsidR="00DE4516" w:rsidRPr="00A46ADC" w:rsidRDefault="00DE4516" w:rsidP="00DE4516">
            <w:pPr>
              <w:pStyle w:val="TableBody"/>
              <w:autoSpaceDE w:val="0"/>
              <w:autoSpaceDN w:val="0"/>
              <w:adjustRightInd w:val="0"/>
              <w:jc w:val="right"/>
              <w:rPr>
                <w:rFonts w:cs="Calibri"/>
                <w:color w:val="000000"/>
                <w:szCs w:val="16"/>
              </w:rPr>
            </w:pPr>
            <w:r w:rsidRPr="00A46ADC">
              <w:t>1.2</w:t>
            </w:r>
          </w:p>
        </w:tc>
        <w:tc>
          <w:tcPr>
            <w:tcW w:w="721" w:type="dxa"/>
            <w:noWrap/>
            <w:vAlign w:val="center"/>
            <w:hideMark/>
          </w:tcPr>
          <w:p w14:paraId="26ED8FB4"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721" w:type="dxa"/>
            <w:noWrap/>
            <w:vAlign w:val="center"/>
            <w:hideMark/>
          </w:tcPr>
          <w:p w14:paraId="02AEC63C" w14:textId="77777777" w:rsidR="00DE4516" w:rsidRPr="00A46ADC" w:rsidRDefault="00DE4516" w:rsidP="00DE4516">
            <w:pPr>
              <w:pStyle w:val="TableBody"/>
              <w:autoSpaceDE w:val="0"/>
              <w:autoSpaceDN w:val="0"/>
              <w:adjustRightInd w:val="0"/>
              <w:jc w:val="right"/>
              <w:rPr>
                <w:rFonts w:cs="Calibri"/>
                <w:color w:val="000000"/>
                <w:szCs w:val="16"/>
              </w:rPr>
            </w:pPr>
            <w:r w:rsidRPr="00A46ADC">
              <w:t>1.5</w:t>
            </w:r>
          </w:p>
        </w:tc>
        <w:tc>
          <w:tcPr>
            <w:tcW w:w="723" w:type="dxa"/>
            <w:noWrap/>
            <w:vAlign w:val="center"/>
          </w:tcPr>
          <w:p w14:paraId="05F7971C"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7F015E" w:rsidRPr="00045A4A" w14:paraId="29D4BA1C" w14:textId="77777777" w:rsidTr="002C718D">
        <w:trPr>
          <w:cantSplit/>
        </w:trPr>
        <w:tc>
          <w:tcPr>
            <w:tcW w:w="3966" w:type="dxa"/>
            <w:noWrap/>
            <w:vAlign w:val="center"/>
            <w:hideMark/>
          </w:tcPr>
          <w:p w14:paraId="151649C0"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t>Chemicals and chemical products</w:t>
            </w:r>
          </w:p>
        </w:tc>
        <w:tc>
          <w:tcPr>
            <w:tcW w:w="722" w:type="dxa"/>
            <w:noWrap/>
            <w:vAlign w:val="center"/>
            <w:hideMark/>
          </w:tcPr>
          <w:p w14:paraId="1317FE2F" w14:textId="77777777" w:rsidR="00DE4516" w:rsidRPr="00A46ADC" w:rsidRDefault="00DE4516" w:rsidP="00DE4516">
            <w:pPr>
              <w:pStyle w:val="TableBody"/>
              <w:autoSpaceDE w:val="0"/>
              <w:autoSpaceDN w:val="0"/>
              <w:adjustRightInd w:val="0"/>
              <w:jc w:val="right"/>
              <w:rPr>
                <w:rFonts w:cs="Calibri"/>
                <w:color w:val="000000"/>
                <w:szCs w:val="16"/>
              </w:rPr>
            </w:pPr>
            <w:r w:rsidRPr="00A46ADC">
              <w:t>5.0</w:t>
            </w:r>
          </w:p>
        </w:tc>
        <w:tc>
          <w:tcPr>
            <w:tcW w:w="721" w:type="dxa"/>
            <w:noWrap/>
            <w:vAlign w:val="center"/>
            <w:hideMark/>
          </w:tcPr>
          <w:p w14:paraId="1A7EFCD6" w14:textId="77777777" w:rsidR="00DE4516" w:rsidRPr="00A46ADC" w:rsidRDefault="00DE4516" w:rsidP="00DE4516">
            <w:pPr>
              <w:pStyle w:val="TableBody"/>
              <w:autoSpaceDE w:val="0"/>
              <w:autoSpaceDN w:val="0"/>
              <w:adjustRightInd w:val="0"/>
              <w:jc w:val="right"/>
              <w:rPr>
                <w:rFonts w:cs="Calibri"/>
                <w:color w:val="000000"/>
                <w:szCs w:val="16"/>
              </w:rPr>
            </w:pPr>
            <w:r w:rsidRPr="00A46ADC">
              <w:t>4.3</w:t>
            </w:r>
          </w:p>
        </w:tc>
        <w:tc>
          <w:tcPr>
            <w:tcW w:w="721" w:type="dxa"/>
            <w:noWrap/>
            <w:vAlign w:val="center"/>
            <w:hideMark/>
          </w:tcPr>
          <w:p w14:paraId="14B65438" w14:textId="77777777" w:rsidR="00DE4516" w:rsidRPr="00A46ADC" w:rsidRDefault="00DE4516" w:rsidP="00DE4516">
            <w:pPr>
              <w:pStyle w:val="TableBody"/>
              <w:autoSpaceDE w:val="0"/>
              <w:autoSpaceDN w:val="0"/>
              <w:adjustRightInd w:val="0"/>
              <w:jc w:val="right"/>
              <w:rPr>
                <w:rFonts w:cs="Calibri"/>
                <w:color w:val="000000"/>
                <w:szCs w:val="16"/>
              </w:rPr>
            </w:pPr>
            <w:r w:rsidRPr="00A46ADC">
              <w:t>3.8</w:t>
            </w:r>
          </w:p>
        </w:tc>
        <w:tc>
          <w:tcPr>
            <w:tcW w:w="721" w:type="dxa"/>
            <w:noWrap/>
            <w:vAlign w:val="center"/>
            <w:hideMark/>
          </w:tcPr>
          <w:p w14:paraId="31C99DD8" w14:textId="77777777" w:rsidR="00DE4516" w:rsidRPr="00A46ADC" w:rsidRDefault="00DE4516" w:rsidP="00DE4516">
            <w:pPr>
              <w:pStyle w:val="TableBody"/>
              <w:autoSpaceDE w:val="0"/>
              <w:autoSpaceDN w:val="0"/>
              <w:adjustRightInd w:val="0"/>
              <w:jc w:val="right"/>
              <w:rPr>
                <w:rFonts w:cs="Calibri"/>
                <w:color w:val="000000"/>
                <w:szCs w:val="16"/>
              </w:rPr>
            </w:pPr>
            <w:r w:rsidRPr="00A46ADC">
              <w:t>4.4</w:t>
            </w:r>
          </w:p>
        </w:tc>
        <w:tc>
          <w:tcPr>
            <w:tcW w:w="721" w:type="dxa"/>
            <w:noWrap/>
            <w:vAlign w:val="center"/>
            <w:hideMark/>
          </w:tcPr>
          <w:p w14:paraId="1EB93579" w14:textId="77777777" w:rsidR="00DE4516" w:rsidRPr="00A46ADC" w:rsidRDefault="00DE4516" w:rsidP="00DE4516">
            <w:pPr>
              <w:pStyle w:val="TableBody"/>
              <w:autoSpaceDE w:val="0"/>
              <w:autoSpaceDN w:val="0"/>
              <w:adjustRightInd w:val="0"/>
              <w:jc w:val="right"/>
              <w:rPr>
                <w:rFonts w:cs="Calibri"/>
                <w:color w:val="000000"/>
                <w:szCs w:val="16"/>
              </w:rPr>
            </w:pPr>
            <w:r w:rsidRPr="00A46ADC">
              <w:t>5.3</w:t>
            </w:r>
          </w:p>
        </w:tc>
        <w:tc>
          <w:tcPr>
            <w:tcW w:w="721" w:type="dxa"/>
            <w:noWrap/>
            <w:vAlign w:val="center"/>
            <w:hideMark/>
          </w:tcPr>
          <w:p w14:paraId="424519CE" w14:textId="77777777" w:rsidR="00DE4516" w:rsidRPr="00A46ADC" w:rsidRDefault="00DE4516" w:rsidP="00DE4516">
            <w:pPr>
              <w:pStyle w:val="TableBody"/>
              <w:autoSpaceDE w:val="0"/>
              <w:autoSpaceDN w:val="0"/>
              <w:adjustRightInd w:val="0"/>
              <w:jc w:val="right"/>
              <w:rPr>
                <w:rFonts w:cs="Calibri"/>
                <w:color w:val="000000"/>
                <w:szCs w:val="16"/>
              </w:rPr>
            </w:pPr>
            <w:r w:rsidRPr="00A46ADC">
              <w:t>4.8</w:t>
            </w:r>
          </w:p>
        </w:tc>
        <w:tc>
          <w:tcPr>
            <w:tcW w:w="723" w:type="dxa"/>
            <w:noWrap/>
            <w:vAlign w:val="center"/>
          </w:tcPr>
          <w:p w14:paraId="6FFBCC2C" w14:textId="77777777" w:rsidR="00DE4516" w:rsidRPr="00A46ADC" w:rsidRDefault="00DE4516" w:rsidP="00DE4516">
            <w:pPr>
              <w:pStyle w:val="TableBody"/>
              <w:autoSpaceDE w:val="0"/>
              <w:autoSpaceDN w:val="0"/>
              <w:adjustRightInd w:val="0"/>
              <w:jc w:val="right"/>
              <w:rPr>
                <w:rFonts w:cs="Calibri"/>
                <w:color w:val="000000"/>
                <w:szCs w:val="16"/>
              </w:rPr>
            </w:pPr>
            <w:r w:rsidRPr="00A46ADC">
              <w:t>2.8</w:t>
            </w:r>
          </w:p>
        </w:tc>
      </w:tr>
      <w:tr w:rsidR="007F015E" w:rsidRPr="00045A4A" w14:paraId="39979523"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60F47D0A"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t>Other manufacturing</w:t>
            </w:r>
          </w:p>
        </w:tc>
        <w:tc>
          <w:tcPr>
            <w:tcW w:w="722" w:type="dxa"/>
            <w:noWrap/>
            <w:vAlign w:val="center"/>
            <w:hideMark/>
          </w:tcPr>
          <w:p w14:paraId="1E6DE3AB" w14:textId="77777777" w:rsidR="00DE4516" w:rsidRPr="00A46ADC" w:rsidRDefault="00DE4516" w:rsidP="00DE4516">
            <w:pPr>
              <w:pStyle w:val="TableBody"/>
              <w:autoSpaceDE w:val="0"/>
              <w:autoSpaceDN w:val="0"/>
              <w:adjustRightInd w:val="0"/>
              <w:jc w:val="right"/>
              <w:rPr>
                <w:rFonts w:cs="Calibri"/>
                <w:color w:val="000000"/>
                <w:szCs w:val="16"/>
              </w:rPr>
            </w:pPr>
            <w:r w:rsidRPr="00A46ADC">
              <w:t>3.9</w:t>
            </w:r>
          </w:p>
        </w:tc>
        <w:tc>
          <w:tcPr>
            <w:tcW w:w="721" w:type="dxa"/>
            <w:noWrap/>
            <w:vAlign w:val="center"/>
            <w:hideMark/>
          </w:tcPr>
          <w:p w14:paraId="78C3D456" w14:textId="77777777" w:rsidR="00DE4516" w:rsidRPr="00A46ADC" w:rsidRDefault="00DE4516" w:rsidP="00DE4516">
            <w:pPr>
              <w:pStyle w:val="TableBody"/>
              <w:autoSpaceDE w:val="0"/>
              <w:autoSpaceDN w:val="0"/>
              <w:adjustRightInd w:val="0"/>
              <w:jc w:val="right"/>
              <w:rPr>
                <w:rFonts w:cs="Calibri"/>
                <w:color w:val="000000"/>
                <w:szCs w:val="16"/>
              </w:rPr>
            </w:pPr>
            <w:r w:rsidRPr="00A46ADC">
              <w:t>4.5</w:t>
            </w:r>
          </w:p>
        </w:tc>
        <w:tc>
          <w:tcPr>
            <w:tcW w:w="721" w:type="dxa"/>
            <w:noWrap/>
            <w:vAlign w:val="center"/>
            <w:hideMark/>
          </w:tcPr>
          <w:p w14:paraId="0BB5D072" w14:textId="77777777" w:rsidR="00DE4516" w:rsidRPr="00A46ADC" w:rsidRDefault="00DE4516" w:rsidP="00DE4516">
            <w:pPr>
              <w:pStyle w:val="TableBody"/>
              <w:autoSpaceDE w:val="0"/>
              <w:autoSpaceDN w:val="0"/>
              <w:adjustRightInd w:val="0"/>
              <w:jc w:val="right"/>
              <w:rPr>
                <w:rFonts w:cs="Calibri"/>
                <w:color w:val="000000"/>
                <w:szCs w:val="16"/>
              </w:rPr>
            </w:pPr>
            <w:r w:rsidRPr="00A46ADC">
              <w:t>4.6</w:t>
            </w:r>
          </w:p>
        </w:tc>
        <w:tc>
          <w:tcPr>
            <w:tcW w:w="721" w:type="dxa"/>
            <w:noWrap/>
            <w:vAlign w:val="center"/>
            <w:hideMark/>
          </w:tcPr>
          <w:p w14:paraId="590A59CA" w14:textId="77777777" w:rsidR="00DE4516" w:rsidRPr="00A46ADC" w:rsidRDefault="00DE4516" w:rsidP="00DE4516">
            <w:pPr>
              <w:pStyle w:val="TableBody"/>
              <w:autoSpaceDE w:val="0"/>
              <w:autoSpaceDN w:val="0"/>
              <w:adjustRightInd w:val="0"/>
              <w:jc w:val="right"/>
              <w:rPr>
                <w:rFonts w:cs="Calibri"/>
                <w:color w:val="000000"/>
                <w:szCs w:val="16"/>
              </w:rPr>
            </w:pPr>
            <w:r w:rsidRPr="00A46ADC">
              <w:t>4.4</w:t>
            </w:r>
          </w:p>
        </w:tc>
        <w:tc>
          <w:tcPr>
            <w:tcW w:w="721" w:type="dxa"/>
            <w:noWrap/>
            <w:vAlign w:val="center"/>
            <w:hideMark/>
          </w:tcPr>
          <w:p w14:paraId="7D2372F2" w14:textId="77777777" w:rsidR="00DE4516" w:rsidRPr="00A46ADC" w:rsidRDefault="00DE4516" w:rsidP="00DE4516">
            <w:pPr>
              <w:pStyle w:val="TableBody"/>
              <w:autoSpaceDE w:val="0"/>
              <w:autoSpaceDN w:val="0"/>
              <w:adjustRightInd w:val="0"/>
              <w:jc w:val="right"/>
              <w:rPr>
                <w:rFonts w:cs="Calibri"/>
                <w:color w:val="000000"/>
                <w:szCs w:val="16"/>
              </w:rPr>
            </w:pPr>
            <w:r w:rsidRPr="00A46ADC">
              <w:t>4.1</w:t>
            </w:r>
          </w:p>
        </w:tc>
        <w:tc>
          <w:tcPr>
            <w:tcW w:w="721" w:type="dxa"/>
            <w:noWrap/>
            <w:vAlign w:val="center"/>
            <w:hideMark/>
          </w:tcPr>
          <w:p w14:paraId="53FDA294" w14:textId="77777777" w:rsidR="00DE4516" w:rsidRPr="00A46ADC" w:rsidRDefault="00DE4516" w:rsidP="00DE4516">
            <w:pPr>
              <w:pStyle w:val="TableBody"/>
              <w:autoSpaceDE w:val="0"/>
              <w:autoSpaceDN w:val="0"/>
              <w:adjustRightInd w:val="0"/>
              <w:jc w:val="right"/>
              <w:rPr>
                <w:rFonts w:cs="Calibri"/>
                <w:color w:val="000000"/>
                <w:szCs w:val="16"/>
              </w:rPr>
            </w:pPr>
            <w:r w:rsidRPr="00A46ADC">
              <w:t>4.0</w:t>
            </w:r>
          </w:p>
        </w:tc>
        <w:tc>
          <w:tcPr>
            <w:tcW w:w="723" w:type="dxa"/>
            <w:noWrap/>
            <w:vAlign w:val="center"/>
          </w:tcPr>
          <w:p w14:paraId="4452DA90" w14:textId="77777777" w:rsidR="00DE4516" w:rsidRPr="00A46ADC" w:rsidRDefault="00DE4516" w:rsidP="00DE4516">
            <w:pPr>
              <w:pStyle w:val="TableBody"/>
              <w:autoSpaceDE w:val="0"/>
              <w:autoSpaceDN w:val="0"/>
              <w:adjustRightInd w:val="0"/>
              <w:jc w:val="right"/>
              <w:rPr>
                <w:rFonts w:cs="Calibri"/>
                <w:color w:val="000000"/>
                <w:szCs w:val="16"/>
              </w:rPr>
            </w:pPr>
            <w:r w:rsidRPr="00A46ADC">
              <w:t>4.7</w:t>
            </w:r>
          </w:p>
        </w:tc>
      </w:tr>
      <w:tr w:rsidR="007F015E" w:rsidRPr="00045A4A" w14:paraId="335B88BE" w14:textId="77777777" w:rsidTr="002C718D">
        <w:trPr>
          <w:cantSplit/>
        </w:trPr>
        <w:tc>
          <w:tcPr>
            <w:tcW w:w="3966" w:type="dxa"/>
            <w:noWrap/>
            <w:vAlign w:val="center"/>
            <w:hideMark/>
          </w:tcPr>
          <w:p w14:paraId="07413CDB"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Electricity and water supply</w:t>
            </w:r>
          </w:p>
        </w:tc>
        <w:tc>
          <w:tcPr>
            <w:tcW w:w="722" w:type="dxa"/>
            <w:noWrap/>
            <w:vAlign w:val="center"/>
            <w:hideMark/>
          </w:tcPr>
          <w:p w14:paraId="6CC84891" w14:textId="77777777" w:rsidR="00DE4516" w:rsidRPr="00A46ADC" w:rsidRDefault="00DE4516" w:rsidP="00DE4516">
            <w:pPr>
              <w:pStyle w:val="TableBody"/>
              <w:autoSpaceDE w:val="0"/>
              <w:autoSpaceDN w:val="0"/>
              <w:adjustRightInd w:val="0"/>
              <w:jc w:val="right"/>
              <w:rPr>
                <w:rFonts w:cs="Calibri"/>
                <w:color w:val="000000"/>
                <w:szCs w:val="16"/>
              </w:rPr>
            </w:pPr>
            <w:r w:rsidRPr="00A46ADC">
              <w:t>1.4</w:t>
            </w:r>
          </w:p>
        </w:tc>
        <w:tc>
          <w:tcPr>
            <w:tcW w:w="721" w:type="dxa"/>
            <w:noWrap/>
            <w:vAlign w:val="center"/>
            <w:hideMark/>
          </w:tcPr>
          <w:p w14:paraId="5A94C68E"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721" w:type="dxa"/>
            <w:noWrap/>
            <w:vAlign w:val="center"/>
            <w:hideMark/>
          </w:tcPr>
          <w:p w14:paraId="1892145F" w14:textId="77777777" w:rsidR="00DE4516" w:rsidRPr="00A46ADC" w:rsidRDefault="00DE4516" w:rsidP="00DE4516">
            <w:pPr>
              <w:pStyle w:val="TableBody"/>
              <w:autoSpaceDE w:val="0"/>
              <w:autoSpaceDN w:val="0"/>
              <w:adjustRightInd w:val="0"/>
              <w:jc w:val="right"/>
              <w:rPr>
                <w:rFonts w:cs="Calibri"/>
                <w:color w:val="000000"/>
                <w:szCs w:val="16"/>
              </w:rPr>
            </w:pPr>
            <w:r w:rsidRPr="00A46ADC">
              <w:t>2.0</w:t>
            </w:r>
          </w:p>
        </w:tc>
        <w:tc>
          <w:tcPr>
            <w:tcW w:w="721" w:type="dxa"/>
            <w:noWrap/>
            <w:vAlign w:val="center"/>
            <w:hideMark/>
          </w:tcPr>
          <w:p w14:paraId="372451BC" w14:textId="77777777" w:rsidR="00DE4516" w:rsidRPr="00A46ADC" w:rsidRDefault="00DE4516" w:rsidP="00DE4516">
            <w:pPr>
              <w:pStyle w:val="TableBody"/>
              <w:autoSpaceDE w:val="0"/>
              <w:autoSpaceDN w:val="0"/>
              <w:adjustRightInd w:val="0"/>
              <w:jc w:val="right"/>
              <w:rPr>
                <w:rFonts w:cs="Calibri"/>
                <w:color w:val="000000"/>
                <w:szCs w:val="16"/>
              </w:rPr>
            </w:pPr>
            <w:r w:rsidRPr="00A46ADC">
              <w:t>1.8</w:t>
            </w:r>
          </w:p>
        </w:tc>
        <w:tc>
          <w:tcPr>
            <w:tcW w:w="721" w:type="dxa"/>
            <w:noWrap/>
            <w:vAlign w:val="center"/>
            <w:hideMark/>
          </w:tcPr>
          <w:p w14:paraId="07606F3E"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721" w:type="dxa"/>
            <w:noWrap/>
            <w:vAlign w:val="center"/>
            <w:hideMark/>
          </w:tcPr>
          <w:p w14:paraId="19985E1D" w14:textId="77777777" w:rsidR="00DE4516" w:rsidRPr="00A46ADC" w:rsidRDefault="00DE4516" w:rsidP="00DE4516">
            <w:pPr>
              <w:pStyle w:val="TableBody"/>
              <w:autoSpaceDE w:val="0"/>
              <w:autoSpaceDN w:val="0"/>
              <w:adjustRightInd w:val="0"/>
              <w:jc w:val="right"/>
              <w:rPr>
                <w:rFonts w:cs="Calibri"/>
                <w:color w:val="000000"/>
                <w:szCs w:val="16"/>
              </w:rPr>
            </w:pPr>
            <w:r w:rsidRPr="00A46ADC">
              <w:t>2.1</w:t>
            </w:r>
          </w:p>
        </w:tc>
        <w:tc>
          <w:tcPr>
            <w:tcW w:w="723" w:type="dxa"/>
            <w:noWrap/>
            <w:vAlign w:val="center"/>
          </w:tcPr>
          <w:p w14:paraId="055F480B" w14:textId="77777777" w:rsidR="00DE4516" w:rsidRPr="00A46ADC" w:rsidRDefault="00DE4516" w:rsidP="00DE4516">
            <w:pPr>
              <w:pStyle w:val="TableBody"/>
              <w:autoSpaceDE w:val="0"/>
              <w:autoSpaceDN w:val="0"/>
              <w:adjustRightInd w:val="0"/>
              <w:jc w:val="right"/>
              <w:rPr>
                <w:rFonts w:cs="Calibri"/>
                <w:color w:val="000000"/>
                <w:szCs w:val="16"/>
              </w:rPr>
            </w:pPr>
            <w:r w:rsidRPr="00A46ADC">
              <w:t>3.0</w:t>
            </w:r>
          </w:p>
        </w:tc>
      </w:tr>
      <w:tr w:rsidR="007F015E" w:rsidRPr="00045A4A" w14:paraId="17EEF92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5999A415"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Building and construction</w:t>
            </w:r>
          </w:p>
        </w:tc>
        <w:tc>
          <w:tcPr>
            <w:tcW w:w="722" w:type="dxa"/>
            <w:noWrap/>
            <w:vAlign w:val="center"/>
            <w:hideMark/>
          </w:tcPr>
          <w:p w14:paraId="7638A945" w14:textId="77777777" w:rsidR="00DE4516" w:rsidRPr="00A46ADC" w:rsidRDefault="00DE4516" w:rsidP="00DE4516">
            <w:pPr>
              <w:pStyle w:val="TableBody"/>
              <w:autoSpaceDE w:val="0"/>
              <w:autoSpaceDN w:val="0"/>
              <w:adjustRightInd w:val="0"/>
              <w:jc w:val="right"/>
              <w:rPr>
                <w:rFonts w:cs="Calibri"/>
                <w:color w:val="000000"/>
                <w:szCs w:val="16"/>
              </w:rPr>
            </w:pPr>
            <w:r w:rsidRPr="00A46ADC">
              <w:t>5.9</w:t>
            </w:r>
          </w:p>
        </w:tc>
        <w:tc>
          <w:tcPr>
            <w:tcW w:w="721" w:type="dxa"/>
            <w:noWrap/>
            <w:vAlign w:val="center"/>
            <w:hideMark/>
          </w:tcPr>
          <w:p w14:paraId="76C2AEA1" w14:textId="77777777" w:rsidR="00DE4516" w:rsidRPr="00A46ADC" w:rsidRDefault="00DE4516" w:rsidP="00DE4516">
            <w:pPr>
              <w:pStyle w:val="TableBody"/>
              <w:autoSpaceDE w:val="0"/>
              <w:autoSpaceDN w:val="0"/>
              <w:adjustRightInd w:val="0"/>
              <w:jc w:val="right"/>
              <w:rPr>
                <w:rFonts w:cs="Calibri"/>
                <w:color w:val="000000"/>
                <w:szCs w:val="16"/>
              </w:rPr>
            </w:pPr>
            <w:r w:rsidRPr="00A46ADC">
              <w:t>7.6</w:t>
            </w:r>
          </w:p>
        </w:tc>
        <w:tc>
          <w:tcPr>
            <w:tcW w:w="721" w:type="dxa"/>
            <w:noWrap/>
            <w:vAlign w:val="center"/>
            <w:hideMark/>
          </w:tcPr>
          <w:p w14:paraId="25B24C5A" w14:textId="77777777" w:rsidR="00DE4516" w:rsidRPr="00A46ADC" w:rsidRDefault="00DE4516" w:rsidP="00DE4516">
            <w:pPr>
              <w:pStyle w:val="TableBody"/>
              <w:autoSpaceDE w:val="0"/>
              <w:autoSpaceDN w:val="0"/>
              <w:adjustRightInd w:val="0"/>
              <w:jc w:val="right"/>
              <w:rPr>
                <w:rFonts w:cs="Calibri"/>
                <w:color w:val="000000"/>
                <w:szCs w:val="16"/>
              </w:rPr>
            </w:pPr>
            <w:r w:rsidRPr="00A46ADC">
              <w:t>9.0</w:t>
            </w:r>
          </w:p>
        </w:tc>
        <w:tc>
          <w:tcPr>
            <w:tcW w:w="721" w:type="dxa"/>
            <w:noWrap/>
            <w:vAlign w:val="center"/>
            <w:hideMark/>
          </w:tcPr>
          <w:p w14:paraId="4427E7E5" w14:textId="77777777" w:rsidR="00DE4516" w:rsidRPr="00A46ADC" w:rsidRDefault="00DE4516" w:rsidP="00DE4516">
            <w:pPr>
              <w:pStyle w:val="TableBody"/>
              <w:autoSpaceDE w:val="0"/>
              <w:autoSpaceDN w:val="0"/>
              <w:adjustRightInd w:val="0"/>
              <w:jc w:val="right"/>
              <w:rPr>
                <w:rFonts w:cs="Calibri"/>
                <w:color w:val="000000"/>
                <w:szCs w:val="16"/>
              </w:rPr>
            </w:pPr>
            <w:r w:rsidRPr="00A46ADC">
              <w:t>7.6</w:t>
            </w:r>
          </w:p>
        </w:tc>
        <w:tc>
          <w:tcPr>
            <w:tcW w:w="721" w:type="dxa"/>
            <w:noWrap/>
            <w:vAlign w:val="center"/>
            <w:hideMark/>
          </w:tcPr>
          <w:p w14:paraId="49F815CE" w14:textId="77777777" w:rsidR="00DE4516" w:rsidRPr="00A46ADC" w:rsidRDefault="00DE4516" w:rsidP="00DE4516">
            <w:pPr>
              <w:pStyle w:val="TableBody"/>
              <w:autoSpaceDE w:val="0"/>
              <w:autoSpaceDN w:val="0"/>
              <w:adjustRightInd w:val="0"/>
              <w:jc w:val="right"/>
              <w:rPr>
                <w:rFonts w:cs="Calibri"/>
                <w:color w:val="000000"/>
                <w:szCs w:val="16"/>
              </w:rPr>
            </w:pPr>
            <w:r w:rsidRPr="00A46ADC">
              <w:t>6.3</w:t>
            </w:r>
          </w:p>
        </w:tc>
        <w:tc>
          <w:tcPr>
            <w:tcW w:w="721" w:type="dxa"/>
            <w:noWrap/>
            <w:vAlign w:val="center"/>
            <w:hideMark/>
          </w:tcPr>
          <w:p w14:paraId="4D6962F7" w14:textId="77777777" w:rsidR="00DE4516" w:rsidRPr="00A46ADC" w:rsidRDefault="00DE4516" w:rsidP="00DE4516">
            <w:pPr>
              <w:pStyle w:val="TableBody"/>
              <w:autoSpaceDE w:val="0"/>
              <w:autoSpaceDN w:val="0"/>
              <w:adjustRightInd w:val="0"/>
              <w:jc w:val="right"/>
              <w:rPr>
                <w:rFonts w:cs="Calibri"/>
                <w:color w:val="000000"/>
                <w:szCs w:val="16"/>
              </w:rPr>
            </w:pPr>
            <w:r w:rsidRPr="00A46ADC">
              <w:t>6.2</w:t>
            </w:r>
          </w:p>
        </w:tc>
        <w:tc>
          <w:tcPr>
            <w:tcW w:w="723" w:type="dxa"/>
            <w:noWrap/>
            <w:vAlign w:val="center"/>
          </w:tcPr>
          <w:p w14:paraId="5F06837B" w14:textId="77777777" w:rsidR="00DE4516" w:rsidRPr="00A46ADC" w:rsidRDefault="00DE4516" w:rsidP="00DE4516">
            <w:pPr>
              <w:pStyle w:val="TableBody"/>
              <w:autoSpaceDE w:val="0"/>
              <w:autoSpaceDN w:val="0"/>
              <w:adjustRightInd w:val="0"/>
              <w:jc w:val="right"/>
              <w:rPr>
                <w:rFonts w:cs="Calibri"/>
                <w:color w:val="000000"/>
                <w:szCs w:val="16"/>
              </w:rPr>
            </w:pPr>
            <w:r w:rsidRPr="00A46ADC">
              <w:t>9.1</w:t>
            </w:r>
          </w:p>
        </w:tc>
      </w:tr>
      <w:tr w:rsidR="007F015E" w:rsidRPr="00045A4A" w14:paraId="2F63F370" w14:textId="77777777" w:rsidTr="002C718D">
        <w:trPr>
          <w:cantSplit/>
        </w:trPr>
        <w:tc>
          <w:tcPr>
            <w:tcW w:w="3966" w:type="dxa"/>
            <w:noWrap/>
            <w:vAlign w:val="center"/>
            <w:hideMark/>
          </w:tcPr>
          <w:p w14:paraId="45D8FD1F"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Services</w:t>
            </w:r>
          </w:p>
        </w:tc>
        <w:tc>
          <w:tcPr>
            <w:tcW w:w="722" w:type="dxa"/>
            <w:noWrap/>
            <w:vAlign w:val="center"/>
            <w:hideMark/>
          </w:tcPr>
          <w:p w14:paraId="307371B1" w14:textId="77777777" w:rsidR="00DE4516" w:rsidRPr="00A46ADC" w:rsidRDefault="00DE4516" w:rsidP="00DE4516">
            <w:pPr>
              <w:pStyle w:val="TableBody"/>
              <w:autoSpaceDE w:val="0"/>
              <w:autoSpaceDN w:val="0"/>
              <w:adjustRightInd w:val="0"/>
              <w:jc w:val="right"/>
              <w:rPr>
                <w:rFonts w:cs="Calibri"/>
                <w:color w:val="000000"/>
                <w:szCs w:val="16"/>
              </w:rPr>
            </w:pPr>
            <w:r w:rsidRPr="00A46ADC">
              <w:t>39.4</w:t>
            </w:r>
          </w:p>
        </w:tc>
        <w:tc>
          <w:tcPr>
            <w:tcW w:w="721" w:type="dxa"/>
            <w:noWrap/>
            <w:vAlign w:val="center"/>
            <w:hideMark/>
          </w:tcPr>
          <w:p w14:paraId="57DD6E90" w14:textId="77777777" w:rsidR="00DE4516" w:rsidRPr="00A46ADC" w:rsidRDefault="00DE4516" w:rsidP="00DE4516">
            <w:pPr>
              <w:pStyle w:val="TableBody"/>
              <w:autoSpaceDE w:val="0"/>
              <w:autoSpaceDN w:val="0"/>
              <w:adjustRightInd w:val="0"/>
              <w:jc w:val="right"/>
              <w:rPr>
                <w:rFonts w:cs="Calibri"/>
                <w:color w:val="000000"/>
                <w:szCs w:val="16"/>
              </w:rPr>
            </w:pPr>
            <w:r w:rsidRPr="00A46ADC">
              <w:t>48.7</w:t>
            </w:r>
          </w:p>
        </w:tc>
        <w:tc>
          <w:tcPr>
            <w:tcW w:w="721" w:type="dxa"/>
            <w:noWrap/>
            <w:vAlign w:val="center"/>
            <w:hideMark/>
          </w:tcPr>
          <w:p w14:paraId="64E76D4A" w14:textId="77777777" w:rsidR="00DE4516" w:rsidRPr="00A46ADC" w:rsidRDefault="00DE4516" w:rsidP="00DE4516">
            <w:pPr>
              <w:pStyle w:val="TableBody"/>
              <w:autoSpaceDE w:val="0"/>
              <w:autoSpaceDN w:val="0"/>
              <w:adjustRightInd w:val="0"/>
              <w:jc w:val="right"/>
              <w:rPr>
                <w:rFonts w:cs="Calibri"/>
                <w:color w:val="000000"/>
                <w:szCs w:val="16"/>
              </w:rPr>
            </w:pPr>
            <w:r w:rsidRPr="00A46ADC">
              <w:t>53.6</w:t>
            </w:r>
          </w:p>
        </w:tc>
        <w:tc>
          <w:tcPr>
            <w:tcW w:w="721" w:type="dxa"/>
            <w:noWrap/>
            <w:vAlign w:val="center"/>
            <w:hideMark/>
          </w:tcPr>
          <w:p w14:paraId="1D58AE11" w14:textId="77777777" w:rsidR="00DE4516" w:rsidRPr="00A46ADC" w:rsidRDefault="00DE4516" w:rsidP="00DE4516">
            <w:pPr>
              <w:pStyle w:val="TableBody"/>
              <w:autoSpaceDE w:val="0"/>
              <w:autoSpaceDN w:val="0"/>
              <w:adjustRightInd w:val="0"/>
              <w:jc w:val="right"/>
              <w:rPr>
                <w:rFonts w:cs="Calibri"/>
                <w:color w:val="000000"/>
                <w:szCs w:val="16"/>
              </w:rPr>
            </w:pPr>
            <w:r w:rsidRPr="00A46ADC">
              <w:t>51.3</w:t>
            </w:r>
          </w:p>
        </w:tc>
        <w:tc>
          <w:tcPr>
            <w:tcW w:w="721" w:type="dxa"/>
            <w:noWrap/>
            <w:vAlign w:val="center"/>
            <w:hideMark/>
          </w:tcPr>
          <w:p w14:paraId="6E1A7127" w14:textId="77777777" w:rsidR="00DE4516" w:rsidRPr="00A46ADC" w:rsidRDefault="00DE4516" w:rsidP="00DE4516">
            <w:pPr>
              <w:pStyle w:val="TableBody"/>
              <w:autoSpaceDE w:val="0"/>
              <w:autoSpaceDN w:val="0"/>
              <w:adjustRightInd w:val="0"/>
              <w:jc w:val="right"/>
              <w:rPr>
                <w:rFonts w:cs="Calibri"/>
                <w:color w:val="000000"/>
                <w:szCs w:val="16"/>
              </w:rPr>
            </w:pPr>
            <w:r w:rsidRPr="00A46ADC">
              <w:t>45.9</w:t>
            </w:r>
          </w:p>
        </w:tc>
        <w:tc>
          <w:tcPr>
            <w:tcW w:w="721" w:type="dxa"/>
            <w:noWrap/>
            <w:vAlign w:val="center"/>
            <w:hideMark/>
          </w:tcPr>
          <w:p w14:paraId="0773E11A" w14:textId="77777777" w:rsidR="00DE4516" w:rsidRPr="00A46ADC" w:rsidRDefault="00DE4516" w:rsidP="00DE4516">
            <w:pPr>
              <w:pStyle w:val="TableBody"/>
              <w:autoSpaceDE w:val="0"/>
              <w:autoSpaceDN w:val="0"/>
              <w:adjustRightInd w:val="0"/>
              <w:jc w:val="right"/>
              <w:rPr>
                <w:rFonts w:cs="Calibri"/>
                <w:color w:val="000000"/>
                <w:szCs w:val="16"/>
              </w:rPr>
            </w:pPr>
            <w:r w:rsidRPr="00A46ADC">
              <w:t>47.4</w:t>
            </w:r>
          </w:p>
        </w:tc>
        <w:tc>
          <w:tcPr>
            <w:tcW w:w="723" w:type="dxa"/>
            <w:noWrap/>
            <w:vAlign w:val="center"/>
          </w:tcPr>
          <w:p w14:paraId="038F66B6" w14:textId="77777777" w:rsidR="00DE4516" w:rsidRPr="00A46ADC" w:rsidRDefault="00DE4516" w:rsidP="00DE4516">
            <w:pPr>
              <w:pStyle w:val="TableBody"/>
              <w:autoSpaceDE w:val="0"/>
              <w:autoSpaceDN w:val="0"/>
              <w:adjustRightInd w:val="0"/>
              <w:jc w:val="right"/>
              <w:rPr>
                <w:rFonts w:cs="Calibri"/>
                <w:color w:val="000000"/>
                <w:szCs w:val="16"/>
              </w:rPr>
            </w:pPr>
            <w:r w:rsidRPr="00A46ADC">
              <w:t>53.4</w:t>
            </w:r>
          </w:p>
        </w:tc>
      </w:tr>
      <w:tr w:rsidR="007F015E" w:rsidRPr="00045A4A" w14:paraId="660A6E02"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287EE6AE"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t>Wholesale and retail trade</w:t>
            </w:r>
          </w:p>
        </w:tc>
        <w:tc>
          <w:tcPr>
            <w:tcW w:w="722" w:type="dxa"/>
            <w:noWrap/>
            <w:vAlign w:val="center"/>
            <w:hideMark/>
          </w:tcPr>
          <w:p w14:paraId="276476A2" w14:textId="77777777" w:rsidR="00DE4516" w:rsidRPr="00A46ADC" w:rsidRDefault="00DE4516" w:rsidP="00DE4516">
            <w:pPr>
              <w:pStyle w:val="TableBody"/>
              <w:autoSpaceDE w:val="0"/>
              <w:autoSpaceDN w:val="0"/>
              <w:adjustRightInd w:val="0"/>
              <w:jc w:val="right"/>
              <w:rPr>
                <w:rFonts w:cs="Calibri"/>
                <w:color w:val="000000"/>
                <w:szCs w:val="16"/>
              </w:rPr>
            </w:pPr>
            <w:r w:rsidRPr="00A46ADC">
              <w:t>6.9</w:t>
            </w:r>
          </w:p>
        </w:tc>
        <w:tc>
          <w:tcPr>
            <w:tcW w:w="721" w:type="dxa"/>
            <w:noWrap/>
            <w:vAlign w:val="center"/>
            <w:hideMark/>
          </w:tcPr>
          <w:p w14:paraId="5427DB06" w14:textId="77777777" w:rsidR="00DE4516" w:rsidRPr="00A46ADC" w:rsidRDefault="00DE4516" w:rsidP="00DE4516">
            <w:pPr>
              <w:pStyle w:val="TableBody"/>
              <w:autoSpaceDE w:val="0"/>
              <w:autoSpaceDN w:val="0"/>
              <w:adjustRightInd w:val="0"/>
              <w:jc w:val="right"/>
              <w:rPr>
                <w:rFonts w:cs="Calibri"/>
                <w:color w:val="000000"/>
                <w:szCs w:val="16"/>
              </w:rPr>
            </w:pPr>
            <w:r w:rsidRPr="00A46ADC">
              <w:t>8.4</w:t>
            </w:r>
          </w:p>
        </w:tc>
        <w:tc>
          <w:tcPr>
            <w:tcW w:w="721" w:type="dxa"/>
            <w:noWrap/>
            <w:vAlign w:val="center"/>
            <w:hideMark/>
          </w:tcPr>
          <w:p w14:paraId="180A5B89" w14:textId="77777777" w:rsidR="00DE4516" w:rsidRPr="00A46ADC" w:rsidRDefault="00DE4516" w:rsidP="00DE4516">
            <w:pPr>
              <w:pStyle w:val="TableBody"/>
              <w:autoSpaceDE w:val="0"/>
              <w:autoSpaceDN w:val="0"/>
              <w:adjustRightInd w:val="0"/>
              <w:jc w:val="right"/>
              <w:rPr>
                <w:rFonts w:cs="Calibri"/>
                <w:color w:val="000000"/>
                <w:szCs w:val="16"/>
              </w:rPr>
            </w:pPr>
            <w:r w:rsidRPr="00A46ADC">
              <w:t>8.6</w:t>
            </w:r>
          </w:p>
        </w:tc>
        <w:tc>
          <w:tcPr>
            <w:tcW w:w="721" w:type="dxa"/>
            <w:noWrap/>
            <w:vAlign w:val="center"/>
            <w:hideMark/>
          </w:tcPr>
          <w:p w14:paraId="60664EE4" w14:textId="77777777" w:rsidR="00DE4516" w:rsidRPr="00A46ADC" w:rsidRDefault="00DE4516" w:rsidP="00DE4516">
            <w:pPr>
              <w:pStyle w:val="TableBody"/>
              <w:autoSpaceDE w:val="0"/>
              <w:autoSpaceDN w:val="0"/>
              <w:adjustRightInd w:val="0"/>
              <w:jc w:val="right"/>
              <w:rPr>
                <w:rFonts w:cs="Calibri"/>
                <w:color w:val="000000"/>
                <w:szCs w:val="16"/>
              </w:rPr>
            </w:pPr>
            <w:r w:rsidRPr="00A46ADC">
              <w:t>8.2</w:t>
            </w:r>
          </w:p>
        </w:tc>
        <w:tc>
          <w:tcPr>
            <w:tcW w:w="721" w:type="dxa"/>
            <w:noWrap/>
            <w:vAlign w:val="center"/>
            <w:hideMark/>
          </w:tcPr>
          <w:p w14:paraId="4FED5C8A" w14:textId="77777777" w:rsidR="00DE4516" w:rsidRPr="00A46ADC" w:rsidRDefault="00DE4516" w:rsidP="00DE4516">
            <w:pPr>
              <w:pStyle w:val="TableBody"/>
              <w:autoSpaceDE w:val="0"/>
              <w:autoSpaceDN w:val="0"/>
              <w:adjustRightInd w:val="0"/>
              <w:jc w:val="right"/>
              <w:rPr>
                <w:rFonts w:cs="Calibri"/>
                <w:color w:val="000000"/>
                <w:szCs w:val="16"/>
              </w:rPr>
            </w:pPr>
            <w:r w:rsidRPr="00A46ADC">
              <w:t>7.2</w:t>
            </w:r>
          </w:p>
        </w:tc>
        <w:tc>
          <w:tcPr>
            <w:tcW w:w="721" w:type="dxa"/>
            <w:noWrap/>
            <w:vAlign w:val="center"/>
            <w:hideMark/>
          </w:tcPr>
          <w:p w14:paraId="6004008F" w14:textId="77777777" w:rsidR="00DE4516" w:rsidRPr="00A46ADC" w:rsidRDefault="00DE4516" w:rsidP="00DE4516">
            <w:pPr>
              <w:pStyle w:val="TableBody"/>
              <w:autoSpaceDE w:val="0"/>
              <w:autoSpaceDN w:val="0"/>
              <w:adjustRightInd w:val="0"/>
              <w:jc w:val="right"/>
              <w:rPr>
                <w:rFonts w:cs="Calibri"/>
                <w:color w:val="000000"/>
                <w:szCs w:val="16"/>
              </w:rPr>
            </w:pPr>
            <w:r w:rsidRPr="00A46ADC">
              <w:t>6.9</w:t>
            </w:r>
          </w:p>
        </w:tc>
        <w:tc>
          <w:tcPr>
            <w:tcW w:w="723" w:type="dxa"/>
            <w:noWrap/>
            <w:vAlign w:val="center"/>
          </w:tcPr>
          <w:p w14:paraId="14965368" w14:textId="77777777" w:rsidR="00DE4516" w:rsidRPr="00A46ADC" w:rsidRDefault="00DE4516" w:rsidP="00DE4516">
            <w:pPr>
              <w:pStyle w:val="TableBody"/>
              <w:autoSpaceDE w:val="0"/>
              <w:autoSpaceDN w:val="0"/>
              <w:adjustRightInd w:val="0"/>
              <w:jc w:val="right"/>
              <w:rPr>
                <w:rFonts w:cs="Calibri"/>
                <w:color w:val="000000"/>
                <w:szCs w:val="16"/>
              </w:rPr>
            </w:pPr>
            <w:r w:rsidRPr="00A46ADC">
              <w:t>8.4</w:t>
            </w:r>
          </w:p>
        </w:tc>
      </w:tr>
      <w:tr w:rsidR="007F015E" w:rsidRPr="00045A4A" w14:paraId="36725EA4" w14:textId="77777777" w:rsidTr="002C718D">
        <w:trPr>
          <w:cantSplit/>
        </w:trPr>
        <w:tc>
          <w:tcPr>
            <w:tcW w:w="3966" w:type="dxa"/>
            <w:noWrap/>
            <w:vAlign w:val="center"/>
            <w:hideMark/>
          </w:tcPr>
          <w:p w14:paraId="392B2987"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t xml:space="preserve">Transport, </w:t>
            </w:r>
            <w:proofErr w:type="gramStart"/>
            <w:r w:rsidRPr="00A46ADC">
              <w:t>storage</w:t>
            </w:r>
            <w:proofErr w:type="gramEnd"/>
            <w:r w:rsidRPr="00A46ADC">
              <w:t xml:space="preserve"> and communication</w:t>
            </w:r>
          </w:p>
        </w:tc>
        <w:tc>
          <w:tcPr>
            <w:tcW w:w="722" w:type="dxa"/>
            <w:noWrap/>
            <w:vAlign w:val="center"/>
            <w:hideMark/>
          </w:tcPr>
          <w:p w14:paraId="47E501F9" w14:textId="77777777" w:rsidR="00DE4516" w:rsidRPr="00A46ADC" w:rsidRDefault="00DE4516" w:rsidP="00DE4516">
            <w:pPr>
              <w:pStyle w:val="TableBody"/>
              <w:autoSpaceDE w:val="0"/>
              <w:autoSpaceDN w:val="0"/>
              <w:adjustRightInd w:val="0"/>
              <w:jc w:val="right"/>
              <w:rPr>
                <w:rFonts w:cs="Calibri"/>
                <w:color w:val="000000"/>
                <w:szCs w:val="16"/>
              </w:rPr>
            </w:pPr>
            <w:r w:rsidRPr="00A46ADC">
              <w:t>4.6</w:t>
            </w:r>
          </w:p>
        </w:tc>
        <w:tc>
          <w:tcPr>
            <w:tcW w:w="721" w:type="dxa"/>
            <w:noWrap/>
            <w:vAlign w:val="center"/>
            <w:hideMark/>
          </w:tcPr>
          <w:p w14:paraId="378996CF" w14:textId="77777777" w:rsidR="00DE4516" w:rsidRPr="00A46ADC" w:rsidRDefault="00DE4516" w:rsidP="00DE4516">
            <w:pPr>
              <w:pStyle w:val="TableBody"/>
              <w:autoSpaceDE w:val="0"/>
              <w:autoSpaceDN w:val="0"/>
              <w:adjustRightInd w:val="0"/>
              <w:jc w:val="right"/>
              <w:rPr>
                <w:rFonts w:cs="Calibri"/>
                <w:color w:val="000000"/>
                <w:szCs w:val="16"/>
              </w:rPr>
            </w:pPr>
            <w:r w:rsidRPr="00A46ADC">
              <w:t>5.9</w:t>
            </w:r>
          </w:p>
        </w:tc>
        <w:tc>
          <w:tcPr>
            <w:tcW w:w="721" w:type="dxa"/>
            <w:noWrap/>
            <w:vAlign w:val="center"/>
            <w:hideMark/>
          </w:tcPr>
          <w:p w14:paraId="346B4583" w14:textId="77777777" w:rsidR="00DE4516" w:rsidRPr="00A46ADC" w:rsidRDefault="00DE4516" w:rsidP="00DE4516">
            <w:pPr>
              <w:pStyle w:val="TableBody"/>
              <w:autoSpaceDE w:val="0"/>
              <w:autoSpaceDN w:val="0"/>
              <w:adjustRightInd w:val="0"/>
              <w:jc w:val="right"/>
              <w:rPr>
                <w:rFonts w:cs="Calibri"/>
                <w:color w:val="000000"/>
                <w:szCs w:val="16"/>
              </w:rPr>
            </w:pPr>
            <w:r w:rsidRPr="00A46ADC">
              <w:t>6.0</w:t>
            </w:r>
          </w:p>
        </w:tc>
        <w:tc>
          <w:tcPr>
            <w:tcW w:w="721" w:type="dxa"/>
            <w:noWrap/>
            <w:vAlign w:val="center"/>
            <w:hideMark/>
          </w:tcPr>
          <w:p w14:paraId="125682EB" w14:textId="77777777" w:rsidR="00DE4516" w:rsidRPr="00A46ADC" w:rsidRDefault="00DE4516" w:rsidP="00DE4516">
            <w:pPr>
              <w:pStyle w:val="TableBody"/>
              <w:autoSpaceDE w:val="0"/>
              <w:autoSpaceDN w:val="0"/>
              <w:adjustRightInd w:val="0"/>
              <w:jc w:val="right"/>
              <w:rPr>
                <w:rFonts w:cs="Calibri"/>
                <w:color w:val="000000"/>
                <w:szCs w:val="16"/>
              </w:rPr>
            </w:pPr>
            <w:r w:rsidRPr="00A46ADC">
              <w:t>6.0</w:t>
            </w:r>
          </w:p>
        </w:tc>
        <w:tc>
          <w:tcPr>
            <w:tcW w:w="721" w:type="dxa"/>
            <w:noWrap/>
            <w:vAlign w:val="center"/>
            <w:hideMark/>
          </w:tcPr>
          <w:p w14:paraId="1BE91A0F" w14:textId="77777777" w:rsidR="00DE4516" w:rsidRPr="00A46ADC" w:rsidRDefault="00DE4516" w:rsidP="00DE4516">
            <w:pPr>
              <w:pStyle w:val="TableBody"/>
              <w:autoSpaceDE w:val="0"/>
              <w:autoSpaceDN w:val="0"/>
              <w:adjustRightInd w:val="0"/>
              <w:jc w:val="right"/>
              <w:rPr>
                <w:rFonts w:cs="Calibri"/>
                <w:color w:val="000000"/>
                <w:szCs w:val="16"/>
              </w:rPr>
            </w:pPr>
            <w:r w:rsidRPr="00A46ADC">
              <w:t>5.6</w:t>
            </w:r>
          </w:p>
        </w:tc>
        <w:tc>
          <w:tcPr>
            <w:tcW w:w="721" w:type="dxa"/>
            <w:noWrap/>
            <w:vAlign w:val="center"/>
            <w:hideMark/>
          </w:tcPr>
          <w:p w14:paraId="58997D20" w14:textId="77777777" w:rsidR="00DE4516" w:rsidRPr="00A46ADC" w:rsidRDefault="00DE4516" w:rsidP="00DE4516">
            <w:pPr>
              <w:pStyle w:val="TableBody"/>
              <w:autoSpaceDE w:val="0"/>
              <w:autoSpaceDN w:val="0"/>
              <w:adjustRightInd w:val="0"/>
              <w:jc w:val="right"/>
              <w:rPr>
                <w:rFonts w:cs="Calibri"/>
                <w:color w:val="000000"/>
                <w:szCs w:val="16"/>
              </w:rPr>
            </w:pPr>
            <w:r w:rsidRPr="00A46ADC">
              <w:t>5.8</w:t>
            </w:r>
          </w:p>
        </w:tc>
        <w:tc>
          <w:tcPr>
            <w:tcW w:w="723" w:type="dxa"/>
            <w:noWrap/>
            <w:vAlign w:val="center"/>
          </w:tcPr>
          <w:p w14:paraId="13622000" w14:textId="77777777" w:rsidR="00DE4516" w:rsidRPr="00A46ADC" w:rsidRDefault="00DE4516" w:rsidP="00DE4516">
            <w:pPr>
              <w:pStyle w:val="TableBody"/>
              <w:autoSpaceDE w:val="0"/>
              <w:autoSpaceDN w:val="0"/>
              <w:adjustRightInd w:val="0"/>
              <w:jc w:val="right"/>
              <w:rPr>
                <w:rFonts w:cs="Calibri"/>
                <w:color w:val="000000"/>
                <w:szCs w:val="16"/>
              </w:rPr>
            </w:pPr>
            <w:r w:rsidRPr="00A46ADC">
              <w:t>6.0</w:t>
            </w:r>
          </w:p>
        </w:tc>
      </w:tr>
      <w:tr w:rsidR="007F015E" w:rsidRPr="00045A4A" w14:paraId="602D8A1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5CA58DB9"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lastRenderedPageBreak/>
              <w:t>Financial intermediation</w:t>
            </w:r>
          </w:p>
        </w:tc>
        <w:tc>
          <w:tcPr>
            <w:tcW w:w="722" w:type="dxa"/>
            <w:noWrap/>
            <w:vAlign w:val="center"/>
            <w:hideMark/>
          </w:tcPr>
          <w:p w14:paraId="563ACB5F" w14:textId="77777777" w:rsidR="00DE4516" w:rsidRPr="00A46ADC" w:rsidRDefault="00DE4516" w:rsidP="00DE4516">
            <w:pPr>
              <w:pStyle w:val="TableBody"/>
              <w:autoSpaceDE w:val="0"/>
              <w:autoSpaceDN w:val="0"/>
              <w:adjustRightInd w:val="0"/>
              <w:jc w:val="right"/>
              <w:rPr>
                <w:rFonts w:cs="Calibri"/>
                <w:color w:val="000000"/>
                <w:szCs w:val="16"/>
              </w:rPr>
            </w:pPr>
            <w:r w:rsidRPr="00A46ADC">
              <w:t>4.4</w:t>
            </w:r>
          </w:p>
        </w:tc>
        <w:tc>
          <w:tcPr>
            <w:tcW w:w="721" w:type="dxa"/>
            <w:noWrap/>
            <w:vAlign w:val="center"/>
            <w:hideMark/>
          </w:tcPr>
          <w:p w14:paraId="2898DB32" w14:textId="77777777" w:rsidR="00DE4516" w:rsidRPr="00A46ADC" w:rsidRDefault="00DE4516" w:rsidP="00DE4516">
            <w:pPr>
              <w:pStyle w:val="TableBody"/>
              <w:autoSpaceDE w:val="0"/>
              <w:autoSpaceDN w:val="0"/>
              <w:adjustRightInd w:val="0"/>
              <w:jc w:val="right"/>
              <w:rPr>
                <w:rFonts w:cs="Calibri"/>
                <w:color w:val="000000"/>
                <w:szCs w:val="16"/>
              </w:rPr>
            </w:pPr>
            <w:r w:rsidRPr="00A46ADC">
              <w:t>5.5</w:t>
            </w:r>
          </w:p>
        </w:tc>
        <w:tc>
          <w:tcPr>
            <w:tcW w:w="721" w:type="dxa"/>
            <w:noWrap/>
            <w:vAlign w:val="center"/>
            <w:hideMark/>
          </w:tcPr>
          <w:p w14:paraId="0B1DE549" w14:textId="77777777" w:rsidR="00DE4516" w:rsidRPr="00A46ADC" w:rsidRDefault="00DE4516" w:rsidP="00DE4516">
            <w:pPr>
              <w:pStyle w:val="TableBody"/>
              <w:autoSpaceDE w:val="0"/>
              <w:autoSpaceDN w:val="0"/>
              <w:adjustRightInd w:val="0"/>
              <w:jc w:val="right"/>
              <w:rPr>
                <w:rFonts w:cs="Calibri"/>
                <w:color w:val="000000"/>
                <w:szCs w:val="16"/>
              </w:rPr>
            </w:pPr>
            <w:r w:rsidRPr="00A46ADC">
              <w:t>6.4</w:t>
            </w:r>
          </w:p>
        </w:tc>
        <w:tc>
          <w:tcPr>
            <w:tcW w:w="721" w:type="dxa"/>
            <w:noWrap/>
            <w:vAlign w:val="center"/>
            <w:hideMark/>
          </w:tcPr>
          <w:p w14:paraId="14F1C603" w14:textId="77777777" w:rsidR="00DE4516" w:rsidRPr="00A46ADC" w:rsidRDefault="00DE4516" w:rsidP="00DE4516">
            <w:pPr>
              <w:pStyle w:val="TableBody"/>
              <w:autoSpaceDE w:val="0"/>
              <w:autoSpaceDN w:val="0"/>
              <w:adjustRightInd w:val="0"/>
              <w:jc w:val="right"/>
              <w:rPr>
                <w:rFonts w:cs="Calibri"/>
                <w:color w:val="000000"/>
                <w:szCs w:val="16"/>
              </w:rPr>
            </w:pPr>
            <w:r w:rsidRPr="00A46ADC">
              <w:t>6.4</w:t>
            </w:r>
          </w:p>
        </w:tc>
        <w:tc>
          <w:tcPr>
            <w:tcW w:w="721" w:type="dxa"/>
            <w:noWrap/>
            <w:vAlign w:val="center"/>
            <w:hideMark/>
          </w:tcPr>
          <w:p w14:paraId="1A46262D" w14:textId="77777777" w:rsidR="00DE4516" w:rsidRPr="00A46ADC" w:rsidRDefault="00DE4516" w:rsidP="00DE4516">
            <w:pPr>
              <w:pStyle w:val="TableBody"/>
              <w:autoSpaceDE w:val="0"/>
              <w:autoSpaceDN w:val="0"/>
              <w:adjustRightInd w:val="0"/>
              <w:jc w:val="right"/>
              <w:rPr>
                <w:rFonts w:cs="Calibri"/>
                <w:color w:val="000000"/>
                <w:szCs w:val="16"/>
              </w:rPr>
            </w:pPr>
            <w:r w:rsidRPr="00A46ADC">
              <w:t>6.3</w:t>
            </w:r>
          </w:p>
        </w:tc>
        <w:tc>
          <w:tcPr>
            <w:tcW w:w="721" w:type="dxa"/>
            <w:noWrap/>
            <w:vAlign w:val="center"/>
            <w:hideMark/>
          </w:tcPr>
          <w:p w14:paraId="103351F6" w14:textId="77777777" w:rsidR="00DE4516" w:rsidRPr="00A46ADC" w:rsidRDefault="00DE4516" w:rsidP="00DE4516">
            <w:pPr>
              <w:pStyle w:val="TableBody"/>
              <w:autoSpaceDE w:val="0"/>
              <w:autoSpaceDN w:val="0"/>
              <w:adjustRightInd w:val="0"/>
              <w:jc w:val="right"/>
              <w:rPr>
                <w:rFonts w:cs="Calibri"/>
                <w:color w:val="000000"/>
                <w:szCs w:val="16"/>
              </w:rPr>
            </w:pPr>
            <w:r w:rsidRPr="00A46ADC">
              <w:t>6.8</w:t>
            </w:r>
          </w:p>
        </w:tc>
        <w:tc>
          <w:tcPr>
            <w:tcW w:w="723" w:type="dxa"/>
            <w:noWrap/>
            <w:vAlign w:val="center"/>
          </w:tcPr>
          <w:p w14:paraId="1BDBF408" w14:textId="77777777" w:rsidR="00DE4516" w:rsidRPr="00A46ADC" w:rsidRDefault="00DE4516" w:rsidP="00DE4516">
            <w:pPr>
              <w:pStyle w:val="TableBody"/>
              <w:autoSpaceDE w:val="0"/>
              <w:autoSpaceDN w:val="0"/>
              <w:adjustRightInd w:val="0"/>
              <w:jc w:val="right"/>
              <w:rPr>
                <w:rFonts w:cs="Calibri"/>
                <w:color w:val="000000"/>
                <w:szCs w:val="16"/>
              </w:rPr>
            </w:pPr>
            <w:r w:rsidRPr="00A46ADC">
              <w:t>6.8</w:t>
            </w:r>
          </w:p>
        </w:tc>
      </w:tr>
      <w:tr w:rsidR="007F015E" w:rsidRPr="00045A4A" w14:paraId="2CCBE4A1" w14:textId="77777777" w:rsidTr="002C718D">
        <w:trPr>
          <w:cantSplit/>
        </w:trPr>
        <w:tc>
          <w:tcPr>
            <w:tcW w:w="3966" w:type="dxa"/>
            <w:noWrap/>
            <w:vAlign w:val="center"/>
            <w:hideMark/>
          </w:tcPr>
          <w:p w14:paraId="4E1723CA"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t>Real estate and business activities</w:t>
            </w:r>
          </w:p>
        </w:tc>
        <w:tc>
          <w:tcPr>
            <w:tcW w:w="722" w:type="dxa"/>
            <w:noWrap/>
            <w:vAlign w:val="center"/>
            <w:hideMark/>
          </w:tcPr>
          <w:p w14:paraId="68C4E641" w14:textId="77777777" w:rsidR="00DE4516" w:rsidRPr="00A46ADC" w:rsidRDefault="00DE4516" w:rsidP="00DE4516">
            <w:pPr>
              <w:pStyle w:val="TableBody"/>
              <w:autoSpaceDE w:val="0"/>
              <w:autoSpaceDN w:val="0"/>
              <w:adjustRightInd w:val="0"/>
              <w:jc w:val="right"/>
              <w:rPr>
                <w:rFonts w:cs="Calibri"/>
                <w:color w:val="000000"/>
                <w:szCs w:val="16"/>
              </w:rPr>
            </w:pPr>
            <w:r w:rsidRPr="00A46ADC">
              <w:t>3.7</w:t>
            </w:r>
          </w:p>
        </w:tc>
        <w:tc>
          <w:tcPr>
            <w:tcW w:w="721" w:type="dxa"/>
            <w:noWrap/>
            <w:vAlign w:val="center"/>
            <w:hideMark/>
          </w:tcPr>
          <w:p w14:paraId="64C23EB4" w14:textId="77777777" w:rsidR="00DE4516" w:rsidRPr="00A46ADC" w:rsidRDefault="00DE4516" w:rsidP="00DE4516">
            <w:pPr>
              <w:pStyle w:val="TableBody"/>
              <w:autoSpaceDE w:val="0"/>
              <w:autoSpaceDN w:val="0"/>
              <w:adjustRightInd w:val="0"/>
              <w:jc w:val="right"/>
              <w:rPr>
                <w:rFonts w:cs="Calibri"/>
                <w:color w:val="000000"/>
                <w:szCs w:val="16"/>
              </w:rPr>
            </w:pPr>
            <w:r w:rsidRPr="00A46ADC">
              <w:t>4.6</w:t>
            </w:r>
          </w:p>
        </w:tc>
        <w:tc>
          <w:tcPr>
            <w:tcW w:w="721" w:type="dxa"/>
            <w:noWrap/>
            <w:vAlign w:val="center"/>
            <w:hideMark/>
          </w:tcPr>
          <w:p w14:paraId="0AEC593C" w14:textId="77777777" w:rsidR="00DE4516" w:rsidRPr="00A46ADC" w:rsidRDefault="00DE4516" w:rsidP="00DE4516">
            <w:pPr>
              <w:pStyle w:val="TableBody"/>
              <w:autoSpaceDE w:val="0"/>
              <w:autoSpaceDN w:val="0"/>
              <w:adjustRightInd w:val="0"/>
              <w:jc w:val="right"/>
              <w:rPr>
                <w:rFonts w:cs="Calibri"/>
                <w:color w:val="000000"/>
                <w:szCs w:val="16"/>
              </w:rPr>
            </w:pPr>
            <w:r w:rsidRPr="00A46ADC">
              <w:t>5.1</w:t>
            </w:r>
          </w:p>
        </w:tc>
        <w:tc>
          <w:tcPr>
            <w:tcW w:w="721" w:type="dxa"/>
            <w:noWrap/>
            <w:vAlign w:val="center"/>
            <w:hideMark/>
          </w:tcPr>
          <w:p w14:paraId="2827FE1B" w14:textId="77777777" w:rsidR="00DE4516" w:rsidRPr="00A46ADC" w:rsidRDefault="00DE4516" w:rsidP="00DE4516">
            <w:pPr>
              <w:pStyle w:val="TableBody"/>
              <w:autoSpaceDE w:val="0"/>
              <w:autoSpaceDN w:val="0"/>
              <w:adjustRightInd w:val="0"/>
              <w:jc w:val="right"/>
              <w:rPr>
                <w:rFonts w:cs="Calibri"/>
                <w:color w:val="000000"/>
                <w:szCs w:val="16"/>
              </w:rPr>
            </w:pPr>
            <w:r w:rsidRPr="00A46ADC">
              <w:t>4.8</w:t>
            </w:r>
          </w:p>
        </w:tc>
        <w:tc>
          <w:tcPr>
            <w:tcW w:w="721" w:type="dxa"/>
            <w:noWrap/>
            <w:vAlign w:val="center"/>
            <w:hideMark/>
          </w:tcPr>
          <w:p w14:paraId="214C2B33" w14:textId="77777777" w:rsidR="00DE4516" w:rsidRPr="00A46ADC" w:rsidRDefault="00DE4516" w:rsidP="00DE4516">
            <w:pPr>
              <w:pStyle w:val="TableBody"/>
              <w:autoSpaceDE w:val="0"/>
              <w:autoSpaceDN w:val="0"/>
              <w:adjustRightInd w:val="0"/>
              <w:jc w:val="right"/>
              <w:rPr>
                <w:rFonts w:cs="Calibri"/>
                <w:color w:val="000000"/>
                <w:szCs w:val="16"/>
              </w:rPr>
            </w:pPr>
            <w:r w:rsidRPr="00A46ADC">
              <w:t>4.4</w:t>
            </w:r>
          </w:p>
        </w:tc>
        <w:tc>
          <w:tcPr>
            <w:tcW w:w="721" w:type="dxa"/>
            <w:noWrap/>
            <w:vAlign w:val="center"/>
            <w:hideMark/>
          </w:tcPr>
          <w:p w14:paraId="022211C2" w14:textId="77777777" w:rsidR="00DE4516" w:rsidRPr="00A46ADC" w:rsidRDefault="00DE4516" w:rsidP="00DE4516">
            <w:pPr>
              <w:pStyle w:val="TableBody"/>
              <w:autoSpaceDE w:val="0"/>
              <w:autoSpaceDN w:val="0"/>
              <w:adjustRightInd w:val="0"/>
              <w:jc w:val="right"/>
              <w:rPr>
                <w:rFonts w:cs="Calibri"/>
                <w:color w:val="000000"/>
                <w:szCs w:val="16"/>
              </w:rPr>
            </w:pPr>
            <w:r w:rsidRPr="00A46ADC">
              <w:t>4.7</w:t>
            </w:r>
          </w:p>
        </w:tc>
        <w:tc>
          <w:tcPr>
            <w:tcW w:w="723" w:type="dxa"/>
            <w:noWrap/>
            <w:vAlign w:val="center"/>
          </w:tcPr>
          <w:p w14:paraId="700FE4DD" w14:textId="77777777" w:rsidR="00DE4516" w:rsidRPr="00A46ADC" w:rsidRDefault="00DE4516" w:rsidP="00DE4516">
            <w:pPr>
              <w:pStyle w:val="TableBody"/>
              <w:autoSpaceDE w:val="0"/>
              <w:autoSpaceDN w:val="0"/>
              <w:adjustRightInd w:val="0"/>
              <w:jc w:val="right"/>
              <w:rPr>
                <w:rFonts w:cs="Calibri"/>
                <w:color w:val="000000"/>
                <w:szCs w:val="16"/>
              </w:rPr>
            </w:pPr>
            <w:r w:rsidRPr="00A46ADC">
              <w:t>7.4</w:t>
            </w:r>
          </w:p>
        </w:tc>
      </w:tr>
      <w:tr w:rsidR="007F015E" w:rsidRPr="00045A4A" w14:paraId="29BAB4F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250EC616"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t>Public administration and defence</w:t>
            </w:r>
          </w:p>
        </w:tc>
        <w:tc>
          <w:tcPr>
            <w:tcW w:w="722" w:type="dxa"/>
            <w:noWrap/>
            <w:vAlign w:val="center"/>
            <w:hideMark/>
          </w:tcPr>
          <w:p w14:paraId="42D20C6A" w14:textId="77777777" w:rsidR="00DE4516" w:rsidRPr="00A46ADC" w:rsidRDefault="00DE4516" w:rsidP="00DE4516">
            <w:pPr>
              <w:pStyle w:val="TableBody"/>
              <w:autoSpaceDE w:val="0"/>
              <w:autoSpaceDN w:val="0"/>
              <w:adjustRightInd w:val="0"/>
              <w:jc w:val="right"/>
              <w:rPr>
                <w:rFonts w:cs="Calibri"/>
                <w:color w:val="000000"/>
                <w:szCs w:val="16"/>
              </w:rPr>
            </w:pPr>
            <w:r w:rsidRPr="00A46ADC">
              <w:t>9.9</w:t>
            </w:r>
          </w:p>
        </w:tc>
        <w:tc>
          <w:tcPr>
            <w:tcW w:w="721" w:type="dxa"/>
            <w:noWrap/>
            <w:vAlign w:val="center"/>
            <w:hideMark/>
          </w:tcPr>
          <w:p w14:paraId="0F3310DB" w14:textId="77777777" w:rsidR="00DE4516" w:rsidRPr="00A46ADC" w:rsidRDefault="00DE4516" w:rsidP="00DE4516">
            <w:pPr>
              <w:pStyle w:val="TableBody"/>
              <w:autoSpaceDE w:val="0"/>
              <w:autoSpaceDN w:val="0"/>
              <w:adjustRightInd w:val="0"/>
              <w:jc w:val="right"/>
              <w:rPr>
                <w:rFonts w:cs="Calibri"/>
                <w:color w:val="000000"/>
                <w:szCs w:val="16"/>
              </w:rPr>
            </w:pPr>
            <w:r w:rsidRPr="00A46ADC">
              <w:t>12.2</w:t>
            </w:r>
          </w:p>
        </w:tc>
        <w:tc>
          <w:tcPr>
            <w:tcW w:w="721" w:type="dxa"/>
            <w:noWrap/>
            <w:vAlign w:val="center"/>
            <w:hideMark/>
          </w:tcPr>
          <w:p w14:paraId="351A6CF0" w14:textId="77777777" w:rsidR="00DE4516" w:rsidRPr="00A46ADC" w:rsidRDefault="00DE4516" w:rsidP="00DE4516">
            <w:pPr>
              <w:pStyle w:val="TableBody"/>
              <w:autoSpaceDE w:val="0"/>
              <w:autoSpaceDN w:val="0"/>
              <w:adjustRightInd w:val="0"/>
              <w:jc w:val="right"/>
              <w:rPr>
                <w:rFonts w:cs="Calibri"/>
                <w:color w:val="000000"/>
                <w:szCs w:val="16"/>
              </w:rPr>
            </w:pPr>
            <w:r w:rsidRPr="00A46ADC">
              <w:t>14.1</w:t>
            </w:r>
          </w:p>
        </w:tc>
        <w:tc>
          <w:tcPr>
            <w:tcW w:w="721" w:type="dxa"/>
            <w:noWrap/>
            <w:vAlign w:val="center"/>
            <w:hideMark/>
          </w:tcPr>
          <w:p w14:paraId="51D202B0" w14:textId="77777777" w:rsidR="00DE4516" w:rsidRPr="00A46ADC" w:rsidRDefault="00DE4516" w:rsidP="00DE4516">
            <w:pPr>
              <w:pStyle w:val="TableBody"/>
              <w:autoSpaceDE w:val="0"/>
              <w:autoSpaceDN w:val="0"/>
              <w:adjustRightInd w:val="0"/>
              <w:jc w:val="right"/>
              <w:rPr>
                <w:rFonts w:cs="Calibri"/>
                <w:color w:val="000000"/>
                <w:szCs w:val="16"/>
              </w:rPr>
            </w:pPr>
            <w:r w:rsidRPr="00A46ADC">
              <w:t>13.3</w:t>
            </w:r>
          </w:p>
        </w:tc>
        <w:tc>
          <w:tcPr>
            <w:tcW w:w="721" w:type="dxa"/>
            <w:noWrap/>
            <w:vAlign w:val="center"/>
            <w:hideMark/>
          </w:tcPr>
          <w:p w14:paraId="00BDE911" w14:textId="77777777" w:rsidR="00DE4516" w:rsidRPr="00A46ADC" w:rsidRDefault="00DE4516" w:rsidP="00DE4516">
            <w:pPr>
              <w:pStyle w:val="TableBody"/>
              <w:autoSpaceDE w:val="0"/>
              <w:autoSpaceDN w:val="0"/>
              <w:adjustRightInd w:val="0"/>
              <w:jc w:val="right"/>
              <w:rPr>
                <w:rFonts w:cs="Calibri"/>
                <w:color w:val="000000"/>
                <w:szCs w:val="16"/>
              </w:rPr>
            </w:pPr>
            <w:r w:rsidRPr="00A46ADC">
              <w:t>11.8</w:t>
            </w:r>
          </w:p>
        </w:tc>
        <w:tc>
          <w:tcPr>
            <w:tcW w:w="721" w:type="dxa"/>
            <w:noWrap/>
            <w:vAlign w:val="center"/>
            <w:hideMark/>
          </w:tcPr>
          <w:p w14:paraId="10A2DD76" w14:textId="77777777" w:rsidR="00DE4516" w:rsidRPr="00A46ADC" w:rsidRDefault="00DE4516" w:rsidP="00DE4516">
            <w:pPr>
              <w:pStyle w:val="TableBody"/>
              <w:autoSpaceDE w:val="0"/>
              <w:autoSpaceDN w:val="0"/>
              <w:adjustRightInd w:val="0"/>
              <w:jc w:val="right"/>
              <w:rPr>
                <w:rFonts w:cs="Calibri"/>
                <w:color w:val="000000"/>
                <w:szCs w:val="16"/>
              </w:rPr>
            </w:pPr>
            <w:r w:rsidRPr="00A46ADC">
              <w:t>12.0</w:t>
            </w:r>
          </w:p>
        </w:tc>
        <w:tc>
          <w:tcPr>
            <w:tcW w:w="723" w:type="dxa"/>
            <w:noWrap/>
            <w:vAlign w:val="center"/>
          </w:tcPr>
          <w:p w14:paraId="5316B8C1" w14:textId="77777777" w:rsidR="00DE4516" w:rsidRPr="00A46ADC" w:rsidRDefault="00DE4516" w:rsidP="00DE4516">
            <w:pPr>
              <w:pStyle w:val="TableBody"/>
              <w:autoSpaceDE w:val="0"/>
              <w:autoSpaceDN w:val="0"/>
              <w:adjustRightInd w:val="0"/>
              <w:jc w:val="right"/>
              <w:rPr>
                <w:rFonts w:cs="Calibri"/>
                <w:color w:val="000000"/>
                <w:szCs w:val="16"/>
              </w:rPr>
            </w:pPr>
            <w:r w:rsidRPr="00A46ADC">
              <w:t>10.8</w:t>
            </w:r>
          </w:p>
        </w:tc>
      </w:tr>
      <w:tr w:rsidR="007F015E" w:rsidRPr="00045A4A" w14:paraId="1950BE56" w14:textId="77777777" w:rsidTr="002C718D">
        <w:trPr>
          <w:cantSplit/>
        </w:trPr>
        <w:tc>
          <w:tcPr>
            <w:tcW w:w="3966" w:type="dxa"/>
            <w:noWrap/>
            <w:vAlign w:val="center"/>
            <w:hideMark/>
          </w:tcPr>
          <w:p w14:paraId="7ABE5394"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t>Education</w:t>
            </w:r>
          </w:p>
        </w:tc>
        <w:tc>
          <w:tcPr>
            <w:tcW w:w="722" w:type="dxa"/>
            <w:noWrap/>
            <w:vAlign w:val="center"/>
            <w:hideMark/>
          </w:tcPr>
          <w:p w14:paraId="729956C3" w14:textId="77777777" w:rsidR="00DE4516" w:rsidRPr="00A46ADC" w:rsidRDefault="00DE4516" w:rsidP="00DE4516">
            <w:pPr>
              <w:pStyle w:val="TableBody"/>
              <w:autoSpaceDE w:val="0"/>
              <w:autoSpaceDN w:val="0"/>
              <w:adjustRightInd w:val="0"/>
              <w:jc w:val="right"/>
              <w:rPr>
                <w:rFonts w:cs="Calibri"/>
                <w:color w:val="000000"/>
                <w:szCs w:val="16"/>
              </w:rPr>
            </w:pPr>
            <w:r w:rsidRPr="00A46ADC">
              <w:t>5.1</w:t>
            </w:r>
          </w:p>
        </w:tc>
        <w:tc>
          <w:tcPr>
            <w:tcW w:w="721" w:type="dxa"/>
            <w:noWrap/>
            <w:vAlign w:val="center"/>
            <w:hideMark/>
          </w:tcPr>
          <w:p w14:paraId="7FA27CBC" w14:textId="77777777" w:rsidR="00DE4516" w:rsidRPr="00A46ADC" w:rsidRDefault="00DE4516" w:rsidP="00DE4516">
            <w:pPr>
              <w:pStyle w:val="TableBody"/>
              <w:autoSpaceDE w:val="0"/>
              <w:autoSpaceDN w:val="0"/>
              <w:adjustRightInd w:val="0"/>
              <w:jc w:val="right"/>
              <w:rPr>
                <w:rFonts w:cs="Calibri"/>
                <w:color w:val="000000"/>
                <w:szCs w:val="16"/>
              </w:rPr>
            </w:pPr>
            <w:r w:rsidRPr="00A46ADC">
              <w:t>6.2</w:t>
            </w:r>
          </w:p>
        </w:tc>
        <w:tc>
          <w:tcPr>
            <w:tcW w:w="721" w:type="dxa"/>
            <w:noWrap/>
            <w:vAlign w:val="center"/>
            <w:hideMark/>
          </w:tcPr>
          <w:p w14:paraId="179828EB" w14:textId="77777777" w:rsidR="00DE4516" w:rsidRPr="00A46ADC" w:rsidRDefault="00DE4516" w:rsidP="00DE4516">
            <w:pPr>
              <w:pStyle w:val="TableBody"/>
              <w:autoSpaceDE w:val="0"/>
              <w:autoSpaceDN w:val="0"/>
              <w:adjustRightInd w:val="0"/>
              <w:jc w:val="right"/>
              <w:rPr>
                <w:rFonts w:cs="Calibri"/>
                <w:color w:val="000000"/>
                <w:szCs w:val="16"/>
              </w:rPr>
            </w:pPr>
            <w:r w:rsidRPr="00A46ADC">
              <w:t>6.6</w:t>
            </w:r>
          </w:p>
        </w:tc>
        <w:tc>
          <w:tcPr>
            <w:tcW w:w="721" w:type="dxa"/>
            <w:noWrap/>
            <w:vAlign w:val="center"/>
            <w:hideMark/>
          </w:tcPr>
          <w:p w14:paraId="43667326" w14:textId="77777777" w:rsidR="00DE4516" w:rsidRPr="00A46ADC" w:rsidRDefault="00DE4516" w:rsidP="00DE4516">
            <w:pPr>
              <w:pStyle w:val="TableBody"/>
              <w:autoSpaceDE w:val="0"/>
              <w:autoSpaceDN w:val="0"/>
              <w:adjustRightInd w:val="0"/>
              <w:jc w:val="right"/>
              <w:rPr>
                <w:rFonts w:cs="Calibri"/>
                <w:color w:val="000000"/>
                <w:szCs w:val="16"/>
              </w:rPr>
            </w:pPr>
            <w:r w:rsidRPr="00A46ADC">
              <w:t>6.1</w:t>
            </w:r>
          </w:p>
        </w:tc>
        <w:tc>
          <w:tcPr>
            <w:tcW w:w="721" w:type="dxa"/>
            <w:noWrap/>
            <w:vAlign w:val="center"/>
            <w:hideMark/>
          </w:tcPr>
          <w:p w14:paraId="4C5C3FFC" w14:textId="77777777" w:rsidR="00DE4516" w:rsidRPr="00A46ADC" w:rsidRDefault="00DE4516" w:rsidP="00DE4516">
            <w:pPr>
              <w:pStyle w:val="TableBody"/>
              <w:autoSpaceDE w:val="0"/>
              <w:autoSpaceDN w:val="0"/>
              <w:adjustRightInd w:val="0"/>
              <w:jc w:val="right"/>
              <w:rPr>
                <w:rFonts w:cs="Calibri"/>
                <w:color w:val="000000"/>
                <w:szCs w:val="16"/>
              </w:rPr>
            </w:pPr>
            <w:r w:rsidRPr="00A46ADC">
              <w:t>5.1</w:t>
            </w:r>
          </w:p>
        </w:tc>
        <w:tc>
          <w:tcPr>
            <w:tcW w:w="721" w:type="dxa"/>
            <w:noWrap/>
            <w:vAlign w:val="center"/>
            <w:hideMark/>
          </w:tcPr>
          <w:p w14:paraId="0A0F95D2" w14:textId="77777777" w:rsidR="00DE4516" w:rsidRPr="00A46ADC" w:rsidRDefault="00DE4516" w:rsidP="00DE4516">
            <w:pPr>
              <w:pStyle w:val="TableBody"/>
              <w:autoSpaceDE w:val="0"/>
              <w:autoSpaceDN w:val="0"/>
              <w:adjustRightInd w:val="0"/>
              <w:jc w:val="right"/>
              <w:rPr>
                <w:rFonts w:cs="Calibri"/>
                <w:color w:val="000000"/>
                <w:szCs w:val="16"/>
              </w:rPr>
            </w:pPr>
            <w:r w:rsidRPr="00A46ADC">
              <w:t>5.4</w:t>
            </w:r>
          </w:p>
        </w:tc>
        <w:tc>
          <w:tcPr>
            <w:tcW w:w="723" w:type="dxa"/>
            <w:noWrap/>
            <w:vAlign w:val="center"/>
          </w:tcPr>
          <w:p w14:paraId="12F342A7"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7F015E" w:rsidRPr="00045A4A" w14:paraId="0EB89AD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49A2AF86" w14:textId="77777777" w:rsidR="00DE4516" w:rsidRPr="00A46ADC" w:rsidRDefault="00DE4516" w:rsidP="00DE4516">
            <w:pPr>
              <w:pStyle w:val="TableBody"/>
              <w:autoSpaceDE w:val="0"/>
              <w:autoSpaceDN w:val="0"/>
              <w:adjustRightInd w:val="0"/>
              <w:ind w:left="339"/>
              <w:jc w:val="both"/>
              <w:rPr>
                <w:rFonts w:cs="Calibri"/>
                <w:color w:val="000000"/>
                <w:szCs w:val="16"/>
              </w:rPr>
            </w:pPr>
            <w:r w:rsidRPr="00A46ADC">
              <w:t>Other</w:t>
            </w:r>
          </w:p>
        </w:tc>
        <w:tc>
          <w:tcPr>
            <w:tcW w:w="722" w:type="dxa"/>
            <w:noWrap/>
            <w:vAlign w:val="center"/>
            <w:hideMark/>
          </w:tcPr>
          <w:p w14:paraId="0134900F" w14:textId="77777777" w:rsidR="00DE4516" w:rsidRPr="00A46ADC" w:rsidRDefault="00DE4516" w:rsidP="00DE4516">
            <w:pPr>
              <w:pStyle w:val="TableBody"/>
              <w:autoSpaceDE w:val="0"/>
              <w:autoSpaceDN w:val="0"/>
              <w:adjustRightInd w:val="0"/>
              <w:jc w:val="right"/>
              <w:rPr>
                <w:rFonts w:cs="Calibri"/>
                <w:color w:val="000000"/>
                <w:szCs w:val="16"/>
              </w:rPr>
            </w:pPr>
            <w:r w:rsidRPr="00A46ADC">
              <w:t>4.8</w:t>
            </w:r>
          </w:p>
        </w:tc>
        <w:tc>
          <w:tcPr>
            <w:tcW w:w="721" w:type="dxa"/>
            <w:noWrap/>
            <w:vAlign w:val="center"/>
            <w:hideMark/>
          </w:tcPr>
          <w:p w14:paraId="588743E6" w14:textId="77777777" w:rsidR="00DE4516" w:rsidRPr="00A46ADC" w:rsidRDefault="00DE4516" w:rsidP="00DE4516">
            <w:pPr>
              <w:pStyle w:val="TableBody"/>
              <w:autoSpaceDE w:val="0"/>
              <w:autoSpaceDN w:val="0"/>
              <w:adjustRightInd w:val="0"/>
              <w:jc w:val="right"/>
              <w:rPr>
                <w:rFonts w:cs="Calibri"/>
                <w:color w:val="000000"/>
                <w:szCs w:val="16"/>
              </w:rPr>
            </w:pPr>
            <w:r w:rsidRPr="00A46ADC">
              <w:t>6.1</w:t>
            </w:r>
          </w:p>
        </w:tc>
        <w:tc>
          <w:tcPr>
            <w:tcW w:w="721" w:type="dxa"/>
            <w:noWrap/>
            <w:vAlign w:val="center"/>
            <w:hideMark/>
          </w:tcPr>
          <w:p w14:paraId="5844AE17" w14:textId="77777777" w:rsidR="00DE4516" w:rsidRPr="00A46ADC" w:rsidRDefault="00DE4516" w:rsidP="00DE4516">
            <w:pPr>
              <w:pStyle w:val="TableBody"/>
              <w:autoSpaceDE w:val="0"/>
              <w:autoSpaceDN w:val="0"/>
              <w:adjustRightInd w:val="0"/>
              <w:jc w:val="right"/>
              <w:rPr>
                <w:rFonts w:cs="Calibri"/>
                <w:color w:val="000000"/>
                <w:szCs w:val="16"/>
              </w:rPr>
            </w:pPr>
            <w:r w:rsidRPr="00A46ADC">
              <w:t>6.7</w:t>
            </w:r>
          </w:p>
        </w:tc>
        <w:tc>
          <w:tcPr>
            <w:tcW w:w="721" w:type="dxa"/>
            <w:noWrap/>
            <w:vAlign w:val="center"/>
            <w:hideMark/>
          </w:tcPr>
          <w:p w14:paraId="5DD77DFF" w14:textId="77777777" w:rsidR="00DE4516" w:rsidRPr="00A46ADC" w:rsidRDefault="00DE4516" w:rsidP="00DE4516">
            <w:pPr>
              <w:pStyle w:val="TableBody"/>
              <w:autoSpaceDE w:val="0"/>
              <w:autoSpaceDN w:val="0"/>
              <w:adjustRightInd w:val="0"/>
              <w:jc w:val="right"/>
              <w:rPr>
                <w:rFonts w:cs="Calibri"/>
                <w:color w:val="000000"/>
                <w:szCs w:val="16"/>
              </w:rPr>
            </w:pPr>
            <w:r w:rsidRPr="00A46ADC">
              <w:t>6.4</w:t>
            </w:r>
          </w:p>
        </w:tc>
        <w:tc>
          <w:tcPr>
            <w:tcW w:w="721" w:type="dxa"/>
            <w:noWrap/>
            <w:vAlign w:val="center"/>
            <w:hideMark/>
          </w:tcPr>
          <w:p w14:paraId="2F099114" w14:textId="77777777" w:rsidR="00DE4516" w:rsidRPr="00A46ADC" w:rsidRDefault="00DE4516" w:rsidP="00DE4516">
            <w:pPr>
              <w:pStyle w:val="TableBody"/>
              <w:autoSpaceDE w:val="0"/>
              <w:autoSpaceDN w:val="0"/>
              <w:adjustRightInd w:val="0"/>
              <w:jc w:val="right"/>
              <w:rPr>
                <w:rFonts w:cs="Calibri"/>
                <w:color w:val="000000"/>
                <w:szCs w:val="16"/>
              </w:rPr>
            </w:pPr>
            <w:r w:rsidRPr="00A46ADC">
              <w:t>5.5</w:t>
            </w:r>
          </w:p>
        </w:tc>
        <w:tc>
          <w:tcPr>
            <w:tcW w:w="721" w:type="dxa"/>
            <w:noWrap/>
            <w:vAlign w:val="center"/>
            <w:hideMark/>
          </w:tcPr>
          <w:p w14:paraId="1D0F8642" w14:textId="77777777" w:rsidR="00DE4516" w:rsidRPr="00A46ADC" w:rsidRDefault="00DE4516" w:rsidP="00DE4516">
            <w:pPr>
              <w:pStyle w:val="TableBody"/>
              <w:autoSpaceDE w:val="0"/>
              <w:autoSpaceDN w:val="0"/>
              <w:adjustRightInd w:val="0"/>
              <w:jc w:val="right"/>
              <w:rPr>
                <w:rFonts w:cs="Calibri"/>
                <w:color w:val="000000"/>
                <w:szCs w:val="16"/>
              </w:rPr>
            </w:pPr>
            <w:r w:rsidRPr="00A46ADC">
              <w:t>5.8</w:t>
            </w:r>
          </w:p>
        </w:tc>
        <w:tc>
          <w:tcPr>
            <w:tcW w:w="723" w:type="dxa"/>
            <w:noWrap/>
            <w:vAlign w:val="center"/>
          </w:tcPr>
          <w:p w14:paraId="779E4B38"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7F015E" w:rsidRPr="00045A4A" w14:paraId="7C8FD197" w14:textId="77777777" w:rsidTr="002C718D">
        <w:trPr>
          <w:cantSplit/>
        </w:trPr>
        <w:tc>
          <w:tcPr>
            <w:tcW w:w="3966" w:type="dxa"/>
            <w:noWrap/>
            <w:vAlign w:val="center"/>
            <w:hideMark/>
          </w:tcPr>
          <w:p w14:paraId="5B19929B" w14:textId="77777777" w:rsidR="00DE4516" w:rsidRPr="00A46ADC" w:rsidRDefault="00DE4516" w:rsidP="00DE4516">
            <w:pPr>
              <w:pStyle w:val="TableBody"/>
              <w:autoSpaceDE w:val="0"/>
              <w:autoSpaceDN w:val="0"/>
              <w:adjustRightInd w:val="0"/>
              <w:jc w:val="both"/>
              <w:rPr>
                <w:rFonts w:cs="Calibri"/>
                <w:color w:val="000000"/>
                <w:szCs w:val="16"/>
              </w:rPr>
            </w:pPr>
            <w:r w:rsidRPr="00A46ADC">
              <w:t>Financial intermediation services indirectly measured</w:t>
            </w:r>
          </w:p>
        </w:tc>
        <w:tc>
          <w:tcPr>
            <w:tcW w:w="722" w:type="dxa"/>
            <w:noWrap/>
            <w:vAlign w:val="center"/>
            <w:hideMark/>
          </w:tcPr>
          <w:p w14:paraId="7F1A3659"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721" w:type="dxa"/>
            <w:noWrap/>
            <w:vAlign w:val="center"/>
            <w:hideMark/>
          </w:tcPr>
          <w:p w14:paraId="2BA3DFB5" w14:textId="77777777" w:rsidR="00DE4516" w:rsidRPr="00A46ADC" w:rsidRDefault="00DE4516" w:rsidP="00DE4516">
            <w:pPr>
              <w:pStyle w:val="TableBody"/>
              <w:autoSpaceDE w:val="0"/>
              <w:autoSpaceDN w:val="0"/>
              <w:adjustRightInd w:val="0"/>
              <w:jc w:val="right"/>
              <w:rPr>
                <w:rFonts w:cs="Calibri"/>
                <w:color w:val="000000"/>
                <w:szCs w:val="16"/>
              </w:rPr>
            </w:pPr>
            <w:r w:rsidRPr="00A46ADC">
              <w:t>−2.6</w:t>
            </w:r>
          </w:p>
        </w:tc>
        <w:tc>
          <w:tcPr>
            <w:tcW w:w="721" w:type="dxa"/>
            <w:noWrap/>
            <w:vAlign w:val="center"/>
            <w:hideMark/>
          </w:tcPr>
          <w:p w14:paraId="48C9E178"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c>
          <w:tcPr>
            <w:tcW w:w="721" w:type="dxa"/>
            <w:noWrap/>
            <w:vAlign w:val="center"/>
            <w:hideMark/>
          </w:tcPr>
          <w:p w14:paraId="03DB93B6" w14:textId="77777777" w:rsidR="00DE4516" w:rsidRPr="00A46ADC" w:rsidRDefault="00DE4516" w:rsidP="00DE4516">
            <w:pPr>
              <w:pStyle w:val="TableBody"/>
              <w:autoSpaceDE w:val="0"/>
              <w:autoSpaceDN w:val="0"/>
              <w:adjustRightInd w:val="0"/>
              <w:jc w:val="right"/>
              <w:rPr>
                <w:rFonts w:cs="Calibri"/>
                <w:color w:val="000000"/>
                <w:szCs w:val="16"/>
              </w:rPr>
            </w:pPr>
            <w:r w:rsidRPr="00A46ADC">
              <w:t>−2.8</w:t>
            </w:r>
          </w:p>
        </w:tc>
        <w:tc>
          <w:tcPr>
            <w:tcW w:w="721" w:type="dxa"/>
            <w:noWrap/>
            <w:vAlign w:val="center"/>
            <w:hideMark/>
          </w:tcPr>
          <w:p w14:paraId="19BE5BCD" w14:textId="77777777" w:rsidR="00DE4516" w:rsidRPr="00A46ADC" w:rsidRDefault="00DE4516" w:rsidP="00DE4516">
            <w:pPr>
              <w:pStyle w:val="TableBody"/>
              <w:autoSpaceDE w:val="0"/>
              <w:autoSpaceDN w:val="0"/>
              <w:adjustRightInd w:val="0"/>
              <w:jc w:val="right"/>
              <w:rPr>
                <w:rFonts w:cs="Calibri"/>
                <w:color w:val="000000"/>
                <w:szCs w:val="16"/>
              </w:rPr>
            </w:pPr>
            <w:r w:rsidRPr="00A46ADC">
              <w:t>−2.5</w:t>
            </w:r>
          </w:p>
        </w:tc>
        <w:tc>
          <w:tcPr>
            <w:tcW w:w="721" w:type="dxa"/>
            <w:noWrap/>
            <w:vAlign w:val="center"/>
            <w:hideMark/>
          </w:tcPr>
          <w:p w14:paraId="36D4812B" w14:textId="77777777" w:rsidR="00DE4516" w:rsidRPr="00A46ADC" w:rsidRDefault="00DE4516" w:rsidP="00DE4516">
            <w:pPr>
              <w:pStyle w:val="TableBody"/>
              <w:autoSpaceDE w:val="0"/>
              <w:autoSpaceDN w:val="0"/>
              <w:adjustRightInd w:val="0"/>
              <w:jc w:val="right"/>
              <w:rPr>
                <w:rFonts w:cs="Calibri"/>
                <w:color w:val="000000"/>
                <w:szCs w:val="16"/>
              </w:rPr>
            </w:pPr>
            <w:r w:rsidRPr="00A46ADC">
              <w:t>−2.7</w:t>
            </w:r>
          </w:p>
        </w:tc>
        <w:tc>
          <w:tcPr>
            <w:tcW w:w="723" w:type="dxa"/>
            <w:noWrap/>
            <w:vAlign w:val="center"/>
          </w:tcPr>
          <w:p w14:paraId="116C2338" w14:textId="77777777" w:rsidR="00DE4516" w:rsidRPr="00A46ADC" w:rsidRDefault="00DE4516" w:rsidP="00DE4516">
            <w:pPr>
              <w:pStyle w:val="TableBody"/>
              <w:autoSpaceDE w:val="0"/>
              <w:autoSpaceDN w:val="0"/>
              <w:adjustRightInd w:val="0"/>
              <w:jc w:val="right"/>
              <w:rPr>
                <w:rFonts w:cs="Calibri"/>
                <w:color w:val="000000"/>
                <w:szCs w:val="16"/>
              </w:rPr>
            </w:pPr>
            <w:r w:rsidRPr="00A46ADC">
              <w:t>−2.8</w:t>
            </w:r>
          </w:p>
        </w:tc>
      </w:tr>
      <w:tr w:rsidR="007F015E" w:rsidRPr="00045A4A" w14:paraId="1F7D3BB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noWrap/>
            <w:vAlign w:val="center"/>
            <w:hideMark/>
          </w:tcPr>
          <w:p w14:paraId="34687B2D"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Real GDP growth (%)</w:t>
            </w:r>
          </w:p>
        </w:tc>
        <w:tc>
          <w:tcPr>
            <w:tcW w:w="722" w:type="dxa"/>
            <w:noWrap/>
            <w:vAlign w:val="center"/>
            <w:hideMark/>
          </w:tcPr>
          <w:p w14:paraId="274A47CA"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1.5</w:t>
            </w:r>
          </w:p>
        </w:tc>
        <w:tc>
          <w:tcPr>
            <w:tcW w:w="721" w:type="dxa"/>
            <w:noWrap/>
            <w:vAlign w:val="center"/>
            <w:hideMark/>
          </w:tcPr>
          <w:p w14:paraId="67B0CD13"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4.6</w:t>
            </w:r>
          </w:p>
        </w:tc>
        <w:tc>
          <w:tcPr>
            <w:tcW w:w="721" w:type="dxa"/>
            <w:noWrap/>
            <w:vAlign w:val="center"/>
            <w:hideMark/>
          </w:tcPr>
          <w:p w14:paraId="04B830B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5.1</w:t>
            </w:r>
          </w:p>
        </w:tc>
        <w:tc>
          <w:tcPr>
            <w:tcW w:w="721" w:type="dxa"/>
            <w:noWrap/>
            <w:vAlign w:val="center"/>
            <w:hideMark/>
          </w:tcPr>
          <w:p w14:paraId="2930A129"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0.3</w:t>
            </w:r>
          </w:p>
        </w:tc>
        <w:tc>
          <w:tcPr>
            <w:tcW w:w="721" w:type="dxa"/>
            <w:noWrap/>
            <w:vAlign w:val="center"/>
            <w:hideMark/>
          </w:tcPr>
          <w:p w14:paraId="49A377D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0.9</w:t>
            </w:r>
          </w:p>
        </w:tc>
        <w:tc>
          <w:tcPr>
            <w:tcW w:w="721" w:type="dxa"/>
            <w:noWrap/>
            <w:vAlign w:val="center"/>
            <w:hideMark/>
          </w:tcPr>
          <w:p w14:paraId="1F3933B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-0.8</w:t>
            </w:r>
          </w:p>
        </w:tc>
        <w:tc>
          <w:tcPr>
            <w:tcW w:w="723" w:type="dxa"/>
            <w:noWrap/>
            <w:vAlign w:val="center"/>
            <w:hideMark/>
          </w:tcPr>
          <w:p w14:paraId="7080FD2B"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-6.4</w:t>
            </w:r>
          </w:p>
        </w:tc>
      </w:tr>
      <w:tr w:rsidR="007F015E" w:rsidRPr="00045A4A" w14:paraId="5B417C68" w14:textId="77777777" w:rsidTr="002C718D">
        <w:trPr>
          <w:cantSplit/>
        </w:trPr>
        <w:tc>
          <w:tcPr>
            <w:tcW w:w="3966" w:type="dxa"/>
            <w:noWrap/>
            <w:vAlign w:val="center"/>
            <w:hideMark/>
          </w:tcPr>
          <w:p w14:paraId="226937FF"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Oil sector GDP</w:t>
            </w:r>
          </w:p>
        </w:tc>
        <w:tc>
          <w:tcPr>
            <w:tcW w:w="722" w:type="dxa"/>
            <w:noWrap/>
            <w:vAlign w:val="center"/>
            <w:hideMark/>
          </w:tcPr>
          <w:p w14:paraId="3995FAEB" w14:textId="77777777" w:rsidR="00DE4516" w:rsidRPr="00A46ADC" w:rsidRDefault="00DE4516" w:rsidP="00DE4516">
            <w:pPr>
              <w:pStyle w:val="TableBody"/>
              <w:autoSpaceDE w:val="0"/>
              <w:autoSpaceDN w:val="0"/>
              <w:adjustRightInd w:val="0"/>
              <w:jc w:val="right"/>
              <w:rPr>
                <w:rFonts w:cs="Calibri"/>
                <w:color w:val="000000"/>
                <w:szCs w:val="16"/>
              </w:rPr>
            </w:pPr>
            <w:r w:rsidRPr="00A46ADC">
              <w:t>−1.6</w:t>
            </w:r>
          </w:p>
        </w:tc>
        <w:tc>
          <w:tcPr>
            <w:tcW w:w="721" w:type="dxa"/>
            <w:noWrap/>
            <w:vAlign w:val="center"/>
            <w:hideMark/>
          </w:tcPr>
          <w:p w14:paraId="49C7D593" w14:textId="77777777" w:rsidR="00DE4516" w:rsidRPr="00A46ADC" w:rsidRDefault="00DE4516" w:rsidP="00DE4516">
            <w:pPr>
              <w:pStyle w:val="TableBody"/>
              <w:autoSpaceDE w:val="0"/>
              <w:autoSpaceDN w:val="0"/>
              <w:adjustRightInd w:val="0"/>
              <w:jc w:val="right"/>
              <w:rPr>
                <w:rFonts w:cs="Calibri"/>
                <w:color w:val="000000"/>
                <w:szCs w:val="16"/>
              </w:rPr>
            </w:pPr>
            <w:r w:rsidRPr="00A46ADC">
              <w:t>4.4</w:t>
            </w:r>
          </w:p>
        </w:tc>
        <w:tc>
          <w:tcPr>
            <w:tcW w:w="721" w:type="dxa"/>
            <w:noWrap/>
            <w:vAlign w:val="center"/>
            <w:hideMark/>
          </w:tcPr>
          <w:p w14:paraId="125937D4" w14:textId="77777777" w:rsidR="00DE4516" w:rsidRPr="00A46ADC" w:rsidRDefault="00DE4516" w:rsidP="00DE4516">
            <w:pPr>
              <w:pStyle w:val="TableBody"/>
              <w:autoSpaceDE w:val="0"/>
              <w:autoSpaceDN w:val="0"/>
              <w:adjustRightInd w:val="0"/>
              <w:jc w:val="right"/>
              <w:rPr>
                <w:rFonts w:cs="Calibri"/>
                <w:color w:val="000000"/>
                <w:szCs w:val="16"/>
              </w:rPr>
            </w:pPr>
            <w:r w:rsidRPr="00A46ADC">
              <w:t>3.8</w:t>
            </w:r>
          </w:p>
        </w:tc>
        <w:tc>
          <w:tcPr>
            <w:tcW w:w="721" w:type="dxa"/>
            <w:noWrap/>
            <w:vAlign w:val="center"/>
            <w:hideMark/>
          </w:tcPr>
          <w:p w14:paraId="03BF882D" w14:textId="77777777" w:rsidR="00DE4516" w:rsidRPr="00A46ADC" w:rsidRDefault="00DE4516" w:rsidP="00DE4516">
            <w:pPr>
              <w:pStyle w:val="TableBody"/>
              <w:autoSpaceDE w:val="0"/>
              <w:autoSpaceDN w:val="0"/>
              <w:adjustRightInd w:val="0"/>
              <w:jc w:val="right"/>
              <w:rPr>
                <w:rFonts w:cs="Calibri"/>
                <w:color w:val="000000"/>
                <w:szCs w:val="16"/>
              </w:rPr>
            </w:pPr>
            <w:r w:rsidRPr="00A46ADC">
              <w:t>−3.0</w:t>
            </w:r>
          </w:p>
        </w:tc>
        <w:tc>
          <w:tcPr>
            <w:tcW w:w="721" w:type="dxa"/>
            <w:noWrap/>
            <w:vAlign w:val="center"/>
            <w:hideMark/>
          </w:tcPr>
          <w:p w14:paraId="65D7D6C0" w14:textId="77777777" w:rsidR="00DE4516" w:rsidRPr="00A46ADC" w:rsidRDefault="00DE4516" w:rsidP="00DE4516">
            <w:pPr>
              <w:pStyle w:val="TableBody"/>
              <w:autoSpaceDE w:val="0"/>
              <w:autoSpaceDN w:val="0"/>
              <w:adjustRightInd w:val="0"/>
              <w:jc w:val="right"/>
              <w:rPr>
                <w:rFonts w:cs="Calibri"/>
                <w:color w:val="000000"/>
                <w:szCs w:val="16"/>
              </w:rPr>
            </w:pPr>
            <w:r w:rsidRPr="00A46ADC">
              <w:t>2.3</w:t>
            </w:r>
          </w:p>
        </w:tc>
        <w:tc>
          <w:tcPr>
            <w:tcW w:w="721" w:type="dxa"/>
            <w:noWrap/>
            <w:vAlign w:val="center"/>
            <w:hideMark/>
          </w:tcPr>
          <w:p w14:paraId="24566AA1" w14:textId="77777777" w:rsidR="00DE4516" w:rsidRPr="00A46ADC" w:rsidRDefault="00DE4516" w:rsidP="00DE4516">
            <w:pPr>
              <w:pStyle w:val="TableBody"/>
              <w:autoSpaceDE w:val="0"/>
              <w:autoSpaceDN w:val="0"/>
              <w:adjustRightInd w:val="0"/>
              <w:jc w:val="right"/>
              <w:rPr>
                <w:rFonts w:cs="Calibri"/>
                <w:color w:val="000000"/>
                <w:szCs w:val="16"/>
              </w:rPr>
            </w:pPr>
            <w:r w:rsidRPr="00A46ADC">
              <w:t>0.2</w:t>
            </w:r>
          </w:p>
        </w:tc>
        <w:tc>
          <w:tcPr>
            <w:tcW w:w="723" w:type="dxa"/>
            <w:noWrap/>
            <w:vAlign w:val="center"/>
            <w:hideMark/>
          </w:tcPr>
          <w:p w14:paraId="22456507"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7F015E" w:rsidRPr="00045A4A" w14:paraId="1D06F4D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966" w:type="dxa"/>
            <w:tcBorders>
              <w:bottom w:val="single" w:sz="4" w:space="0" w:color="auto"/>
            </w:tcBorders>
            <w:noWrap/>
            <w:vAlign w:val="center"/>
            <w:hideMark/>
          </w:tcPr>
          <w:p w14:paraId="7A4E8AD4"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Non</w:t>
            </w:r>
            <w:r w:rsidRPr="00A46ADC">
              <w:noBreakHyphen/>
              <w:t>oil sector GDP</w:t>
            </w:r>
          </w:p>
        </w:tc>
        <w:tc>
          <w:tcPr>
            <w:tcW w:w="722" w:type="dxa"/>
            <w:tcBorders>
              <w:bottom w:val="single" w:sz="4" w:space="0" w:color="auto"/>
            </w:tcBorders>
            <w:noWrap/>
            <w:vAlign w:val="center"/>
            <w:hideMark/>
          </w:tcPr>
          <w:p w14:paraId="3230DA2E" w14:textId="77777777" w:rsidR="00DE4516" w:rsidRPr="00A46ADC" w:rsidRDefault="00DE4516" w:rsidP="00DE4516">
            <w:pPr>
              <w:pStyle w:val="TableBody"/>
              <w:autoSpaceDE w:val="0"/>
              <w:autoSpaceDN w:val="0"/>
              <w:adjustRightInd w:val="0"/>
              <w:jc w:val="right"/>
              <w:rPr>
                <w:rFonts w:cs="Calibri"/>
                <w:color w:val="000000"/>
                <w:szCs w:val="16"/>
              </w:rPr>
            </w:pPr>
            <w:r w:rsidRPr="00A46ADC">
              <w:t>3.8</w:t>
            </w:r>
          </w:p>
        </w:tc>
        <w:tc>
          <w:tcPr>
            <w:tcW w:w="721" w:type="dxa"/>
            <w:tcBorders>
              <w:bottom w:val="single" w:sz="4" w:space="0" w:color="auto"/>
            </w:tcBorders>
            <w:noWrap/>
            <w:vAlign w:val="center"/>
            <w:hideMark/>
          </w:tcPr>
          <w:p w14:paraId="172EF799" w14:textId="77777777" w:rsidR="00DE4516" w:rsidRPr="00A46ADC" w:rsidRDefault="00DE4516" w:rsidP="00DE4516">
            <w:pPr>
              <w:pStyle w:val="TableBody"/>
              <w:autoSpaceDE w:val="0"/>
              <w:autoSpaceDN w:val="0"/>
              <w:adjustRightInd w:val="0"/>
              <w:jc w:val="right"/>
              <w:rPr>
                <w:rFonts w:cs="Calibri"/>
                <w:color w:val="000000"/>
                <w:szCs w:val="16"/>
              </w:rPr>
            </w:pPr>
            <w:r w:rsidRPr="00A46ADC">
              <w:t>4.8</w:t>
            </w:r>
          </w:p>
        </w:tc>
        <w:tc>
          <w:tcPr>
            <w:tcW w:w="721" w:type="dxa"/>
            <w:tcBorders>
              <w:bottom w:val="single" w:sz="4" w:space="0" w:color="auto"/>
            </w:tcBorders>
            <w:noWrap/>
            <w:vAlign w:val="center"/>
            <w:hideMark/>
          </w:tcPr>
          <w:p w14:paraId="7FDD56BC" w14:textId="77777777" w:rsidR="00DE4516" w:rsidRPr="00A46ADC" w:rsidRDefault="00DE4516" w:rsidP="00DE4516">
            <w:pPr>
              <w:pStyle w:val="TableBody"/>
              <w:autoSpaceDE w:val="0"/>
              <w:autoSpaceDN w:val="0"/>
              <w:adjustRightInd w:val="0"/>
              <w:jc w:val="right"/>
              <w:rPr>
                <w:rFonts w:cs="Calibri"/>
                <w:color w:val="000000"/>
                <w:szCs w:val="16"/>
              </w:rPr>
            </w:pPr>
            <w:r w:rsidRPr="00A46ADC">
              <w:t>6.1</w:t>
            </w:r>
          </w:p>
        </w:tc>
        <w:tc>
          <w:tcPr>
            <w:tcW w:w="721" w:type="dxa"/>
            <w:tcBorders>
              <w:bottom w:val="single" w:sz="4" w:space="0" w:color="auto"/>
            </w:tcBorders>
            <w:noWrap/>
            <w:vAlign w:val="center"/>
            <w:hideMark/>
          </w:tcPr>
          <w:p w14:paraId="6955664D" w14:textId="77777777" w:rsidR="00DE4516" w:rsidRPr="00A46ADC" w:rsidRDefault="00DE4516" w:rsidP="00DE4516">
            <w:pPr>
              <w:pStyle w:val="TableBody"/>
              <w:autoSpaceDE w:val="0"/>
              <w:autoSpaceDN w:val="0"/>
              <w:adjustRightInd w:val="0"/>
              <w:jc w:val="right"/>
              <w:rPr>
                <w:rFonts w:cs="Calibri"/>
                <w:color w:val="000000"/>
                <w:szCs w:val="16"/>
              </w:rPr>
            </w:pPr>
            <w:r w:rsidRPr="00A46ADC">
              <w:t>2.8</w:t>
            </w:r>
          </w:p>
        </w:tc>
        <w:tc>
          <w:tcPr>
            <w:tcW w:w="721" w:type="dxa"/>
            <w:tcBorders>
              <w:bottom w:val="single" w:sz="4" w:space="0" w:color="auto"/>
            </w:tcBorders>
            <w:noWrap/>
            <w:vAlign w:val="center"/>
            <w:hideMark/>
          </w:tcPr>
          <w:p w14:paraId="0C42897E" w14:textId="77777777" w:rsidR="00DE4516" w:rsidRPr="00A46ADC" w:rsidRDefault="00DE4516" w:rsidP="00DE4516">
            <w:pPr>
              <w:pStyle w:val="TableBody"/>
              <w:autoSpaceDE w:val="0"/>
              <w:autoSpaceDN w:val="0"/>
              <w:adjustRightInd w:val="0"/>
              <w:jc w:val="right"/>
              <w:rPr>
                <w:rFonts w:cs="Calibri"/>
                <w:color w:val="000000"/>
                <w:szCs w:val="16"/>
              </w:rPr>
            </w:pPr>
            <w:r w:rsidRPr="00A46ADC">
              <w:t>0.0</w:t>
            </w:r>
          </w:p>
        </w:tc>
        <w:tc>
          <w:tcPr>
            <w:tcW w:w="721" w:type="dxa"/>
            <w:tcBorders>
              <w:bottom w:val="single" w:sz="4" w:space="0" w:color="auto"/>
            </w:tcBorders>
            <w:noWrap/>
            <w:vAlign w:val="center"/>
            <w:hideMark/>
          </w:tcPr>
          <w:p w14:paraId="6FA1615D" w14:textId="77777777" w:rsidR="00DE4516" w:rsidRPr="00A46ADC" w:rsidRDefault="00DE4516" w:rsidP="00DE4516">
            <w:pPr>
              <w:pStyle w:val="TableBody"/>
              <w:autoSpaceDE w:val="0"/>
              <w:autoSpaceDN w:val="0"/>
              <w:adjustRightInd w:val="0"/>
              <w:jc w:val="right"/>
              <w:rPr>
                <w:rFonts w:cs="Calibri"/>
                <w:color w:val="000000"/>
                <w:szCs w:val="16"/>
              </w:rPr>
            </w:pPr>
            <w:r w:rsidRPr="00A46ADC">
              <w:t>−1.5</w:t>
            </w:r>
          </w:p>
        </w:tc>
        <w:tc>
          <w:tcPr>
            <w:tcW w:w="723" w:type="dxa"/>
            <w:tcBorders>
              <w:bottom w:val="single" w:sz="4" w:space="0" w:color="auto"/>
            </w:tcBorders>
            <w:noWrap/>
            <w:vAlign w:val="center"/>
            <w:hideMark/>
          </w:tcPr>
          <w:p w14:paraId="1D212EA3"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bl>
    <w:p w14:paraId="7A5512E4" w14:textId="7A3D1DE1" w:rsidR="00DE4516" w:rsidRDefault="00DE4516">
      <w:pPr>
        <w:pStyle w:val="TableNote"/>
        <w:autoSpaceDE w:val="0"/>
        <w:autoSpaceDN w:val="0"/>
        <w:adjustRightInd w:val="0"/>
        <w:contextualSpacing w:val="0"/>
      </w:pPr>
      <w:r>
        <w:t>..</w:t>
      </w:r>
      <w:r>
        <w:tab/>
        <w:t>Not available.</w:t>
      </w:r>
    </w:p>
    <w:p w14:paraId="2CC2A692" w14:textId="77777777" w:rsidR="00DE4516" w:rsidRDefault="00DE4516">
      <w:pPr>
        <w:pStyle w:val="TableSource"/>
        <w:autoSpaceDE w:val="0"/>
        <w:autoSpaceDN w:val="0"/>
        <w:adjustRightInd w:val="0"/>
        <w:rPr>
          <w:szCs w:val="24"/>
        </w:rPr>
      </w:pPr>
      <w:r>
        <w:rPr>
          <w:szCs w:val="24"/>
        </w:rPr>
        <w:t>Source:</w:t>
      </w:r>
      <w:r>
        <w:rPr>
          <w:szCs w:val="24"/>
        </w:rPr>
        <w:tab/>
        <w:t>National Centre for Statistics and Information.</w:t>
      </w:r>
    </w:p>
    <w:p w14:paraId="427CFEB0" w14:textId="77777777" w:rsidR="00DE4516" w:rsidRDefault="00DE4516">
      <w:pPr>
        <w:pStyle w:val="BodyText0"/>
        <w:autoSpaceDE w:val="0"/>
        <w:autoSpaceDN w:val="0"/>
        <w:adjustRightInd w:val="0"/>
        <w:rPr>
          <w:szCs w:val="24"/>
        </w:rPr>
      </w:pPr>
      <w:r>
        <w:rPr>
          <w:szCs w:val="24"/>
        </w:rPr>
        <w:t>As at end-2020, Oman's population was 4.6 million, with about 40% non</w:t>
      </w:r>
      <w:r>
        <w:rPr>
          <w:szCs w:val="24"/>
        </w:rPr>
        <w:noBreakHyphen/>
        <w:t>Omani expatriates. Since 2018, the growth in the number of expatriates has slowed significantly</w:t>
      </w:r>
      <w:r w:rsidRPr="00DE4516">
        <w:rPr>
          <w:rStyle w:val="FootnoteReference"/>
        </w:rPr>
        <w:footnoteReference w:id="3"/>
      </w:r>
      <w:r>
        <w:rPr>
          <w:szCs w:val="24"/>
        </w:rPr>
        <w:t>; in 2020, a net outflow of expatriates was observed. The population is very young. The age-dependency ratio</w:t>
      </w:r>
      <w:r w:rsidRPr="00DE4516">
        <w:rPr>
          <w:rStyle w:val="FootnoteReference"/>
        </w:rPr>
        <w:footnoteReference w:id="4"/>
      </w:r>
      <w:r>
        <w:rPr>
          <w:szCs w:val="24"/>
        </w:rPr>
        <w:t xml:space="preserve"> is below 40% (</w:t>
      </w:r>
      <w:r>
        <w:rPr>
          <w:rStyle w:val="citetbl"/>
          <w:szCs w:val="24"/>
        </w:rPr>
        <w:t>Table 1.2</w:t>
      </w:r>
      <w:r>
        <w:rPr>
          <w:szCs w:val="24"/>
        </w:rPr>
        <w:t>). Around half the population is under 30</w:t>
      </w:r>
      <w:r w:rsidRPr="00DE4516">
        <w:rPr>
          <w:rStyle w:val="FootnoteReference"/>
        </w:rPr>
        <w:footnoteReference w:id="5"/>
      </w:r>
      <w:r>
        <w:rPr>
          <w:szCs w:val="24"/>
        </w:rPr>
        <w:t>; among Omanis, young people under 25 accounted for 55% in 2020, while the elderly (above 65) accounted for 4%. Although this age structure implies pressures for the Government to create jobs especially for the young, it facilitates fiscal policy formulation, in terms of taxation and allocation of government spending, as it allays the concerns that are present in economies with ageing population.</w:t>
      </w:r>
    </w:p>
    <w:p w14:paraId="504382FF" w14:textId="77777777" w:rsidR="00DE4516" w:rsidRDefault="00DE4516">
      <w:pPr>
        <w:pStyle w:val="TableTitle"/>
        <w:autoSpaceDE w:val="0"/>
        <w:autoSpaceDN w:val="0"/>
        <w:adjustRightInd w:val="0"/>
      </w:pPr>
      <w:r>
        <w:t>Table 1.2 Oman population, 2014-20</w:t>
      </w:r>
    </w:p>
    <w:p w14:paraId="49056167" w14:textId="77777777" w:rsidR="00DE4516" w:rsidRDefault="00DE4516">
      <w:pPr>
        <w:pStyle w:val="TableTitleCont"/>
        <w:autoSpaceDE w:val="0"/>
        <w:autoSpaceDN w:val="0"/>
        <w:adjustRightInd w:val="0"/>
        <w:rPr>
          <w:b/>
          <w:color w:val="006283"/>
        </w:rPr>
      </w:pPr>
      <w:r>
        <w:rPr>
          <w:b/>
          <w:color w:val="006283"/>
        </w:rPr>
        <w:t>('000)</w:t>
      </w:r>
    </w:p>
    <w:tbl>
      <w:tblPr>
        <w:tblStyle w:val="WTOTable1"/>
        <w:tblW w:w="5000" w:type="pct"/>
        <w:tblLook w:val="05E0" w:firstRow="1" w:lastRow="1" w:firstColumn="1" w:lastColumn="1" w:noHBand="0" w:noVBand="1"/>
      </w:tblPr>
      <w:tblGrid>
        <w:gridCol w:w="2513"/>
        <w:gridCol w:w="928"/>
        <w:gridCol w:w="929"/>
        <w:gridCol w:w="929"/>
        <w:gridCol w:w="929"/>
        <w:gridCol w:w="929"/>
        <w:gridCol w:w="929"/>
        <w:gridCol w:w="930"/>
      </w:tblGrid>
      <w:tr w:rsidR="00DE4516" w:rsidRPr="007F015E" w14:paraId="01C5DBE7" w14:textId="77777777" w:rsidTr="002C718D">
        <w:trPr>
          <w:cnfStyle w:val="100000000000" w:firstRow="1" w:lastRow="0" w:firstColumn="0" w:lastColumn="0" w:oddVBand="0" w:evenVBand="0" w:oddHBand="0" w:evenHBand="0" w:firstRowFirstColumn="0" w:firstRowLastColumn="0" w:lastRowFirstColumn="0" w:lastRowLastColumn="0"/>
          <w:cantSplit/>
        </w:trPr>
        <w:tc>
          <w:tcPr>
            <w:tcW w:w="1394" w:type="pct"/>
            <w:tcBorders>
              <w:top w:val="single" w:sz="4" w:space="0" w:color="auto"/>
            </w:tcBorders>
            <w:noWrap/>
            <w:vAlign w:val="center"/>
            <w:hideMark/>
          </w:tcPr>
          <w:p w14:paraId="5628AB34" w14:textId="77777777" w:rsidR="00DE4516" w:rsidRPr="007F015E" w:rsidRDefault="00DE4516" w:rsidP="00DE4516">
            <w:pPr>
              <w:pStyle w:val="TableHead"/>
              <w:autoSpaceDE w:val="0"/>
              <w:autoSpaceDN w:val="0"/>
              <w:adjustRightInd w:val="0"/>
              <w:jc w:val="both"/>
              <w:rPr>
                <w:b/>
                <w:color w:val="FFFFFF" w:themeColor="background1"/>
                <w:szCs w:val="16"/>
              </w:rPr>
            </w:pPr>
            <w:r w:rsidRPr="007F015E">
              <w:rPr>
                <w:b/>
              </w:rPr>
              <w:t>Age group</w:t>
            </w:r>
          </w:p>
        </w:tc>
        <w:tc>
          <w:tcPr>
            <w:tcW w:w="515" w:type="pct"/>
            <w:tcBorders>
              <w:top w:val="single" w:sz="4" w:space="0" w:color="auto"/>
            </w:tcBorders>
            <w:noWrap/>
            <w:vAlign w:val="center"/>
            <w:hideMark/>
          </w:tcPr>
          <w:p w14:paraId="713CDE1A"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2014</w:t>
            </w:r>
          </w:p>
        </w:tc>
        <w:tc>
          <w:tcPr>
            <w:tcW w:w="515" w:type="pct"/>
            <w:tcBorders>
              <w:top w:val="single" w:sz="4" w:space="0" w:color="auto"/>
            </w:tcBorders>
            <w:noWrap/>
            <w:vAlign w:val="center"/>
            <w:hideMark/>
          </w:tcPr>
          <w:p w14:paraId="47218115"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2015</w:t>
            </w:r>
          </w:p>
        </w:tc>
        <w:tc>
          <w:tcPr>
            <w:tcW w:w="515" w:type="pct"/>
            <w:tcBorders>
              <w:top w:val="single" w:sz="4" w:space="0" w:color="auto"/>
            </w:tcBorders>
            <w:noWrap/>
            <w:vAlign w:val="center"/>
            <w:hideMark/>
          </w:tcPr>
          <w:p w14:paraId="6B61E35C"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2016</w:t>
            </w:r>
          </w:p>
        </w:tc>
        <w:tc>
          <w:tcPr>
            <w:tcW w:w="515" w:type="pct"/>
            <w:tcBorders>
              <w:top w:val="single" w:sz="4" w:space="0" w:color="auto"/>
            </w:tcBorders>
            <w:noWrap/>
            <w:vAlign w:val="center"/>
            <w:hideMark/>
          </w:tcPr>
          <w:p w14:paraId="255C2D5F"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2017</w:t>
            </w:r>
          </w:p>
        </w:tc>
        <w:tc>
          <w:tcPr>
            <w:tcW w:w="515" w:type="pct"/>
            <w:tcBorders>
              <w:top w:val="single" w:sz="4" w:space="0" w:color="auto"/>
            </w:tcBorders>
            <w:noWrap/>
            <w:vAlign w:val="center"/>
            <w:hideMark/>
          </w:tcPr>
          <w:p w14:paraId="5C454D2F"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2018</w:t>
            </w:r>
          </w:p>
        </w:tc>
        <w:tc>
          <w:tcPr>
            <w:tcW w:w="515" w:type="pct"/>
            <w:tcBorders>
              <w:top w:val="single" w:sz="4" w:space="0" w:color="auto"/>
            </w:tcBorders>
            <w:noWrap/>
            <w:vAlign w:val="center"/>
            <w:hideMark/>
          </w:tcPr>
          <w:p w14:paraId="69AEDC56"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2019</w:t>
            </w:r>
          </w:p>
        </w:tc>
        <w:tc>
          <w:tcPr>
            <w:tcW w:w="516" w:type="pct"/>
            <w:tcBorders>
              <w:top w:val="single" w:sz="4" w:space="0" w:color="auto"/>
            </w:tcBorders>
            <w:noWrap/>
            <w:vAlign w:val="center"/>
            <w:hideMark/>
          </w:tcPr>
          <w:p w14:paraId="7447CE65"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2020</w:t>
            </w:r>
          </w:p>
        </w:tc>
      </w:tr>
      <w:tr w:rsidR="00DE4516" w:rsidRPr="00045A4A" w14:paraId="5A6EF5FD" w14:textId="77777777" w:rsidTr="002C718D">
        <w:trPr>
          <w:cantSplit/>
        </w:trPr>
        <w:tc>
          <w:tcPr>
            <w:tcW w:w="5000" w:type="pct"/>
            <w:gridSpan w:val="8"/>
            <w:noWrap/>
            <w:vAlign w:val="center"/>
          </w:tcPr>
          <w:p w14:paraId="1E91CCEA" w14:textId="77777777" w:rsidR="00DE4516" w:rsidRPr="00A46ADC" w:rsidRDefault="00DE4516" w:rsidP="00DE4516">
            <w:pPr>
              <w:pStyle w:val="TableBody"/>
              <w:autoSpaceDE w:val="0"/>
              <w:autoSpaceDN w:val="0"/>
              <w:adjustRightInd w:val="0"/>
              <w:jc w:val="both"/>
              <w:rPr>
                <w:rFonts w:cs="Calibri"/>
                <w:b/>
                <w:color w:val="000000"/>
                <w:szCs w:val="16"/>
              </w:rPr>
            </w:pPr>
            <w:r w:rsidRPr="00A46ADC">
              <w:rPr>
                <w:b/>
              </w:rPr>
              <w:t>Omanis</w:t>
            </w:r>
          </w:p>
        </w:tc>
      </w:tr>
      <w:tr w:rsidR="00DE4516" w:rsidRPr="00045A4A" w14:paraId="286210C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4" w:type="pct"/>
            <w:noWrap/>
            <w:vAlign w:val="center"/>
            <w:hideMark/>
          </w:tcPr>
          <w:p w14:paraId="6DDFD89A" w14:textId="77777777" w:rsidR="00DE4516" w:rsidRPr="00A46ADC" w:rsidRDefault="00DE4516" w:rsidP="00DE4516">
            <w:pPr>
              <w:pStyle w:val="TableBody"/>
              <w:autoSpaceDE w:val="0"/>
              <w:autoSpaceDN w:val="0"/>
              <w:adjustRightInd w:val="0"/>
              <w:jc w:val="both"/>
              <w:rPr>
                <w:rFonts w:cs="Calibri"/>
                <w:color w:val="000000"/>
                <w:szCs w:val="16"/>
              </w:rPr>
            </w:pPr>
            <w:r w:rsidRPr="00A46ADC">
              <w:t>0-14</w:t>
            </w:r>
          </w:p>
        </w:tc>
        <w:tc>
          <w:tcPr>
            <w:tcW w:w="515" w:type="pct"/>
            <w:noWrap/>
            <w:vAlign w:val="center"/>
            <w:hideMark/>
          </w:tcPr>
          <w:p w14:paraId="3F858927" w14:textId="77777777" w:rsidR="00DE4516" w:rsidRPr="00A46ADC" w:rsidRDefault="00DE4516" w:rsidP="00DE4516">
            <w:pPr>
              <w:pStyle w:val="TableBody"/>
              <w:autoSpaceDE w:val="0"/>
              <w:autoSpaceDN w:val="0"/>
              <w:adjustRightInd w:val="0"/>
              <w:jc w:val="right"/>
              <w:rPr>
                <w:rFonts w:cs="Calibri"/>
                <w:color w:val="000000"/>
                <w:szCs w:val="16"/>
              </w:rPr>
            </w:pPr>
            <w:r w:rsidRPr="00A46ADC">
              <w:t>793.9</w:t>
            </w:r>
          </w:p>
        </w:tc>
        <w:tc>
          <w:tcPr>
            <w:tcW w:w="515" w:type="pct"/>
            <w:noWrap/>
            <w:vAlign w:val="center"/>
            <w:hideMark/>
          </w:tcPr>
          <w:p w14:paraId="00EB64BB" w14:textId="77777777" w:rsidR="00DE4516" w:rsidRPr="00A46ADC" w:rsidRDefault="00DE4516" w:rsidP="00DE4516">
            <w:pPr>
              <w:pStyle w:val="TableBody"/>
              <w:autoSpaceDE w:val="0"/>
              <w:autoSpaceDN w:val="0"/>
              <w:adjustRightInd w:val="0"/>
              <w:jc w:val="right"/>
              <w:rPr>
                <w:rFonts w:cs="Calibri"/>
                <w:color w:val="000000"/>
                <w:szCs w:val="16"/>
              </w:rPr>
            </w:pPr>
            <w:r w:rsidRPr="00A46ADC">
              <w:t>837.7</w:t>
            </w:r>
          </w:p>
        </w:tc>
        <w:tc>
          <w:tcPr>
            <w:tcW w:w="515" w:type="pct"/>
            <w:noWrap/>
            <w:vAlign w:val="center"/>
            <w:hideMark/>
          </w:tcPr>
          <w:p w14:paraId="6183F8F4" w14:textId="77777777" w:rsidR="00DE4516" w:rsidRPr="00A46ADC" w:rsidRDefault="00DE4516" w:rsidP="00DE4516">
            <w:pPr>
              <w:pStyle w:val="TableBody"/>
              <w:autoSpaceDE w:val="0"/>
              <w:autoSpaceDN w:val="0"/>
              <w:adjustRightInd w:val="0"/>
              <w:jc w:val="right"/>
              <w:rPr>
                <w:rFonts w:cs="Calibri"/>
                <w:color w:val="000000"/>
                <w:szCs w:val="16"/>
              </w:rPr>
            </w:pPr>
            <w:r w:rsidRPr="00A46ADC">
              <w:t>877.4</w:t>
            </w:r>
          </w:p>
        </w:tc>
        <w:tc>
          <w:tcPr>
            <w:tcW w:w="515" w:type="pct"/>
            <w:noWrap/>
            <w:vAlign w:val="center"/>
            <w:hideMark/>
          </w:tcPr>
          <w:p w14:paraId="1EF28A20" w14:textId="77777777" w:rsidR="00DE4516" w:rsidRPr="00A46ADC" w:rsidRDefault="00DE4516" w:rsidP="00DE4516">
            <w:pPr>
              <w:pStyle w:val="TableBody"/>
              <w:autoSpaceDE w:val="0"/>
              <w:autoSpaceDN w:val="0"/>
              <w:adjustRightInd w:val="0"/>
              <w:jc w:val="right"/>
              <w:rPr>
                <w:rFonts w:cs="Calibri"/>
                <w:color w:val="000000"/>
                <w:szCs w:val="16"/>
              </w:rPr>
            </w:pPr>
            <w:r w:rsidRPr="00A46ADC">
              <w:t>921.8</w:t>
            </w:r>
          </w:p>
        </w:tc>
        <w:tc>
          <w:tcPr>
            <w:tcW w:w="515" w:type="pct"/>
            <w:noWrap/>
            <w:vAlign w:val="center"/>
            <w:hideMark/>
          </w:tcPr>
          <w:p w14:paraId="59A9B8A1" w14:textId="77777777" w:rsidR="00DE4516" w:rsidRPr="00A46ADC" w:rsidRDefault="00DE4516" w:rsidP="00DE4516">
            <w:pPr>
              <w:pStyle w:val="TableBody"/>
              <w:autoSpaceDE w:val="0"/>
              <w:autoSpaceDN w:val="0"/>
              <w:adjustRightInd w:val="0"/>
              <w:jc w:val="right"/>
              <w:rPr>
                <w:rFonts w:cs="Calibri"/>
                <w:color w:val="000000"/>
                <w:szCs w:val="16"/>
              </w:rPr>
            </w:pPr>
            <w:r w:rsidRPr="00A46ADC">
              <w:t>961.5</w:t>
            </w:r>
          </w:p>
        </w:tc>
        <w:tc>
          <w:tcPr>
            <w:tcW w:w="515" w:type="pct"/>
            <w:noWrap/>
            <w:vAlign w:val="center"/>
            <w:hideMark/>
          </w:tcPr>
          <w:p w14:paraId="5F1CCB82" w14:textId="77777777" w:rsidR="00DE4516" w:rsidRPr="00A46ADC" w:rsidRDefault="00DE4516" w:rsidP="00DE4516">
            <w:pPr>
              <w:pStyle w:val="TableBody"/>
              <w:autoSpaceDE w:val="0"/>
              <w:autoSpaceDN w:val="0"/>
              <w:adjustRightInd w:val="0"/>
              <w:jc w:val="right"/>
              <w:rPr>
                <w:rFonts w:cs="Calibri"/>
                <w:color w:val="000000"/>
                <w:szCs w:val="16"/>
              </w:rPr>
            </w:pPr>
            <w:r w:rsidRPr="00A46ADC">
              <w:t>1,004.9</w:t>
            </w:r>
          </w:p>
        </w:tc>
        <w:tc>
          <w:tcPr>
            <w:tcW w:w="516" w:type="pct"/>
            <w:noWrap/>
            <w:vAlign w:val="center"/>
            <w:hideMark/>
          </w:tcPr>
          <w:p w14:paraId="6EB81DF4" w14:textId="77777777" w:rsidR="00DE4516" w:rsidRPr="00A46ADC" w:rsidRDefault="00DE4516" w:rsidP="00DE4516">
            <w:pPr>
              <w:pStyle w:val="TableBody"/>
              <w:autoSpaceDE w:val="0"/>
              <w:autoSpaceDN w:val="0"/>
              <w:adjustRightInd w:val="0"/>
              <w:jc w:val="right"/>
              <w:rPr>
                <w:rFonts w:cs="Calibri"/>
                <w:color w:val="000000"/>
                <w:szCs w:val="16"/>
              </w:rPr>
            </w:pPr>
            <w:r w:rsidRPr="00A46ADC">
              <w:t>1,036.4</w:t>
            </w:r>
          </w:p>
        </w:tc>
      </w:tr>
      <w:tr w:rsidR="00DE4516" w:rsidRPr="00045A4A" w14:paraId="797B5936" w14:textId="77777777" w:rsidTr="002C718D">
        <w:trPr>
          <w:cantSplit/>
        </w:trPr>
        <w:tc>
          <w:tcPr>
            <w:tcW w:w="1394" w:type="pct"/>
            <w:noWrap/>
            <w:vAlign w:val="center"/>
            <w:hideMark/>
          </w:tcPr>
          <w:p w14:paraId="552A74F0" w14:textId="77777777" w:rsidR="00DE4516" w:rsidRPr="00A46ADC" w:rsidRDefault="00DE4516" w:rsidP="00DE4516">
            <w:pPr>
              <w:pStyle w:val="TableBody"/>
              <w:autoSpaceDE w:val="0"/>
              <w:autoSpaceDN w:val="0"/>
              <w:adjustRightInd w:val="0"/>
              <w:jc w:val="both"/>
              <w:rPr>
                <w:rFonts w:cs="Calibri"/>
                <w:color w:val="000000"/>
                <w:szCs w:val="16"/>
              </w:rPr>
            </w:pPr>
            <w:r w:rsidRPr="00A46ADC">
              <w:t>15-29</w:t>
            </w:r>
          </w:p>
        </w:tc>
        <w:tc>
          <w:tcPr>
            <w:tcW w:w="515" w:type="pct"/>
            <w:noWrap/>
            <w:vAlign w:val="center"/>
            <w:hideMark/>
          </w:tcPr>
          <w:p w14:paraId="58D50270" w14:textId="77777777" w:rsidR="00DE4516" w:rsidRPr="00A46ADC" w:rsidRDefault="00DE4516" w:rsidP="00DE4516">
            <w:pPr>
              <w:pStyle w:val="TableBody"/>
              <w:autoSpaceDE w:val="0"/>
              <w:autoSpaceDN w:val="0"/>
              <w:adjustRightInd w:val="0"/>
              <w:jc w:val="right"/>
              <w:rPr>
                <w:rFonts w:cs="Calibri"/>
                <w:color w:val="000000"/>
                <w:szCs w:val="16"/>
              </w:rPr>
            </w:pPr>
            <w:r w:rsidRPr="00A46ADC">
              <w:t>710.5</w:t>
            </w:r>
          </w:p>
        </w:tc>
        <w:tc>
          <w:tcPr>
            <w:tcW w:w="515" w:type="pct"/>
            <w:noWrap/>
            <w:vAlign w:val="center"/>
            <w:hideMark/>
          </w:tcPr>
          <w:p w14:paraId="7ECB6810" w14:textId="77777777" w:rsidR="00DE4516" w:rsidRPr="00A46ADC" w:rsidRDefault="00DE4516" w:rsidP="00DE4516">
            <w:pPr>
              <w:pStyle w:val="TableBody"/>
              <w:autoSpaceDE w:val="0"/>
              <w:autoSpaceDN w:val="0"/>
              <w:adjustRightInd w:val="0"/>
              <w:jc w:val="right"/>
              <w:rPr>
                <w:rFonts w:cs="Calibri"/>
                <w:color w:val="000000"/>
                <w:szCs w:val="16"/>
              </w:rPr>
            </w:pPr>
            <w:r w:rsidRPr="00A46ADC">
              <w:t>709.4</w:t>
            </w:r>
          </w:p>
        </w:tc>
        <w:tc>
          <w:tcPr>
            <w:tcW w:w="515" w:type="pct"/>
            <w:noWrap/>
            <w:vAlign w:val="center"/>
            <w:hideMark/>
          </w:tcPr>
          <w:p w14:paraId="5C6424CC" w14:textId="77777777" w:rsidR="00DE4516" w:rsidRPr="00A46ADC" w:rsidRDefault="00DE4516" w:rsidP="00DE4516">
            <w:pPr>
              <w:pStyle w:val="TableBody"/>
              <w:autoSpaceDE w:val="0"/>
              <w:autoSpaceDN w:val="0"/>
              <w:adjustRightInd w:val="0"/>
              <w:jc w:val="right"/>
              <w:rPr>
                <w:rFonts w:cs="Calibri"/>
                <w:color w:val="000000"/>
                <w:szCs w:val="16"/>
              </w:rPr>
            </w:pPr>
            <w:r w:rsidRPr="00A46ADC">
              <w:t>705.8</w:t>
            </w:r>
          </w:p>
        </w:tc>
        <w:tc>
          <w:tcPr>
            <w:tcW w:w="515" w:type="pct"/>
            <w:noWrap/>
            <w:vAlign w:val="center"/>
            <w:hideMark/>
          </w:tcPr>
          <w:p w14:paraId="08E49109" w14:textId="77777777" w:rsidR="00DE4516" w:rsidRPr="00A46ADC" w:rsidRDefault="00DE4516" w:rsidP="00DE4516">
            <w:pPr>
              <w:pStyle w:val="TableBody"/>
              <w:autoSpaceDE w:val="0"/>
              <w:autoSpaceDN w:val="0"/>
              <w:adjustRightInd w:val="0"/>
              <w:jc w:val="right"/>
              <w:rPr>
                <w:rFonts w:cs="Calibri"/>
                <w:color w:val="000000"/>
                <w:szCs w:val="16"/>
              </w:rPr>
            </w:pPr>
            <w:r w:rsidRPr="00A46ADC">
              <w:t>701.2</w:t>
            </w:r>
          </w:p>
        </w:tc>
        <w:tc>
          <w:tcPr>
            <w:tcW w:w="515" w:type="pct"/>
            <w:noWrap/>
            <w:vAlign w:val="center"/>
            <w:hideMark/>
          </w:tcPr>
          <w:p w14:paraId="439CC177" w14:textId="77777777" w:rsidR="00DE4516" w:rsidRPr="00A46ADC" w:rsidRDefault="00DE4516" w:rsidP="00DE4516">
            <w:pPr>
              <w:pStyle w:val="TableBody"/>
              <w:autoSpaceDE w:val="0"/>
              <w:autoSpaceDN w:val="0"/>
              <w:adjustRightInd w:val="0"/>
              <w:jc w:val="right"/>
              <w:rPr>
                <w:rFonts w:cs="Calibri"/>
                <w:color w:val="000000"/>
                <w:szCs w:val="16"/>
              </w:rPr>
            </w:pPr>
            <w:r w:rsidRPr="00A46ADC">
              <w:t>697.4</w:t>
            </w:r>
          </w:p>
        </w:tc>
        <w:tc>
          <w:tcPr>
            <w:tcW w:w="515" w:type="pct"/>
            <w:noWrap/>
            <w:vAlign w:val="center"/>
            <w:hideMark/>
          </w:tcPr>
          <w:p w14:paraId="6FB6B8BC" w14:textId="77777777" w:rsidR="00DE4516" w:rsidRPr="00A46ADC" w:rsidRDefault="00DE4516" w:rsidP="00DE4516">
            <w:pPr>
              <w:pStyle w:val="TableBody"/>
              <w:autoSpaceDE w:val="0"/>
              <w:autoSpaceDN w:val="0"/>
              <w:adjustRightInd w:val="0"/>
              <w:jc w:val="right"/>
              <w:rPr>
                <w:rFonts w:cs="Calibri"/>
                <w:color w:val="000000"/>
                <w:szCs w:val="16"/>
              </w:rPr>
            </w:pPr>
            <w:r w:rsidRPr="00A46ADC">
              <w:t>693.0</w:t>
            </w:r>
          </w:p>
        </w:tc>
        <w:tc>
          <w:tcPr>
            <w:tcW w:w="516" w:type="pct"/>
            <w:noWrap/>
            <w:vAlign w:val="center"/>
            <w:hideMark/>
          </w:tcPr>
          <w:p w14:paraId="4FDA0194" w14:textId="77777777" w:rsidR="00DE4516" w:rsidRPr="00A46ADC" w:rsidRDefault="00DE4516" w:rsidP="00DE4516">
            <w:pPr>
              <w:pStyle w:val="TableBody"/>
              <w:autoSpaceDE w:val="0"/>
              <w:autoSpaceDN w:val="0"/>
              <w:adjustRightInd w:val="0"/>
              <w:jc w:val="right"/>
              <w:rPr>
                <w:rFonts w:cs="Calibri"/>
                <w:color w:val="000000"/>
                <w:szCs w:val="16"/>
              </w:rPr>
            </w:pPr>
            <w:r w:rsidRPr="00A46ADC">
              <w:t>687.2</w:t>
            </w:r>
          </w:p>
        </w:tc>
      </w:tr>
      <w:tr w:rsidR="00DE4516" w:rsidRPr="00045A4A" w14:paraId="696DF3C1"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4" w:type="pct"/>
            <w:noWrap/>
            <w:vAlign w:val="center"/>
            <w:hideMark/>
          </w:tcPr>
          <w:p w14:paraId="0C1A73A4" w14:textId="77777777" w:rsidR="00DE4516" w:rsidRPr="00A46ADC" w:rsidRDefault="00DE4516" w:rsidP="00DE4516">
            <w:pPr>
              <w:pStyle w:val="TableBody"/>
              <w:autoSpaceDE w:val="0"/>
              <w:autoSpaceDN w:val="0"/>
              <w:adjustRightInd w:val="0"/>
              <w:jc w:val="both"/>
              <w:rPr>
                <w:rFonts w:cs="Calibri"/>
                <w:color w:val="000000"/>
                <w:szCs w:val="16"/>
              </w:rPr>
            </w:pPr>
            <w:r w:rsidRPr="00A46ADC">
              <w:t>30-64</w:t>
            </w:r>
          </w:p>
        </w:tc>
        <w:tc>
          <w:tcPr>
            <w:tcW w:w="515" w:type="pct"/>
            <w:noWrap/>
            <w:vAlign w:val="center"/>
            <w:hideMark/>
          </w:tcPr>
          <w:p w14:paraId="6DD31A57" w14:textId="77777777" w:rsidR="00DE4516" w:rsidRPr="00A46ADC" w:rsidRDefault="00DE4516" w:rsidP="00DE4516">
            <w:pPr>
              <w:pStyle w:val="TableBody"/>
              <w:autoSpaceDE w:val="0"/>
              <w:autoSpaceDN w:val="0"/>
              <w:adjustRightInd w:val="0"/>
              <w:jc w:val="right"/>
              <w:rPr>
                <w:rFonts w:cs="Calibri"/>
                <w:color w:val="000000"/>
                <w:szCs w:val="16"/>
              </w:rPr>
            </w:pPr>
            <w:r w:rsidRPr="00A46ADC">
              <w:t>661.6</w:t>
            </w:r>
          </w:p>
        </w:tc>
        <w:tc>
          <w:tcPr>
            <w:tcW w:w="515" w:type="pct"/>
            <w:noWrap/>
            <w:vAlign w:val="center"/>
            <w:hideMark/>
          </w:tcPr>
          <w:p w14:paraId="56A66B8C" w14:textId="77777777" w:rsidR="00DE4516" w:rsidRPr="00A46ADC" w:rsidRDefault="00DE4516" w:rsidP="00DE4516">
            <w:pPr>
              <w:pStyle w:val="TableBody"/>
              <w:autoSpaceDE w:val="0"/>
              <w:autoSpaceDN w:val="0"/>
              <w:adjustRightInd w:val="0"/>
              <w:jc w:val="right"/>
              <w:rPr>
                <w:rFonts w:cs="Calibri"/>
                <w:color w:val="000000"/>
                <w:szCs w:val="16"/>
              </w:rPr>
            </w:pPr>
            <w:r w:rsidRPr="00A46ADC">
              <w:t>697.1</w:t>
            </w:r>
          </w:p>
        </w:tc>
        <w:tc>
          <w:tcPr>
            <w:tcW w:w="515" w:type="pct"/>
            <w:noWrap/>
            <w:vAlign w:val="center"/>
            <w:hideMark/>
          </w:tcPr>
          <w:p w14:paraId="4978C216" w14:textId="77777777" w:rsidR="00DE4516" w:rsidRPr="00A46ADC" w:rsidRDefault="00DE4516" w:rsidP="00DE4516">
            <w:pPr>
              <w:pStyle w:val="TableBody"/>
              <w:autoSpaceDE w:val="0"/>
              <w:autoSpaceDN w:val="0"/>
              <w:adjustRightInd w:val="0"/>
              <w:jc w:val="right"/>
              <w:rPr>
                <w:rFonts w:cs="Calibri"/>
                <w:color w:val="000000"/>
                <w:szCs w:val="16"/>
              </w:rPr>
            </w:pPr>
            <w:r w:rsidRPr="00A46ADC">
              <w:t>740.6</w:t>
            </w:r>
          </w:p>
        </w:tc>
        <w:tc>
          <w:tcPr>
            <w:tcW w:w="515" w:type="pct"/>
            <w:noWrap/>
            <w:vAlign w:val="center"/>
            <w:hideMark/>
          </w:tcPr>
          <w:p w14:paraId="38BA92DF" w14:textId="77777777" w:rsidR="00DE4516" w:rsidRPr="00A46ADC" w:rsidRDefault="00DE4516" w:rsidP="00DE4516">
            <w:pPr>
              <w:pStyle w:val="TableBody"/>
              <w:autoSpaceDE w:val="0"/>
              <w:autoSpaceDN w:val="0"/>
              <w:adjustRightInd w:val="0"/>
              <w:jc w:val="right"/>
              <w:rPr>
                <w:rFonts w:cs="Calibri"/>
                <w:color w:val="000000"/>
                <w:szCs w:val="16"/>
              </w:rPr>
            </w:pPr>
            <w:r w:rsidRPr="00A46ADC">
              <w:t>775.5</w:t>
            </w:r>
          </w:p>
        </w:tc>
        <w:tc>
          <w:tcPr>
            <w:tcW w:w="515" w:type="pct"/>
            <w:noWrap/>
            <w:vAlign w:val="center"/>
            <w:hideMark/>
          </w:tcPr>
          <w:p w14:paraId="68A1366C" w14:textId="77777777" w:rsidR="00DE4516" w:rsidRPr="00A46ADC" w:rsidRDefault="00DE4516" w:rsidP="00DE4516">
            <w:pPr>
              <w:pStyle w:val="TableBody"/>
              <w:autoSpaceDE w:val="0"/>
              <w:autoSpaceDN w:val="0"/>
              <w:adjustRightInd w:val="0"/>
              <w:jc w:val="right"/>
              <w:rPr>
                <w:rFonts w:cs="Calibri"/>
                <w:color w:val="000000"/>
                <w:szCs w:val="16"/>
              </w:rPr>
            </w:pPr>
            <w:r w:rsidRPr="00A46ADC">
              <w:t>812.5</w:t>
            </w:r>
          </w:p>
        </w:tc>
        <w:tc>
          <w:tcPr>
            <w:tcW w:w="515" w:type="pct"/>
            <w:noWrap/>
            <w:vAlign w:val="center"/>
            <w:hideMark/>
          </w:tcPr>
          <w:p w14:paraId="0BB1BD08" w14:textId="77777777" w:rsidR="00DE4516" w:rsidRPr="00A46ADC" w:rsidRDefault="00DE4516" w:rsidP="00DE4516">
            <w:pPr>
              <w:pStyle w:val="TableBody"/>
              <w:autoSpaceDE w:val="0"/>
              <w:autoSpaceDN w:val="0"/>
              <w:adjustRightInd w:val="0"/>
              <w:jc w:val="right"/>
              <w:rPr>
                <w:rFonts w:cs="Calibri"/>
                <w:color w:val="000000"/>
                <w:szCs w:val="16"/>
              </w:rPr>
            </w:pPr>
            <w:r w:rsidRPr="00A46ADC">
              <w:t>849.1</w:t>
            </w:r>
          </w:p>
        </w:tc>
        <w:tc>
          <w:tcPr>
            <w:tcW w:w="516" w:type="pct"/>
            <w:noWrap/>
            <w:vAlign w:val="center"/>
            <w:hideMark/>
          </w:tcPr>
          <w:p w14:paraId="3CAD8FAF" w14:textId="77777777" w:rsidR="00DE4516" w:rsidRPr="00A46ADC" w:rsidRDefault="00DE4516" w:rsidP="00DE4516">
            <w:pPr>
              <w:pStyle w:val="TableBody"/>
              <w:autoSpaceDE w:val="0"/>
              <w:autoSpaceDN w:val="0"/>
              <w:adjustRightInd w:val="0"/>
              <w:jc w:val="right"/>
              <w:rPr>
                <w:rFonts w:cs="Calibri"/>
                <w:color w:val="000000"/>
                <w:szCs w:val="16"/>
              </w:rPr>
            </w:pPr>
            <w:r w:rsidRPr="00A46ADC">
              <w:t>876.9</w:t>
            </w:r>
          </w:p>
        </w:tc>
      </w:tr>
      <w:tr w:rsidR="00DE4516" w:rsidRPr="00045A4A" w14:paraId="1AE9675F" w14:textId="77777777" w:rsidTr="002C718D">
        <w:trPr>
          <w:cantSplit/>
        </w:trPr>
        <w:tc>
          <w:tcPr>
            <w:tcW w:w="1394" w:type="pct"/>
            <w:noWrap/>
            <w:vAlign w:val="center"/>
            <w:hideMark/>
          </w:tcPr>
          <w:p w14:paraId="3A2D2262" w14:textId="77777777" w:rsidR="00DE4516" w:rsidRPr="00A46ADC" w:rsidRDefault="00DE4516" w:rsidP="00DE4516">
            <w:pPr>
              <w:pStyle w:val="TableBody"/>
              <w:autoSpaceDE w:val="0"/>
              <w:autoSpaceDN w:val="0"/>
              <w:adjustRightInd w:val="0"/>
              <w:jc w:val="both"/>
              <w:rPr>
                <w:rFonts w:cs="Calibri"/>
                <w:color w:val="000000"/>
                <w:szCs w:val="16"/>
              </w:rPr>
            </w:pPr>
            <w:r w:rsidRPr="00A46ADC">
              <w:t>65+</w:t>
            </w:r>
          </w:p>
        </w:tc>
        <w:tc>
          <w:tcPr>
            <w:tcW w:w="515" w:type="pct"/>
            <w:noWrap/>
            <w:vAlign w:val="center"/>
            <w:hideMark/>
          </w:tcPr>
          <w:p w14:paraId="708CD953" w14:textId="77777777" w:rsidR="00DE4516" w:rsidRPr="00A46ADC" w:rsidRDefault="00DE4516" w:rsidP="00DE4516">
            <w:pPr>
              <w:pStyle w:val="TableBody"/>
              <w:autoSpaceDE w:val="0"/>
              <w:autoSpaceDN w:val="0"/>
              <w:adjustRightInd w:val="0"/>
              <w:jc w:val="right"/>
              <w:rPr>
                <w:rFonts w:cs="Calibri"/>
                <w:color w:val="000000"/>
                <w:szCs w:val="16"/>
              </w:rPr>
            </w:pPr>
            <w:r w:rsidRPr="00A46ADC">
              <w:t>133.0</w:t>
            </w:r>
          </w:p>
        </w:tc>
        <w:tc>
          <w:tcPr>
            <w:tcW w:w="515" w:type="pct"/>
            <w:noWrap/>
            <w:vAlign w:val="center"/>
            <w:hideMark/>
          </w:tcPr>
          <w:p w14:paraId="667A292E" w14:textId="77777777" w:rsidR="00DE4516" w:rsidRPr="00A46ADC" w:rsidRDefault="00DE4516" w:rsidP="00DE4516">
            <w:pPr>
              <w:pStyle w:val="TableBody"/>
              <w:autoSpaceDE w:val="0"/>
              <w:autoSpaceDN w:val="0"/>
              <w:adjustRightInd w:val="0"/>
              <w:jc w:val="right"/>
              <w:rPr>
                <w:rFonts w:cs="Calibri"/>
                <w:color w:val="000000"/>
                <w:szCs w:val="16"/>
              </w:rPr>
            </w:pPr>
            <w:r w:rsidRPr="00A46ADC">
              <w:t>144.0</w:t>
            </w:r>
          </w:p>
        </w:tc>
        <w:tc>
          <w:tcPr>
            <w:tcW w:w="515" w:type="pct"/>
            <w:noWrap/>
            <w:vAlign w:val="center"/>
            <w:hideMark/>
          </w:tcPr>
          <w:p w14:paraId="778AB66E" w14:textId="77777777" w:rsidR="00DE4516" w:rsidRPr="00A46ADC" w:rsidRDefault="00DE4516" w:rsidP="00DE4516">
            <w:pPr>
              <w:pStyle w:val="TableBody"/>
              <w:autoSpaceDE w:val="0"/>
              <w:autoSpaceDN w:val="0"/>
              <w:adjustRightInd w:val="0"/>
              <w:jc w:val="right"/>
              <w:rPr>
                <w:rFonts w:cs="Calibri"/>
                <w:color w:val="000000"/>
                <w:szCs w:val="16"/>
              </w:rPr>
            </w:pPr>
            <w:r w:rsidRPr="00A46ADC">
              <w:t>149.5</w:t>
            </w:r>
          </w:p>
        </w:tc>
        <w:tc>
          <w:tcPr>
            <w:tcW w:w="515" w:type="pct"/>
            <w:noWrap/>
            <w:vAlign w:val="center"/>
            <w:hideMark/>
          </w:tcPr>
          <w:p w14:paraId="1F85894F" w14:textId="77777777" w:rsidR="00DE4516" w:rsidRPr="00A46ADC" w:rsidRDefault="00DE4516" w:rsidP="00DE4516">
            <w:pPr>
              <w:pStyle w:val="TableBody"/>
              <w:autoSpaceDE w:val="0"/>
              <w:autoSpaceDN w:val="0"/>
              <w:adjustRightInd w:val="0"/>
              <w:jc w:val="right"/>
              <w:rPr>
                <w:rFonts w:cs="Calibri"/>
                <w:color w:val="000000"/>
                <w:szCs w:val="16"/>
              </w:rPr>
            </w:pPr>
            <w:r w:rsidRPr="00A46ADC">
              <w:t>106.9</w:t>
            </w:r>
          </w:p>
        </w:tc>
        <w:tc>
          <w:tcPr>
            <w:tcW w:w="515" w:type="pct"/>
            <w:noWrap/>
            <w:vAlign w:val="center"/>
            <w:hideMark/>
          </w:tcPr>
          <w:p w14:paraId="60F14C2D" w14:textId="77777777" w:rsidR="00DE4516" w:rsidRPr="00A46ADC" w:rsidRDefault="00DE4516" w:rsidP="00DE4516">
            <w:pPr>
              <w:pStyle w:val="TableBody"/>
              <w:autoSpaceDE w:val="0"/>
              <w:autoSpaceDN w:val="0"/>
              <w:adjustRightInd w:val="0"/>
              <w:jc w:val="right"/>
              <w:rPr>
                <w:rFonts w:cs="Calibri"/>
                <w:color w:val="000000"/>
                <w:szCs w:val="16"/>
              </w:rPr>
            </w:pPr>
            <w:r w:rsidRPr="00A46ADC">
              <w:t>107.9</w:t>
            </w:r>
          </w:p>
        </w:tc>
        <w:tc>
          <w:tcPr>
            <w:tcW w:w="515" w:type="pct"/>
            <w:noWrap/>
            <w:vAlign w:val="center"/>
            <w:hideMark/>
          </w:tcPr>
          <w:p w14:paraId="24044832" w14:textId="77777777" w:rsidR="00DE4516" w:rsidRPr="00A46ADC" w:rsidRDefault="00DE4516" w:rsidP="00DE4516">
            <w:pPr>
              <w:pStyle w:val="TableBody"/>
              <w:autoSpaceDE w:val="0"/>
              <w:autoSpaceDN w:val="0"/>
              <w:adjustRightInd w:val="0"/>
              <w:jc w:val="right"/>
              <w:rPr>
                <w:rFonts w:cs="Calibri"/>
                <w:color w:val="000000"/>
                <w:szCs w:val="16"/>
              </w:rPr>
            </w:pPr>
            <w:r w:rsidRPr="00A46ADC">
              <w:t>108.1</w:t>
            </w:r>
          </w:p>
        </w:tc>
        <w:tc>
          <w:tcPr>
            <w:tcW w:w="516" w:type="pct"/>
            <w:noWrap/>
            <w:vAlign w:val="center"/>
            <w:hideMark/>
          </w:tcPr>
          <w:p w14:paraId="53526494" w14:textId="77777777" w:rsidR="00DE4516" w:rsidRPr="00A46ADC" w:rsidRDefault="00DE4516" w:rsidP="00DE4516">
            <w:pPr>
              <w:pStyle w:val="TableBody"/>
              <w:autoSpaceDE w:val="0"/>
              <w:autoSpaceDN w:val="0"/>
              <w:adjustRightInd w:val="0"/>
              <w:jc w:val="right"/>
              <w:rPr>
                <w:rFonts w:cs="Calibri"/>
                <w:color w:val="000000"/>
                <w:szCs w:val="16"/>
              </w:rPr>
            </w:pPr>
            <w:r w:rsidRPr="00A46ADC">
              <w:t>101.7</w:t>
            </w:r>
          </w:p>
        </w:tc>
      </w:tr>
      <w:tr w:rsidR="00DE4516" w:rsidRPr="00045A4A" w14:paraId="052C5DE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4" w:type="pct"/>
            <w:noWrap/>
            <w:vAlign w:val="center"/>
            <w:hideMark/>
          </w:tcPr>
          <w:p w14:paraId="072F66AE" w14:textId="77777777" w:rsidR="00DE4516" w:rsidRPr="00A46ADC" w:rsidRDefault="00DE4516" w:rsidP="00DE4516">
            <w:pPr>
              <w:pStyle w:val="TableBody"/>
              <w:autoSpaceDE w:val="0"/>
              <w:autoSpaceDN w:val="0"/>
              <w:adjustRightInd w:val="0"/>
              <w:ind w:left="159"/>
              <w:jc w:val="both"/>
              <w:rPr>
                <w:rFonts w:cs="Calibri"/>
                <w:b/>
                <w:bCs/>
                <w:color w:val="000000"/>
                <w:szCs w:val="16"/>
              </w:rPr>
            </w:pPr>
            <w:r w:rsidRPr="00A46ADC">
              <w:rPr>
                <w:b/>
              </w:rPr>
              <w:t>Subtotal</w:t>
            </w:r>
          </w:p>
        </w:tc>
        <w:tc>
          <w:tcPr>
            <w:tcW w:w="515" w:type="pct"/>
            <w:noWrap/>
            <w:vAlign w:val="center"/>
            <w:hideMark/>
          </w:tcPr>
          <w:p w14:paraId="4082D96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2,260.7</w:t>
            </w:r>
          </w:p>
        </w:tc>
        <w:tc>
          <w:tcPr>
            <w:tcW w:w="515" w:type="pct"/>
            <w:noWrap/>
            <w:vAlign w:val="center"/>
            <w:hideMark/>
          </w:tcPr>
          <w:p w14:paraId="76DB4D7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2,344.6</w:t>
            </w:r>
          </w:p>
        </w:tc>
        <w:tc>
          <w:tcPr>
            <w:tcW w:w="515" w:type="pct"/>
            <w:noWrap/>
            <w:vAlign w:val="center"/>
            <w:hideMark/>
          </w:tcPr>
          <w:p w14:paraId="56378A2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2,427.8</w:t>
            </w:r>
          </w:p>
        </w:tc>
        <w:tc>
          <w:tcPr>
            <w:tcW w:w="515" w:type="pct"/>
            <w:noWrap/>
            <w:vAlign w:val="center"/>
            <w:hideMark/>
          </w:tcPr>
          <w:p w14:paraId="2BBC9FD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2,505.4</w:t>
            </w:r>
          </w:p>
        </w:tc>
        <w:tc>
          <w:tcPr>
            <w:tcW w:w="515" w:type="pct"/>
            <w:noWrap/>
            <w:vAlign w:val="center"/>
            <w:hideMark/>
          </w:tcPr>
          <w:p w14:paraId="7E4BC2A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2,579.2</w:t>
            </w:r>
          </w:p>
        </w:tc>
        <w:tc>
          <w:tcPr>
            <w:tcW w:w="515" w:type="pct"/>
            <w:noWrap/>
            <w:vAlign w:val="center"/>
            <w:hideMark/>
          </w:tcPr>
          <w:p w14:paraId="3B76930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2,655.1</w:t>
            </w:r>
          </w:p>
        </w:tc>
        <w:tc>
          <w:tcPr>
            <w:tcW w:w="516" w:type="pct"/>
            <w:noWrap/>
            <w:vAlign w:val="center"/>
            <w:hideMark/>
          </w:tcPr>
          <w:p w14:paraId="4EF4173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2,702.2</w:t>
            </w:r>
          </w:p>
        </w:tc>
      </w:tr>
      <w:tr w:rsidR="00DE4516" w:rsidRPr="00045A4A" w14:paraId="0A3C50C5" w14:textId="77777777" w:rsidTr="002C718D">
        <w:trPr>
          <w:cantSplit/>
        </w:trPr>
        <w:tc>
          <w:tcPr>
            <w:tcW w:w="5000" w:type="pct"/>
            <w:gridSpan w:val="8"/>
            <w:noWrap/>
            <w:vAlign w:val="center"/>
          </w:tcPr>
          <w:p w14:paraId="1219FE45"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Non</w:t>
            </w:r>
            <w:r w:rsidRPr="00A46ADC">
              <w:rPr>
                <w:b/>
              </w:rPr>
              <w:noBreakHyphen/>
              <w:t>Omanis</w:t>
            </w:r>
          </w:p>
        </w:tc>
      </w:tr>
      <w:tr w:rsidR="00DE4516" w:rsidRPr="00045A4A" w14:paraId="11FCFB0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4" w:type="pct"/>
            <w:noWrap/>
            <w:vAlign w:val="center"/>
            <w:hideMark/>
          </w:tcPr>
          <w:p w14:paraId="46F355C8" w14:textId="77777777" w:rsidR="00DE4516" w:rsidRPr="00A46ADC" w:rsidRDefault="00DE4516" w:rsidP="00DE4516">
            <w:pPr>
              <w:pStyle w:val="TableBody"/>
              <w:autoSpaceDE w:val="0"/>
              <w:autoSpaceDN w:val="0"/>
              <w:adjustRightInd w:val="0"/>
              <w:jc w:val="both"/>
              <w:rPr>
                <w:rFonts w:cs="Calibri"/>
                <w:color w:val="000000"/>
                <w:szCs w:val="16"/>
              </w:rPr>
            </w:pPr>
            <w:r w:rsidRPr="00A46ADC">
              <w:t>0-14</w:t>
            </w:r>
          </w:p>
        </w:tc>
        <w:tc>
          <w:tcPr>
            <w:tcW w:w="515" w:type="pct"/>
            <w:noWrap/>
            <w:vAlign w:val="center"/>
            <w:hideMark/>
          </w:tcPr>
          <w:p w14:paraId="002EA6B0" w14:textId="77777777" w:rsidR="00DE4516" w:rsidRPr="00A46ADC" w:rsidRDefault="00DE4516" w:rsidP="00DE4516">
            <w:pPr>
              <w:pStyle w:val="TableBody"/>
              <w:autoSpaceDE w:val="0"/>
              <w:autoSpaceDN w:val="0"/>
              <w:adjustRightInd w:val="0"/>
              <w:jc w:val="right"/>
              <w:rPr>
                <w:rFonts w:cs="Calibri"/>
                <w:color w:val="000000"/>
                <w:szCs w:val="16"/>
              </w:rPr>
            </w:pPr>
            <w:r w:rsidRPr="00A46ADC">
              <w:t>90.8</w:t>
            </w:r>
          </w:p>
        </w:tc>
        <w:tc>
          <w:tcPr>
            <w:tcW w:w="515" w:type="pct"/>
            <w:noWrap/>
            <w:vAlign w:val="center"/>
            <w:hideMark/>
          </w:tcPr>
          <w:p w14:paraId="18BD56ED" w14:textId="77777777" w:rsidR="00DE4516" w:rsidRPr="00A46ADC" w:rsidRDefault="00DE4516" w:rsidP="00DE4516">
            <w:pPr>
              <w:pStyle w:val="TableBody"/>
              <w:autoSpaceDE w:val="0"/>
              <w:autoSpaceDN w:val="0"/>
              <w:adjustRightInd w:val="0"/>
              <w:jc w:val="right"/>
              <w:rPr>
                <w:rFonts w:cs="Calibri"/>
                <w:color w:val="000000"/>
                <w:szCs w:val="16"/>
              </w:rPr>
            </w:pPr>
            <w:r w:rsidRPr="00A46ADC">
              <w:t>91.0</w:t>
            </w:r>
          </w:p>
        </w:tc>
        <w:tc>
          <w:tcPr>
            <w:tcW w:w="515" w:type="pct"/>
            <w:noWrap/>
            <w:vAlign w:val="center"/>
            <w:hideMark/>
          </w:tcPr>
          <w:p w14:paraId="32BC834A" w14:textId="77777777" w:rsidR="00DE4516" w:rsidRPr="00A46ADC" w:rsidRDefault="00DE4516" w:rsidP="00DE4516">
            <w:pPr>
              <w:pStyle w:val="TableBody"/>
              <w:autoSpaceDE w:val="0"/>
              <w:autoSpaceDN w:val="0"/>
              <w:adjustRightInd w:val="0"/>
              <w:jc w:val="right"/>
              <w:rPr>
                <w:rFonts w:cs="Calibri"/>
                <w:color w:val="000000"/>
                <w:szCs w:val="16"/>
              </w:rPr>
            </w:pPr>
            <w:r w:rsidRPr="00A46ADC">
              <w:t>89.5</w:t>
            </w:r>
          </w:p>
        </w:tc>
        <w:tc>
          <w:tcPr>
            <w:tcW w:w="515" w:type="pct"/>
            <w:noWrap/>
            <w:vAlign w:val="center"/>
            <w:hideMark/>
          </w:tcPr>
          <w:p w14:paraId="050570C7" w14:textId="77777777" w:rsidR="00DE4516" w:rsidRPr="00A46ADC" w:rsidRDefault="00DE4516" w:rsidP="00DE4516">
            <w:pPr>
              <w:pStyle w:val="TableBody"/>
              <w:autoSpaceDE w:val="0"/>
              <w:autoSpaceDN w:val="0"/>
              <w:adjustRightInd w:val="0"/>
              <w:jc w:val="right"/>
              <w:rPr>
                <w:rFonts w:cs="Calibri"/>
                <w:color w:val="000000"/>
                <w:szCs w:val="16"/>
              </w:rPr>
            </w:pPr>
            <w:r w:rsidRPr="00A46ADC">
              <w:t>85.9</w:t>
            </w:r>
          </w:p>
        </w:tc>
        <w:tc>
          <w:tcPr>
            <w:tcW w:w="515" w:type="pct"/>
            <w:noWrap/>
            <w:vAlign w:val="center"/>
            <w:hideMark/>
          </w:tcPr>
          <w:p w14:paraId="3CC44581" w14:textId="77777777" w:rsidR="00DE4516" w:rsidRPr="00A46ADC" w:rsidRDefault="00DE4516" w:rsidP="00DE4516">
            <w:pPr>
              <w:pStyle w:val="TableBody"/>
              <w:autoSpaceDE w:val="0"/>
              <w:autoSpaceDN w:val="0"/>
              <w:adjustRightInd w:val="0"/>
              <w:jc w:val="right"/>
              <w:rPr>
                <w:rFonts w:cs="Calibri"/>
                <w:color w:val="000000"/>
                <w:szCs w:val="16"/>
              </w:rPr>
            </w:pPr>
            <w:r w:rsidRPr="00A46ADC">
              <w:t>85.8</w:t>
            </w:r>
          </w:p>
        </w:tc>
        <w:tc>
          <w:tcPr>
            <w:tcW w:w="515" w:type="pct"/>
            <w:noWrap/>
            <w:vAlign w:val="center"/>
            <w:hideMark/>
          </w:tcPr>
          <w:p w14:paraId="50AB3D14" w14:textId="77777777" w:rsidR="00DE4516" w:rsidRPr="00A46ADC" w:rsidRDefault="00DE4516" w:rsidP="00DE4516">
            <w:pPr>
              <w:pStyle w:val="TableBody"/>
              <w:autoSpaceDE w:val="0"/>
              <w:autoSpaceDN w:val="0"/>
              <w:adjustRightInd w:val="0"/>
              <w:jc w:val="right"/>
              <w:rPr>
                <w:rFonts w:cs="Calibri"/>
                <w:color w:val="000000"/>
                <w:szCs w:val="16"/>
              </w:rPr>
            </w:pPr>
            <w:r w:rsidRPr="00A46ADC">
              <w:t>90.6</w:t>
            </w:r>
          </w:p>
        </w:tc>
        <w:tc>
          <w:tcPr>
            <w:tcW w:w="516" w:type="pct"/>
            <w:noWrap/>
            <w:vAlign w:val="center"/>
            <w:hideMark/>
          </w:tcPr>
          <w:p w14:paraId="54531297" w14:textId="77777777" w:rsidR="00DE4516" w:rsidRPr="00A46ADC" w:rsidRDefault="00DE4516" w:rsidP="00DE4516">
            <w:pPr>
              <w:pStyle w:val="TableBody"/>
              <w:autoSpaceDE w:val="0"/>
              <w:autoSpaceDN w:val="0"/>
              <w:adjustRightInd w:val="0"/>
              <w:jc w:val="right"/>
              <w:rPr>
                <w:rFonts w:cs="Calibri"/>
                <w:color w:val="000000"/>
                <w:szCs w:val="16"/>
              </w:rPr>
            </w:pPr>
            <w:r w:rsidRPr="00A46ADC">
              <w:t>141.1</w:t>
            </w:r>
          </w:p>
        </w:tc>
      </w:tr>
      <w:tr w:rsidR="00DE4516" w:rsidRPr="00045A4A" w14:paraId="7AD74669" w14:textId="77777777" w:rsidTr="002C718D">
        <w:trPr>
          <w:cantSplit/>
        </w:trPr>
        <w:tc>
          <w:tcPr>
            <w:tcW w:w="1394" w:type="pct"/>
            <w:noWrap/>
            <w:vAlign w:val="center"/>
            <w:hideMark/>
          </w:tcPr>
          <w:p w14:paraId="31372305" w14:textId="77777777" w:rsidR="00DE4516" w:rsidRPr="00A46ADC" w:rsidRDefault="00DE4516" w:rsidP="00DE4516">
            <w:pPr>
              <w:pStyle w:val="TableBody"/>
              <w:autoSpaceDE w:val="0"/>
              <w:autoSpaceDN w:val="0"/>
              <w:adjustRightInd w:val="0"/>
              <w:jc w:val="both"/>
              <w:rPr>
                <w:rFonts w:cs="Calibri"/>
                <w:color w:val="000000"/>
                <w:szCs w:val="16"/>
              </w:rPr>
            </w:pPr>
            <w:r w:rsidRPr="00A46ADC">
              <w:t>15-29</w:t>
            </w:r>
          </w:p>
        </w:tc>
        <w:tc>
          <w:tcPr>
            <w:tcW w:w="515" w:type="pct"/>
            <w:noWrap/>
            <w:vAlign w:val="center"/>
            <w:hideMark/>
          </w:tcPr>
          <w:p w14:paraId="2B474ABD" w14:textId="77777777" w:rsidR="00DE4516" w:rsidRPr="00A46ADC" w:rsidRDefault="00DE4516" w:rsidP="00DE4516">
            <w:pPr>
              <w:pStyle w:val="TableBody"/>
              <w:autoSpaceDE w:val="0"/>
              <w:autoSpaceDN w:val="0"/>
              <w:adjustRightInd w:val="0"/>
              <w:jc w:val="right"/>
              <w:rPr>
                <w:rFonts w:cs="Calibri"/>
                <w:color w:val="000000"/>
                <w:szCs w:val="16"/>
              </w:rPr>
            </w:pPr>
            <w:r w:rsidRPr="00A46ADC">
              <w:t>612.6</w:t>
            </w:r>
          </w:p>
        </w:tc>
        <w:tc>
          <w:tcPr>
            <w:tcW w:w="515" w:type="pct"/>
            <w:noWrap/>
            <w:vAlign w:val="center"/>
            <w:hideMark/>
          </w:tcPr>
          <w:p w14:paraId="690AF8EB" w14:textId="77777777" w:rsidR="00DE4516" w:rsidRPr="00A46ADC" w:rsidRDefault="00DE4516" w:rsidP="00DE4516">
            <w:pPr>
              <w:pStyle w:val="TableBody"/>
              <w:autoSpaceDE w:val="0"/>
              <w:autoSpaceDN w:val="0"/>
              <w:adjustRightInd w:val="0"/>
              <w:jc w:val="right"/>
              <w:rPr>
                <w:rFonts w:cs="Calibri"/>
                <w:color w:val="000000"/>
                <w:szCs w:val="16"/>
              </w:rPr>
            </w:pPr>
            <w:r w:rsidRPr="00A46ADC">
              <w:t>603.9</w:t>
            </w:r>
          </w:p>
        </w:tc>
        <w:tc>
          <w:tcPr>
            <w:tcW w:w="515" w:type="pct"/>
            <w:noWrap/>
            <w:vAlign w:val="center"/>
            <w:hideMark/>
          </w:tcPr>
          <w:p w14:paraId="64FC3B6A" w14:textId="77777777" w:rsidR="00DE4516" w:rsidRPr="00A46ADC" w:rsidRDefault="00DE4516" w:rsidP="00DE4516">
            <w:pPr>
              <w:pStyle w:val="TableBody"/>
              <w:autoSpaceDE w:val="0"/>
              <w:autoSpaceDN w:val="0"/>
              <w:adjustRightInd w:val="0"/>
              <w:jc w:val="right"/>
              <w:rPr>
                <w:rFonts w:cs="Calibri"/>
                <w:color w:val="000000"/>
                <w:szCs w:val="16"/>
              </w:rPr>
            </w:pPr>
            <w:r w:rsidRPr="00A46ADC">
              <w:t>653.4</w:t>
            </w:r>
          </w:p>
        </w:tc>
        <w:tc>
          <w:tcPr>
            <w:tcW w:w="515" w:type="pct"/>
            <w:noWrap/>
            <w:vAlign w:val="center"/>
            <w:hideMark/>
          </w:tcPr>
          <w:p w14:paraId="3B804EDD" w14:textId="77777777" w:rsidR="00DE4516" w:rsidRPr="00A46ADC" w:rsidRDefault="00DE4516" w:rsidP="00DE4516">
            <w:pPr>
              <w:pStyle w:val="TableBody"/>
              <w:autoSpaceDE w:val="0"/>
              <w:autoSpaceDN w:val="0"/>
              <w:adjustRightInd w:val="0"/>
              <w:jc w:val="right"/>
              <w:rPr>
                <w:rFonts w:cs="Calibri"/>
                <w:color w:val="000000"/>
                <w:szCs w:val="16"/>
              </w:rPr>
            </w:pPr>
            <w:r w:rsidRPr="00A46ADC">
              <w:t>663.1</w:t>
            </w:r>
          </w:p>
        </w:tc>
        <w:tc>
          <w:tcPr>
            <w:tcW w:w="515" w:type="pct"/>
            <w:noWrap/>
            <w:vAlign w:val="center"/>
            <w:hideMark/>
          </w:tcPr>
          <w:p w14:paraId="445E49B4" w14:textId="77777777" w:rsidR="00DE4516" w:rsidRPr="00A46ADC" w:rsidRDefault="00DE4516" w:rsidP="00DE4516">
            <w:pPr>
              <w:pStyle w:val="TableBody"/>
              <w:autoSpaceDE w:val="0"/>
              <w:autoSpaceDN w:val="0"/>
              <w:adjustRightInd w:val="0"/>
              <w:jc w:val="right"/>
              <w:rPr>
                <w:rFonts w:cs="Calibri"/>
                <w:color w:val="000000"/>
                <w:szCs w:val="16"/>
              </w:rPr>
            </w:pPr>
            <w:r w:rsidRPr="00A46ADC">
              <w:t>570.9</w:t>
            </w:r>
          </w:p>
        </w:tc>
        <w:tc>
          <w:tcPr>
            <w:tcW w:w="515" w:type="pct"/>
            <w:noWrap/>
            <w:vAlign w:val="center"/>
            <w:hideMark/>
          </w:tcPr>
          <w:p w14:paraId="703E5AED" w14:textId="77777777" w:rsidR="00DE4516" w:rsidRPr="00A46ADC" w:rsidRDefault="00DE4516" w:rsidP="00DE4516">
            <w:pPr>
              <w:pStyle w:val="TableBody"/>
              <w:autoSpaceDE w:val="0"/>
              <w:autoSpaceDN w:val="0"/>
              <w:adjustRightInd w:val="0"/>
              <w:jc w:val="right"/>
              <w:rPr>
                <w:rFonts w:cs="Calibri"/>
                <w:color w:val="000000"/>
                <w:szCs w:val="16"/>
              </w:rPr>
            </w:pPr>
            <w:r w:rsidRPr="00A46ADC">
              <w:t>535.2</w:t>
            </w:r>
          </w:p>
        </w:tc>
        <w:tc>
          <w:tcPr>
            <w:tcW w:w="516" w:type="pct"/>
            <w:noWrap/>
            <w:vAlign w:val="center"/>
            <w:hideMark/>
          </w:tcPr>
          <w:p w14:paraId="23331C74" w14:textId="77777777" w:rsidR="00DE4516" w:rsidRPr="00A46ADC" w:rsidRDefault="00DE4516" w:rsidP="00DE4516">
            <w:pPr>
              <w:pStyle w:val="TableBody"/>
              <w:autoSpaceDE w:val="0"/>
              <w:autoSpaceDN w:val="0"/>
              <w:adjustRightInd w:val="0"/>
              <w:jc w:val="right"/>
              <w:rPr>
                <w:rFonts w:cs="Calibri"/>
                <w:color w:val="000000"/>
                <w:szCs w:val="16"/>
              </w:rPr>
            </w:pPr>
            <w:r w:rsidRPr="00A46ADC">
              <w:t>463.7</w:t>
            </w:r>
          </w:p>
        </w:tc>
      </w:tr>
      <w:tr w:rsidR="00DE4516" w:rsidRPr="00045A4A" w14:paraId="3EFE1F6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4" w:type="pct"/>
            <w:noWrap/>
            <w:vAlign w:val="center"/>
            <w:hideMark/>
          </w:tcPr>
          <w:p w14:paraId="2FB513CB" w14:textId="77777777" w:rsidR="00DE4516" w:rsidRPr="00A46ADC" w:rsidRDefault="00DE4516" w:rsidP="00DE4516">
            <w:pPr>
              <w:pStyle w:val="TableBody"/>
              <w:autoSpaceDE w:val="0"/>
              <w:autoSpaceDN w:val="0"/>
              <w:adjustRightInd w:val="0"/>
              <w:jc w:val="both"/>
              <w:rPr>
                <w:rFonts w:cs="Calibri"/>
                <w:color w:val="000000"/>
                <w:szCs w:val="16"/>
              </w:rPr>
            </w:pPr>
            <w:r w:rsidRPr="00A46ADC">
              <w:t>30-64</w:t>
            </w:r>
          </w:p>
        </w:tc>
        <w:tc>
          <w:tcPr>
            <w:tcW w:w="515" w:type="pct"/>
            <w:noWrap/>
            <w:vAlign w:val="center"/>
            <w:hideMark/>
          </w:tcPr>
          <w:p w14:paraId="50C53115" w14:textId="77777777" w:rsidR="00DE4516" w:rsidRPr="00A46ADC" w:rsidRDefault="00DE4516" w:rsidP="00DE4516">
            <w:pPr>
              <w:pStyle w:val="TableBody"/>
              <w:autoSpaceDE w:val="0"/>
              <w:autoSpaceDN w:val="0"/>
              <w:adjustRightInd w:val="0"/>
              <w:jc w:val="right"/>
              <w:rPr>
                <w:rFonts w:cs="Calibri"/>
                <w:color w:val="000000"/>
                <w:szCs w:val="16"/>
              </w:rPr>
            </w:pPr>
            <w:r w:rsidRPr="00A46ADC">
              <w:t>1,022.4</w:t>
            </w:r>
          </w:p>
        </w:tc>
        <w:tc>
          <w:tcPr>
            <w:tcW w:w="515" w:type="pct"/>
            <w:noWrap/>
            <w:vAlign w:val="center"/>
            <w:hideMark/>
          </w:tcPr>
          <w:p w14:paraId="37F8C068" w14:textId="77777777" w:rsidR="00DE4516" w:rsidRPr="00A46ADC" w:rsidRDefault="00DE4516" w:rsidP="00DE4516">
            <w:pPr>
              <w:pStyle w:val="TableBody"/>
              <w:autoSpaceDE w:val="0"/>
              <w:autoSpaceDN w:val="0"/>
              <w:adjustRightInd w:val="0"/>
              <w:jc w:val="right"/>
              <w:rPr>
                <w:rFonts w:cs="Calibri"/>
                <w:color w:val="000000"/>
                <w:szCs w:val="16"/>
              </w:rPr>
            </w:pPr>
            <w:r w:rsidRPr="00A46ADC">
              <w:t>1,111.8</w:t>
            </w:r>
          </w:p>
        </w:tc>
        <w:tc>
          <w:tcPr>
            <w:tcW w:w="515" w:type="pct"/>
            <w:noWrap/>
            <w:vAlign w:val="center"/>
            <w:hideMark/>
          </w:tcPr>
          <w:p w14:paraId="5CFA1E16" w14:textId="77777777" w:rsidR="00DE4516" w:rsidRPr="00A46ADC" w:rsidRDefault="00DE4516" w:rsidP="00DE4516">
            <w:pPr>
              <w:pStyle w:val="TableBody"/>
              <w:autoSpaceDE w:val="0"/>
              <w:autoSpaceDN w:val="0"/>
              <w:adjustRightInd w:val="0"/>
              <w:jc w:val="right"/>
              <w:rPr>
                <w:rFonts w:cs="Calibri"/>
                <w:color w:val="000000"/>
                <w:szCs w:val="16"/>
              </w:rPr>
            </w:pPr>
            <w:r w:rsidRPr="00A46ADC">
              <w:t>1,235.2</w:t>
            </w:r>
          </w:p>
        </w:tc>
        <w:tc>
          <w:tcPr>
            <w:tcW w:w="515" w:type="pct"/>
            <w:noWrap/>
            <w:vAlign w:val="center"/>
            <w:hideMark/>
          </w:tcPr>
          <w:p w14:paraId="026116B3" w14:textId="77777777" w:rsidR="00DE4516" w:rsidRPr="00A46ADC" w:rsidRDefault="00DE4516" w:rsidP="00DE4516">
            <w:pPr>
              <w:pStyle w:val="TableBody"/>
              <w:autoSpaceDE w:val="0"/>
              <w:autoSpaceDN w:val="0"/>
              <w:adjustRightInd w:val="0"/>
              <w:jc w:val="right"/>
              <w:rPr>
                <w:rFonts w:cs="Calibri"/>
                <w:color w:val="000000"/>
                <w:szCs w:val="16"/>
              </w:rPr>
            </w:pPr>
            <w:r w:rsidRPr="00A46ADC">
              <w:t>1,296.7</w:t>
            </w:r>
          </w:p>
        </w:tc>
        <w:tc>
          <w:tcPr>
            <w:tcW w:w="515" w:type="pct"/>
            <w:noWrap/>
            <w:vAlign w:val="center"/>
            <w:hideMark/>
          </w:tcPr>
          <w:p w14:paraId="61B0894C" w14:textId="77777777" w:rsidR="00DE4516" w:rsidRPr="00A46ADC" w:rsidRDefault="00DE4516" w:rsidP="00DE4516">
            <w:pPr>
              <w:pStyle w:val="TableBody"/>
              <w:autoSpaceDE w:val="0"/>
              <w:autoSpaceDN w:val="0"/>
              <w:adjustRightInd w:val="0"/>
              <w:jc w:val="right"/>
              <w:rPr>
                <w:rFonts w:cs="Calibri"/>
                <w:color w:val="000000"/>
                <w:szCs w:val="16"/>
              </w:rPr>
            </w:pPr>
            <w:r w:rsidRPr="00A46ADC">
              <w:t>1,354.2</w:t>
            </w:r>
          </w:p>
        </w:tc>
        <w:tc>
          <w:tcPr>
            <w:tcW w:w="515" w:type="pct"/>
            <w:noWrap/>
            <w:vAlign w:val="center"/>
            <w:hideMark/>
          </w:tcPr>
          <w:p w14:paraId="4C901243" w14:textId="77777777" w:rsidR="00DE4516" w:rsidRPr="00A46ADC" w:rsidRDefault="00DE4516" w:rsidP="00DE4516">
            <w:pPr>
              <w:pStyle w:val="TableBody"/>
              <w:autoSpaceDE w:val="0"/>
              <w:autoSpaceDN w:val="0"/>
              <w:adjustRightInd w:val="0"/>
              <w:jc w:val="right"/>
              <w:rPr>
                <w:rFonts w:cs="Calibri"/>
                <w:color w:val="000000"/>
                <w:szCs w:val="16"/>
              </w:rPr>
            </w:pPr>
            <w:r w:rsidRPr="00A46ADC">
              <w:t>1,324.4</w:t>
            </w:r>
          </w:p>
        </w:tc>
        <w:tc>
          <w:tcPr>
            <w:tcW w:w="516" w:type="pct"/>
            <w:noWrap/>
            <w:vAlign w:val="center"/>
            <w:hideMark/>
          </w:tcPr>
          <w:p w14:paraId="4E19632A" w14:textId="77777777" w:rsidR="00DE4516" w:rsidRPr="00A46ADC" w:rsidRDefault="00DE4516" w:rsidP="00DE4516">
            <w:pPr>
              <w:pStyle w:val="TableBody"/>
              <w:autoSpaceDE w:val="0"/>
              <w:autoSpaceDN w:val="0"/>
              <w:adjustRightInd w:val="0"/>
              <w:jc w:val="right"/>
              <w:rPr>
                <w:rFonts w:cs="Calibri"/>
                <w:color w:val="000000"/>
                <w:szCs w:val="16"/>
              </w:rPr>
            </w:pPr>
            <w:r w:rsidRPr="00A46ADC">
              <w:t>1,279.0</w:t>
            </w:r>
          </w:p>
        </w:tc>
      </w:tr>
      <w:tr w:rsidR="00DE4516" w:rsidRPr="00045A4A" w14:paraId="5A1EC10A" w14:textId="77777777" w:rsidTr="002C718D">
        <w:trPr>
          <w:cantSplit/>
        </w:trPr>
        <w:tc>
          <w:tcPr>
            <w:tcW w:w="1394" w:type="pct"/>
            <w:noWrap/>
            <w:vAlign w:val="center"/>
            <w:hideMark/>
          </w:tcPr>
          <w:p w14:paraId="36073711" w14:textId="77777777" w:rsidR="00DE4516" w:rsidRPr="00A46ADC" w:rsidRDefault="00DE4516" w:rsidP="00DE4516">
            <w:pPr>
              <w:pStyle w:val="TableBody"/>
              <w:autoSpaceDE w:val="0"/>
              <w:autoSpaceDN w:val="0"/>
              <w:adjustRightInd w:val="0"/>
              <w:jc w:val="both"/>
              <w:rPr>
                <w:rFonts w:cs="Calibri"/>
                <w:color w:val="000000"/>
                <w:szCs w:val="16"/>
              </w:rPr>
            </w:pPr>
            <w:r w:rsidRPr="00A46ADC">
              <w:lastRenderedPageBreak/>
              <w:t>65+</w:t>
            </w:r>
          </w:p>
        </w:tc>
        <w:tc>
          <w:tcPr>
            <w:tcW w:w="515" w:type="pct"/>
            <w:noWrap/>
            <w:vAlign w:val="center"/>
            <w:hideMark/>
          </w:tcPr>
          <w:p w14:paraId="4DD844B1" w14:textId="77777777" w:rsidR="00DE4516" w:rsidRPr="00A46ADC" w:rsidRDefault="00DE4516" w:rsidP="00DE4516">
            <w:pPr>
              <w:pStyle w:val="TableBody"/>
              <w:autoSpaceDE w:val="0"/>
              <w:autoSpaceDN w:val="0"/>
              <w:adjustRightInd w:val="0"/>
              <w:jc w:val="right"/>
              <w:rPr>
                <w:rFonts w:cs="Calibri"/>
                <w:color w:val="000000"/>
                <w:szCs w:val="16"/>
              </w:rPr>
            </w:pPr>
            <w:r w:rsidRPr="00A46ADC">
              <w:t>7.5</w:t>
            </w:r>
          </w:p>
        </w:tc>
        <w:tc>
          <w:tcPr>
            <w:tcW w:w="515" w:type="pct"/>
            <w:noWrap/>
            <w:vAlign w:val="center"/>
            <w:hideMark/>
          </w:tcPr>
          <w:p w14:paraId="7CD01902" w14:textId="77777777" w:rsidR="00DE4516" w:rsidRPr="00A46ADC" w:rsidRDefault="00DE4516" w:rsidP="00DE4516">
            <w:pPr>
              <w:pStyle w:val="TableBody"/>
              <w:autoSpaceDE w:val="0"/>
              <w:autoSpaceDN w:val="0"/>
              <w:adjustRightInd w:val="0"/>
              <w:jc w:val="right"/>
              <w:rPr>
                <w:rFonts w:cs="Calibri"/>
                <w:color w:val="000000"/>
                <w:szCs w:val="16"/>
              </w:rPr>
            </w:pPr>
            <w:r w:rsidRPr="00A46ADC">
              <w:t>8.6</w:t>
            </w:r>
          </w:p>
        </w:tc>
        <w:tc>
          <w:tcPr>
            <w:tcW w:w="515" w:type="pct"/>
            <w:noWrap/>
            <w:vAlign w:val="center"/>
            <w:hideMark/>
          </w:tcPr>
          <w:p w14:paraId="565C5258" w14:textId="77777777" w:rsidR="00DE4516" w:rsidRPr="00A46ADC" w:rsidRDefault="00DE4516" w:rsidP="00DE4516">
            <w:pPr>
              <w:pStyle w:val="TableBody"/>
              <w:autoSpaceDE w:val="0"/>
              <w:autoSpaceDN w:val="0"/>
              <w:adjustRightInd w:val="0"/>
              <w:jc w:val="right"/>
              <w:rPr>
                <w:rFonts w:cs="Calibri"/>
                <w:color w:val="000000"/>
                <w:szCs w:val="16"/>
              </w:rPr>
            </w:pPr>
            <w:r w:rsidRPr="00A46ADC">
              <w:t>9.4</w:t>
            </w:r>
          </w:p>
        </w:tc>
        <w:tc>
          <w:tcPr>
            <w:tcW w:w="515" w:type="pct"/>
            <w:noWrap/>
            <w:vAlign w:val="center"/>
            <w:hideMark/>
          </w:tcPr>
          <w:p w14:paraId="2ECFD41C" w14:textId="77777777" w:rsidR="00DE4516" w:rsidRPr="00A46ADC" w:rsidRDefault="00DE4516" w:rsidP="00DE4516">
            <w:pPr>
              <w:pStyle w:val="TableBody"/>
              <w:autoSpaceDE w:val="0"/>
              <w:autoSpaceDN w:val="0"/>
              <w:adjustRightInd w:val="0"/>
              <w:jc w:val="right"/>
              <w:rPr>
                <w:rFonts w:cs="Calibri"/>
                <w:color w:val="000000"/>
                <w:szCs w:val="16"/>
              </w:rPr>
            </w:pPr>
            <w:r w:rsidRPr="00A46ADC">
              <w:t>8.9</w:t>
            </w:r>
          </w:p>
        </w:tc>
        <w:tc>
          <w:tcPr>
            <w:tcW w:w="515" w:type="pct"/>
            <w:noWrap/>
            <w:vAlign w:val="center"/>
            <w:hideMark/>
          </w:tcPr>
          <w:p w14:paraId="7608FD5A" w14:textId="77777777" w:rsidR="00DE4516" w:rsidRPr="00A46ADC" w:rsidRDefault="00DE4516" w:rsidP="00DE4516">
            <w:pPr>
              <w:pStyle w:val="TableBody"/>
              <w:autoSpaceDE w:val="0"/>
              <w:autoSpaceDN w:val="0"/>
              <w:adjustRightInd w:val="0"/>
              <w:jc w:val="right"/>
              <w:rPr>
                <w:rFonts w:cs="Calibri"/>
                <w:color w:val="000000"/>
                <w:szCs w:val="16"/>
              </w:rPr>
            </w:pPr>
            <w:r w:rsidRPr="00A46ADC">
              <w:t>11.6</w:t>
            </w:r>
          </w:p>
        </w:tc>
        <w:tc>
          <w:tcPr>
            <w:tcW w:w="515" w:type="pct"/>
            <w:noWrap/>
            <w:vAlign w:val="center"/>
            <w:hideMark/>
          </w:tcPr>
          <w:p w14:paraId="51EC54F7" w14:textId="77777777" w:rsidR="00DE4516" w:rsidRPr="00A46ADC" w:rsidRDefault="00DE4516" w:rsidP="00DE4516">
            <w:pPr>
              <w:pStyle w:val="TableBody"/>
              <w:autoSpaceDE w:val="0"/>
              <w:autoSpaceDN w:val="0"/>
              <w:adjustRightInd w:val="0"/>
              <w:jc w:val="right"/>
              <w:rPr>
                <w:rFonts w:cs="Calibri"/>
                <w:color w:val="000000"/>
                <w:szCs w:val="16"/>
              </w:rPr>
            </w:pPr>
            <w:r w:rsidRPr="00A46ADC">
              <w:t>12.5</w:t>
            </w:r>
          </w:p>
        </w:tc>
        <w:tc>
          <w:tcPr>
            <w:tcW w:w="516" w:type="pct"/>
            <w:noWrap/>
            <w:vAlign w:val="center"/>
            <w:hideMark/>
          </w:tcPr>
          <w:p w14:paraId="72845787" w14:textId="77777777" w:rsidR="00DE4516" w:rsidRPr="00A46ADC" w:rsidRDefault="00DE4516" w:rsidP="00DE4516">
            <w:pPr>
              <w:pStyle w:val="TableBody"/>
              <w:autoSpaceDE w:val="0"/>
              <w:autoSpaceDN w:val="0"/>
              <w:adjustRightInd w:val="0"/>
              <w:jc w:val="right"/>
              <w:rPr>
                <w:rFonts w:cs="Calibri"/>
                <w:color w:val="000000"/>
                <w:szCs w:val="16"/>
              </w:rPr>
            </w:pPr>
            <w:r w:rsidRPr="00A46ADC">
              <w:t>16.8</w:t>
            </w:r>
          </w:p>
        </w:tc>
      </w:tr>
      <w:tr w:rsidR="00DE4516" w:rsidRPr="00045A4A" w14:paraId="455F2ED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4" w:type="pct"/>
            <w:noWrap/>
            <w:vAlign w:val="center"/>
            <w:hideMark/>
          </w:tcPr>
          <w:p w14:paraId="68E08528" w14:textId="77777777" w:rsidR="00DE4516" w:rsidRPr="00A46ADC" w:rsidRDefault="00DE4516" w:rsidP="00DE4516">
            <w:pPr>
              <w:pStyle w:val="TableBody"/>
              <w:autoSpaceDE w:val="0"/>
              <w:autoSpaceDN w:val="0"/>
              <w:adjustRightInd w:val="0"/>
              <w:ind w:left="159"/>
              <w:jc w:val="both"/>
              <w:rPr>
                <w:rFonts w:cs="Calibri"/>
                <w:b/>
                <w:bCs/>
                <w:color w:val="000000"/>
                <w:szCs w:val="16"/>
              </w:rPr>
            </w:pPr>
            <w:r w:rsidRPr="00A46ADC">
              <w:rPr>
                <w:b/>
              </w:rPr>
              <w:t>Subtotal</w:t>
            </w:r>
          </w:p>
        </w:tc>
        <w:tc>
          <w:tcPr>
            <w:tcW w:w="515" w:type="pct"/>
            <w:noWrap/>
            <w:vAlign w:val="center"/>
            <w:hideMark/>
          </w:tcPr>
          <w:p w14:paraId="08613849"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1,732.2</w:t>
            </w:r>
          </w:p>
        </w:tc>
        <w:tc>
          <w:tcPr>
            <w:tcW w:w="515" w:type="pct"/>
            <w:noWrap/>
            <w:vAlign w:val="center"/>
            <w:hideMark/>
          </w:tcPr>
          <w:p w14:paraId="14B8F973"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1,814.2</w:t>
            </w:r>
          </w:p>
        </w:tc>
        <w:tc>
          <w:tcPr>
            <w:tcW w:w="515" w:type="pct"/>
            <w:noWrap/>
            <w:vAlign w:val="center"/>
            <w:hideMark/>
          </w:tcPr>
          <w:p w14:paraId="17467BB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1,986.2</w:t>
            </w:r>
          </w:p>
        </w:tc>
        <w:tc>
          <w:tcPr>
            <w:tcW w:w="515" w:type="pct"/>
            <w:noWrap/>
            <w:vAlign w:val="center"/>
            <w:hideMark/>
          </w:tcPr>
          <w:p w14:paraId="06049ACF"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2,054.6</w:t>
            </w:r>
          </w:p>
        </w:tc>
        <w:tc>
          <w:tcPr>
            <w:tcW w:w="515" w:type="pct"/>
            <w:noWrap/>
            <w:vAlign w:val="center"/>
            <w:hideMark/>
          </w:tcPr>
          <w:p w14:paraId="79B3B8AF"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2,022.5</w:t>
            </w:r>
          </w:p>
        </w:tc>
        <w:tc>
          <w:tcPr>
            <w:tcW w:w="515" w:type="pct"/>
            <w:noWrap/>
            <w:vAlign w:val="center"/>
            <w:hideMark/>
          </w:tcPr>
          <w:p w14:paraId="7EC1085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1,962.8</w:t>
            </w:r>
          </w:p>
        </w:tc>
        <w:tc>
          <w:tcPr>
            <w:tcW w:w="516" w:type="pct"/>
            <w:noWrap/>
            <w:vAlign w:val="center"/>
            <w:hideMark/>
          </w:tcPr>
          <w:p w14:paraId="4E69A15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1,900.6</w:t>
            </w:r>
          </w:p>
        </w:tc>
      </w:tr>
      <w:tr w:rsidR="00DE4516" w:rsidRPr="00045A4A" w14:paraId="40904806" w14:textId="77777777" w:rsidTr="002C718D">
        <w:trPr>
          <w:cantSplit/>
        </w:trPr>
        <w:tc>
          <w:tcPr>
            <w:tcW w:w="1394" w:type="pct"/>
            <w:noWrap/>
            <w:vAlign w:val="center"/>
            <w:hideMark/>
          </w:tcPr>
          <w:p w14:paraId="6F94DCB2"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Total</w:t>
            </w:r>
          </w:p>
        </w:tc>
        <w:tc>
          <w:tcPr>
            <w:tcW w:w="515" w:type="pct"/>
            <w:noWrap/>
            <w:vAlign w:val="center"/>
            <w:hideMark/>
          </w:tcPr>
          <w:p w14:paraId="3CE39CC3"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3,992.9</w:t>
            </w:r>
          </w:p>
        </w:tc>
        <w:tc>
          <w:tcPr>
            <w:tcW w:w="515" w:type="pct"/>
            <w:noWrap/>
            <w:vAlign w:val="center"/>
            <w:hideMark/>
          </w:tcPr>
          <w:p w14:paraId="0301C7A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4,159.1</w:t>
            </w:r>
          </w:p>
        </w:tc>
        <w:tc>
          <w:tcPr>
            <w:tcW w:w="515" w:type="pct"/>
            <w:noWrap/>
            <w:vAlign w:val="center"/>
            <w:hideMark/>
          </w:tcPr>
          <w:p w14:paraId="7655DB5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4,414.1</w:t>
            </w:r>
          </w:p>
        </w:tc>
        <w:tc>
          <w:tcPr>
            <w:tcW w:w="515" w:type="pct"/>
            <w:noWrap/>
            <w:vAlign w:val="center"/>
            <w:hideMark/>
          </w:tcPr>
          <w:p w14:paraId="56CD5C5F"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4,560.0</w:t>
            </w:r>
          </w:p>
        </w:tc>
        <w:tc>
          <w:tcPr>
            <w:tcW w:w="515" w:type="pct"/>
            <w:noWrap/>
            <w:vAlign w:val="center"/>
            <w:hideMark/>
          </w:tcPr>
          <w:p w14:paraId="1F5D945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4,601.7</w:t>
            </w:r>
          </w:p>
        </w:tc>
        <w:tc>
          <w:tcPr>
            <w:tcW w:w="515" w:type="pct"/>
            <w:noWrap/>
            <w:vAlign w:val="center"/>
            <w:hideMark/>
          </w:tcPr>
          <w:p w14:paraId="64106954"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4,617.9</w:t>
            </w:r>
          </w:p>
        </w:tc>
        <w:tc>
          <w:tcPr>
            <w:tcW w:w="516" w:type="pct"/>
            <w:noWrap/>
            <w:vAlign w:val="center"/>
            <w:hideMark/>
          </w:tcPr>
          <w:p w14:paraId="64A59D4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4,602.8</w:t>
            </w:r>
          </w:p>
        </w:tc>
      </w:tr>
      <w:tr w:rsidR="00DE4516" w:rsidRPr="00045A4A" w14:paraId="3DC7491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4" w:type="pct"/>
            <w:noWrap/>
            <w:vAlign w:val="center"/>
            <w:hideMark/>
          </w:tcPr>
          <w:p w14:paraId="7A27D8BB"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Natural growth rate (%)</w:t>
            </w:r>
          </w:p>
        </w:tc>
        <w:tc>
          <w:tcPr>
            <w:tcW w:w="515" w:type="pct"/>
            <w:noWrap/>
            <w:vAlign w:val="center"/>
            <w:hideMark/>
          </w:tcPr>
          <w:p w14:paraId="65B273D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3.5</w:t>
            </w:r>
          </w:p>
        </w:tc>
        <w:tc>
          <w:tcPr>
            <w:tcW w:w="515" w:type="pct"/>
            <w:noWrap/>
            <w:vAlign w:val="center"/>
            <w:hideMark/>
          </w:tcPr>
          <w:p w14:paraId="0A14084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4.0</w:t>
            </w:r>
          </w:p>
        </w:tc>
        <w:tc>
          <w:tcPr>
            <w:tcW w:w="515" w:type="pct"/>
            <w:noWrap/>
            <w:vAlign w:val="center"/>
            <w:hideMark/>
          </w:tcPr>
          <w:p w14:paraId="3D8D8213"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5.9</w:t>
            </w:r>
          </w:p>
        </w:tc>
        <w:tc>
          <w:tcPr>
            <w:tcW w:w="515" w:type="pct"/>
            <w:noWrap/>
            <w:vAlign w:val="center"/>
            <w:hideMark/>
          </w:tcPr>
          <w:p w14:paraId="78C3F24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3.3</w:t>
            </w:r>
          </w:p>
        </w:tc>
        <w:tc>
          <w:tcPr>
            <w:tcW w:w="515" w:type="pct"/>
            <w:noWrap/>
            <w:vAlign w:val="center"/>
            <w:hideMark/>
          </w:tcPr>
          <w:p w14:paraId="1032BD2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0.9</w:t>
            </w:r>
          </w:p>
        </w:tc>
        <w:tc>
          <w:tcPr>
            <w:tcW w:w="515" w:type="pct"/>
            <w:noWrap/>
            <w:vAlign w:val="center"/>
            <w:hideMark/>
          </w:tcPr>
          <w:p w14:paraId="058E4FF7"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0.4</w:t>
            </w:r>
          </w:p>
        </w:tc>
        <w:tc>
          <w:tcPr>
            <w:tcW w:w="516" w:type="pct"/>
            <w:noWrap/>
            <w:vAlign w:val="center"/>
            <w:hideMark/>
          </w:tcPr>
          <w:p w14:paraId="3F9E7A5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-0.3</w:t>
            </w:r>
          </w:p>
        </w:tc>
      </w:tr>
      <w:tr w:rsidR="00DE4516" w:rsidRPr="00045A4A" w14:paraId="3204E9E5" w14:textId="77777777" w:rsidTr="002C718D">
        <w:trPr>
          <w:cantSplit/>
        </w:trPr>
        <w:tc>
          <w:tcPr>
            <w:tcW w:w="1394" w:type="pct"/>
            <w:noWrap/>
            <w:vAlign w:val="center"/>
            <w:hideMark/>
          </w:tcPr>
          <w:p w14:paraId="214CFFFB"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Omani</w:t>
            </w:r>
          </w:p>
        </w:tc>
        <w:tc>
          <w:tcPr>
            <w:tcW w:w="515" w:type="pct"/>
            <w:noWrap/>
            <w:vAlign w:val="center"/>
            <w:hideMark/>
          </w:tcPr>
          <w:p w14:paraId="2205123B" w14:textId="77777777" w:rsidR="00DE4516" w:rsidRPr="00A46ADC" w:rsidRDefault="00DE4516" w:rsidP="00DE4516">
            <w:pPr>
              <w:pStyle w:val="TableBody"/>
              <w:autoSpaceDE w:val="0"/>
              <w:autoSpaceDN w:val="0"/>
              <w:adjustRightInd w:val="0"/>
              <w:jc w:val="right"/>
              <w:rPr>
                <w:rFonts w:cs="Calibri"/>
                <w:color w:val="000000"/>
                <w:szCs w:val="16"/>
              </w:rPr>
            </w:pPr>
            <w:r w:rsidRPr="00A46ADC">
              <w:t>4.0</w:t>
            </w:r>
          </w:p>
        </w:tc>
        <w:tc>
          <w:tcPr>
            <w:tcW w:w="515" w:type="pct"/>
            <w:noWrap/>
            <w:vAlign w:val="center"/>
            <w:hideMark/>
          </w:tcPr>
          <w:p w14:paraId="3799374D" w14:textId="77777777" w:rsidR="00DE4516" w:rsidRPr="00A46ADC" w:rsidRDefault="00DE4516" w:rsidP="00DE4516">
            <w:pPr>
              <w:pStyle w:val="TableBody"/>
              <w:autoSpaceDE w:val="0"/>
              <w:autoSpaceDN w:val="0"/>
              <w:adjustRightInd w:val="0"/>
              <w:jc w:val="right"/>
              <w:rPr>
                <w:rFonts w:cs="Calibri"/>
                <w:color w:val="000000"/>
                <w:szCs w:val="16"/>
              </w:rPr>
            </w:pPr>
            <w:r w:rsidRPr="00A46ADC">
              <w:t>3.7</w:t>
            </w:r>
          </w:p>
        </w:tc>
        <w:tc>
          <w:tcPr>
            <w:tcW w:w="515" w:type="pct"/>
            <w:noWrap/>
            <w:vAlign w:val="center"/>
            <w:hideMark/>
          </w:tcPr>
          <w:p w14:paraId="0BEB64F6" w14:textId="77777777" w:rsidR="00DE4516" w:rsidRPr="00A46ADC" w:rsidRDefault="00DE4516" w:rsidP="00DE4516">
            <w:pPr>
              <w:pStyle w:val="TableBody"/>
              <w:autoSpaceDE w:val="0"/>
              <w:autoSpaceDN w:val="0"/>
              <w:adjustRightInd w:val="0"/>
              <w:jc w:val="right"/>
              <w:rPr>
                <w:rFonts w:cs="Calibri"/>
                <w:color w:val="000000"/>
                <w:szCs w:val="16"/>
              </w:rPr>
            </w:pPr>
            <w:r w:rsidRPr="00A46ADC">
              <w:t>3.5</w:t>
            </w:r>
          </w:p>
        </w:tc>
        <w:tc>
          <w:tcPr>
            <w:tcW w:w="515" w:type="pct"/>
            <w:noWrap/>
            <w:vAlign w:val="center"/>
            <w:hideMark/>
          </w:tcPr>
          <w:p w14:paraId="608CD8A1" w14:textId="77777777" w:rsidR="00DE4516" w:rsidRPr="00A46ADC" w:rsidRDefault="00DE4516" w:rsidP="00DE4516">
            <w:pPr>
              <w:pStyle w:val="TableBody"/>
              <w:autoSpaceDE w:val="0"/>
              <w:autoSpaceDN w:val="0"/>
              <w:adjustRightInd w:val="0"/>
              <w:jc w:val="right"/>
              <w:rPr>
                <w:rFonts w:cs="Calibri"/>
                <w:color w:val="000000"/>
                <w:szCs w:val="16"/>
              </w:rPr>
            </w:pPr>
            <w:r w:rsidRPr="00A46ADC">
              <w:t>3.1</w:t>
            </w:r>
          </w:p>
        </w:tc>
        <w:tc>
          <w:tcPr>
            <w:tcW w:w="515" w:type="pct"/>
            <w:noWrap/>
            <w:vAlign w:val="center"/>
            <w:hideMark/>
          </w:tcPr>
          <w:p w14:paraId="165F7939"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c>
          <w:tcPr>
            <w:tcW w:w="515" w:type="pct"/>
            <w:noWrap/>
            <w:vAlign w:val="center"/>
            <w:hideMark/>
          </w:tcPr>
          <w:p w14:paraId="67BA464A"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c>
          <w:tcPr>
            <w:tcW w:w="516" w:type="pct"/>
            <w:noWrap/>
            <w:vAlign w:val="center"/>
            <w:hideMark/>
          </w:tcPr>
          <w:p w14:paraId="702762C4" w14:textId="77777777" w:rsidR="00DE4516" w:rsidRPr="00A46ADC" w:rsidRDefault="00DE4516" w:rsidP="00DE4516">
            <w:pPr>
              <w:pStyle w:val="TableBody"/>
              <w:autoSpaceDE w:val="0"/>
              <w:autoSpaceDN w:val="0"/>
              <w:adjustRightInd w:val="0"/>
              <w:jc w:val="right"/>
              <w:rPr>
                <w:rFonts w:cs="Calibri"/>
                <w:color w:val="000000"/>
                <w:szCs w:val="16"/>
              </w:rPr>
            </w:pPr>
            <w:r w:rsidRPr="00A46ADC">
              <w:t>1.8</w:t>
            </w:r>
          </w:p>
        </w:tc>
      </w:tr>
      <w:tr w:rsidR="00DE4516" w:rsidRPr="00045A4A" w14:paraId="492139F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4" w:type="pct"/>
            <w:noWrap/>
            <w:vAlign w:val="center"/>
            <w:hideMark/>
          </w:tcPr>
          <w:p w14:paraId="018DD73A"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Age-dependency ratio</w:t>
            </w:r>
          </w:p>
        </w:tc>
        <w:tc>
          <w:tcPr>
            <w:tcW w:w="515" w:type="pct"/>
            <w:noWrap/>
            <w:vAlign w:val="center"/>
            <w:hideMark/>
          </w:tcPr>
          <w:p w14:paraId="3986882A"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32.0</w:t>
            </w:r>
          </w:p>
        </w:tc>
        <w:tc>
          <w:tcPr>
            <w:tcW w:w="515" w:type="pct"/>
            <w:noWrap/>
            <w:vAlign w:val="center"/>
            <w:hideMark/>
          </w:tcPr>
          <w:p w14:paraId="792280A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33.2</w:t>
            </w:r>
          </w:p>
        </w:tc>
        <w:tc>
          <w:tcPr>
            <w:tcW w:w="515" w:type="pct"/>
            <w:noWrap/>
            <w:vAlign w:val="center"/>
            <w:hideMark/>
          </w:tcPr>
          <w:p w14:paraId="3BAEAAB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32.4</w:t>
            </w:r>
          </w:p>
        </w:tc>
        <w:tc>
          <w:tcPr>
            <w:tcW w:w="515" w:type="pct"/>
            <w:noWrap/>
            <w:vAlign w:val="center"/>
            <w:hideMark/>
          </w:tcPr>
          <w:p w14:paraId="36D6ECF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32.7</w:t>
            </w:r>
          </w:p>
        </w:tc>
        <w:tc>
          <w:tcPr>
            <w:tcW w:w="515" w:type="pct"/>
            <w:noWrap/>
            <w:vAlign w:val="center"/>
            <w:hideMark/>
          </w:tcPr>
          <w:p w14:paraId="6E4CAC9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32.4</w:t>
            </w:r>
          </w:p>
        </w:tc>
        <w:tc>
          <w:tcPr>
            <w:tcW w:w="515" w:type="pct"/>
            <w:noWrap/>
            <w:vAlign w:val="center"/>
            <w:hideMark/>
          </w:tcPr>
          <w:p w14:paraId="0E8540C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35.7</w:t>
            </w:r>
          </w:p>
        </w:tc>
        <w:tc>
          <w:tcPr>
            <w:tcW w:w="516" w:type="pct"/>
            <w:noWrap/>
            <w:vAlign w:val="center"/>
            <w:hideMark/>
          </w:tcPr>
          <w:p w14:paraId="2912966A"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39.2</w:t>
            </w:r>
          </w:p>
        </w:tc>
      </w:tr>
      <w:tr w:rsidR="00DE4516" w:rsidRPr="00045A4A" w14:paraId="0D865A7F" w14:textId="77777777" w:rsidTr="002C718D">
        <w:trPr>
          <w:cantSplit/>
        </w:trPr>
        <w:tc>
          <w:tcPr>
            <w:tcW w:w="1394" w:type="pct"/>
            <w:tcBorders>
              <w:bottom w:val="single" w:sz="4" w:space="0" w:color="auto"/>
            </w:tcBorders>
            <w:noWrap/>
            <w:vAlign w:val="center"/>
            <w:hideMark/>
          </w:tcPr>
          <w:p w14:paraId="1AB9DAA7"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Omani</w:t>
            </w:r>
          </w:p>
        </w:tc>
        <w:tc>
          <w:tcPr>
            <w:tcW w:w="515" w:type="pct"/>
            <w:tcBorders>
              <w:bottom w:val="single" w:sz="4" w:space="0" w:color="auto"/>
            </w:tcBorders>
            <w:noWrap/>
            <w:vAlign w:val="center"/>
            <w:hideMark/>
          </w:tcPr>
          <w:p w14:paraId="6706004C" w14:textId="77777777" w:rsidR="00DE4516" w:rsidRPr="00A46ADC" w:rsidRDefault="00DE4516" w:rsidP="00DE4516">
            <w:pPr>
              <w:pStyle w:val="TableBody"/>
              <w:autoSpaceDE w:val="0"/>
              <w:autoSpaceDN w:val="0"/>
              <w:adjustRightInd w:val="0"/>
              <w:jc w:val="right"/>
              <w:rPr>
                <w:rFonts w:cs="Calibri"/>
                <w:color w:val="000000"/>
                <w:szCs w:val="16"/>
              </w:rPr>
            </w:pPr>
            <w:r w:rsidRPr="00A46ADC">
              <w:t>64.8</w:t>
            </w:r>
          </w:p>
        </w:tc>
        <w:tc>
          <w:tcPr>
            <w:tcW w:w="515" w:type="pct"/>
            <w:tcBorders>
              <w:bottom w:val="single" w:sz="4" w:space="0" w:color="auto"/>
            </w:tcBorders>
            <w:noWrap/>
            <w:vAlign w:val="center"/>
            <w:hideMark/>
          </w:tcPr>
          <w:p w14:paraId="6C465652" w14:textId="77777777" w:rsidR="00DE4516" w:rsidRPr="00A46ADC" w:rsidRDefault="00DE4516" w:rsidP="00DE4516">
            <w:pPr>
              <w:pStyle w:val="TableBody"/>
              <w:autoSpaceDE w:val="0"/>
              <w:autoSpaceDN w:val="0"/>
              <w:adjustRightInd w:val="0"/>
              <w:jc w:val="right"/>
              <w:rPr>
                <w:rFonts w:cs="Calibri"/>
                <w:color w:val="000000"/>
                <w:szCs w:val="16"/>
              </w:rPr>
            </w:pPr>
            <w:r w:rsidRPr="00A46ADC">
              <w:t>66.7</w:t>
            </w:r>
          </w:p>
        </w:tc>
        <w:tc>
          <w:tcPr>
            <w:tcW w:w="515" w:type="pct"/>
            <w:tcBorders>
              <w:bottom w:val="single" w:sz="4" w:space="0" w:color="auto"/>
            </w:tcBorders>
            <w:noWrap/>
            <w:vAlign w:val="center"/>
            <w:hideMark/>
          </w:tcPr>
          <w:p w14:paraId="616A8B83" w14:textId="77777777" w:rsidR="00DE4516" w:rsidRPr="00A46ADC" w:rsidRDefault="00DE4516" w:rsidP="00DE4516">
            <w:pPr>
              <w:pStyle w:val="TableBody"/>
              <w:autoSpaceDE w:val="0"/>
              <w:autoSpaceDN w:val="0"/>
              <w:adjustRightInd w:val="0"/>
              <w:jc w:val="right"/>
              <w:rPr>
                <w:rFonts w:cs="Calibri"/>
                <w:color w:val="000000"/>
                <w:szCs w:val="16"/>
              </w:rPr>
            </w:pPr>
            <w:r w:rsidRPr="00A46ADC">
              <w:t>67.9</w:t>
            </w:r>
          </w:p>
        </w:tc>
        <w:tc>
          <w:tcPr>
            <w:tcW w:w="515" w:type="pct"/>
            <w:tcBorders>
              <w:bottom w:val="single" w:sz="4" w:space="0" w:color="auto"/>
            </w:tcBorders>
            <w:noWrap/>
            <w:vAlign w:val="center"/>
            <w:hideMark/>
          </w:tcPr>
          <w:p w14:paraId="4F770704" w14:textId="77777777" w:rsidR="00DE4516" w:rsidRPr="00A46ADC" w:rsidRDefault="00DE4516" w:rsidP="00DE4516">
            <w:pPr>
              <w:pStyle w:val="TableBody"/>
              <w:autoSpaceDE w:val="0"/>
              <w:autoSpaceDN w:val="0"/>
              <w:adjustRightInd w:val="0"/>
              <w:jc w:val="right"/>
              <w:rPr>
                <w:rFonts w:cs="Calibri"/>
                <w:color w:val="000000"/>
                <w:szCs w:val="16"/>
              </w:rPr>
            </w:pPr>
            <w:r w:rsidRPr="00A46ADC">
              <w:t>69.7</w:t>
            </w:r>
          </w:p>
        </w:tc>
        <w:tc>
          <w:tcPr>
            <w:tcW w:w="515" w:type="pct"/>
            <w:tcBorders>
              <w:bottom w:val="single" w:sz="4" w:space="0" w:color="auto"/>
            </w:tcBorders>
            <w:noWrap/>
            <w:vAlign w:val="center"/>
            <w:hideMark/>
          </w:tcPr>
          <w:p w14:paraId="245509E8" w14:textId="77777777" w:rsidR="00DE4516" w:rsidRPr="00A46ADC" w:rsidRDefault="00DE4516" w:rsidP="00DE4516">
            <w:pPr>
              <w:pStyle w:val="TableBody"/>
              <w:autoSpaceDE w:val="0"/>
              <w:autoSpaceDN w:val="0"/>
              <w:adjustRightInd w:val="0"/>
              <w:jc w:val="right"/>
              <w:rPr>
                <w:rFonts w:cs="Calibri"/>
                <w:color w:val="000000"/>
                <w:szCs w:val="16"/>
              </w:rPr>
            </w:pPr>
            <w:r w:rsidRPr="00A46ADC">
              <w:t>70.8</w:t>
            </w:r>
          </w:p>
        </w:tc>
        <w:tc>
          <w:tcPr>
            <w:tcW w:w="515" w:type="pct"/>
            <w:tcBorders>
              <w:bottom w:val="single" w:sz="4" w:space="0" w:color="auto"/>
            </w:tcBorders>
            <w:noWrap/>
            <w:vAlign w:val="center"/>
            <w:hideMark/>
          </w:tcPr>
          <w:p w14:paraId="6D69E0DF" w14:textId="77777777" w:rsidR="00DE4516" w:rsidRPr="00A46ADC" w:rsidRDefault="00DE4516" w:rsidP="00DE4516">
            <w:pPr>
              <w:pStyle w:val="TableBody"/>
              <w:autoSpaceDE w:val="0"/>
              <w:autoSpaceDN w:val="0"/>
              <w:adjustRightInd w:val="0"/>
              <w:jc w:val="right"/>
              <w:rPr>
                <w:rFonts w:cs="Calibri"/>
                <w:color w:val="000000"/>
                <w:szCs w:val="16"/>
              </w:rPr>
            </w:pPr>
            <w:r w:rsidRPr="00A46ADC">
              <w:t>72.2</w:t>
            </w:r>
          </w:p>
        </w:tc>
        <w:tc>
          <w:tcPr>
            <w:tcW w:w="516" w:type="pct"/>
            <w:tcBorders>
              <w:bottom w:val="single" w:sz="4" w:space="0" w:color="auto"/>
            </w:tcBorders>
            <w:noWrap/>
            <w:vAlign w:val="center"/>
            <w:hideMark/>
          </w:tcPr>
          <w:p w14:paraId="11E4B1D1" w14:textId="77777777" w:rsidR="00DE4516" w:rsidRPr="00A46ADC" w:rsidRDefault="00DE4516" w:rsidP="00DE4516">
            <w:pPr>
              <w:pStyle w:val="TableBody"/>
              <w:autoSpaceDE w:val="0"/>
              <w:autoSpaceDN w:val="0"/>
              <w:adjustRightInd w:val="0"/>
              <w:jc w:val="right"/>
              <w:rPr>
                <w:rFonts w:cs="Calibri"/>
                <w:color w:val="000000"/>
                <w:szCs w:val="16"/>
              </w:rPr>
            </w:pPr>
            <w:r w:rsidRPr="00A46ADC">
              <w:t>72.8</w:t>
            </w:r>
          </w:p>
        </w:tc>
      </w:tr>
    </w:tbl>
    <w:p w14:paraId="22AEF6F0" w14:textId="06E7F77A" w:rsidR="00DE4516" w:rsidRDefault="00DE4516">
      <w:pPr>
        <w:pStyle w:val="TableSource"/>
        <w:autoSpaceDE w:val="0"/>
        <w:autoSpaceDN w:val="0"/>
        <w:adjustRightInd w:val="0"/>
        <w:rPr>
          <w:szCs w:val="24"/>
        </w:rPr>
      </w:pPr>
      <w:r>
        <w:rPr>
          <w:szCs w:val="24"/>
        </w:rPr>
        <w:t>Source:</w:t>
      </w:r>
      <w:r>
        <w:rPr>
          <w:szCs w:val="24"/>
        </w:rPr>
        <w:tab/>
        <w:t xml:space="preserve">National Centre for Statistics and Information, </w:t>
      </w:r>
      <w:r>
        <w:rPr>
          <w:i/>
          <w:szCs w:val="24"/>
        </w:rPr>
        <w:t>Population</w:t>
      </w:r>
      <w:r>
        <w:rPr>
          <w:szCs w:val="24"/>
        </w:rPr>
        <w:t xml:space="preserve">. Viewed at: </w:t>
      </w:r>
      <w:hyperlink r:id="rId14" w:history="1">
        <w:r w:rsidRPr="00D5600E">
          <w:rPr>
            <w:color w:val="0000FF"/>
            <w:szCs w:val="24"/>
            <w:u w:val="single"/>
          </w:rPr>
          <w:t>https://data.gov.om/OMPOP2016/population</w:t>
        </w:r>
      </w:hyperlink>
      <w:r>
        <w:rPr>
          <w:szCs w:val="24"/>
        </w:rPr>
        <w:t>.</w:t>
      </w:r>
    </w:p>
    <w:p w14:paraId="2D442596" w14:textId="77777777" w:rsidR="00DE4516" w:rsidRDefault="00DE4516">
      <w:pPr>
        <w:pStyle w:val="Heading20"/>
        <w:autoSpaceDE w:val="0"/>
        <w:autoSpaceDN w:val="0"/>
        <w:adjustRightInd w:val="0"/>
        <w:rPr>
          <w:szCs w:val="24"/>
        </w:rPr>
      </w:pPr>
      <w:r>
        <w:rPr>
          <w:szCs w:val="24"/>
        </w:rPr>
        <w:t>Recent Economic Developments</w:t>
      </w:r>
    </w:p>
    <w:p w14:paraId="2A62C183" w14:textId="77777777" w:rsidR="00DE4516" w:rsidRDefault="00DE4516">
      <w:pPr>
        <w:pStyle w:val="BodyText0"/>
        <w:autoSpaceDE w:val="0"/>
        <w:autoSpaceDN w:val="0"/>
        <w:adjustRightInd w:val="0"/>
        <w:rPr>
          <w:szCs w:val="24"/>
        </w:rPr>
      </w:pPr>
      <w:r>
        <w:rPr>
          <w:szCs w:val="24"/>
        </w:rPr>
        <w:t>During the review period (2014-20), Oman's economy grew to a peak in 2016 at a rate of 5.1% before it began a sharp slowdown in 2017. The economy contracted by 0.8% in 2019, and the contraction in 2020 was widened to 6.4%, according to preliminary data (</w:t>
      </w:r>
      <w:r>
        <w:rPr>
          <w:rStyle w:val="citetbl"/>
          <w:szCs w:val="24"/>
        </w:rPr>
        <w:t>Table 1.3</w:t>
      </w:r>
      <w:r>
        <w:rPr>
          <w:szCs w:val="24"/>
        </w:rPr>
        <w:t>).</w:t>
      </w:r>
    </w:p>
    <w:p w14:paraId="29A68626" w14:textId="77777777" w:rsidR="00DE4516" w:rsidRDefault="00DE4516">
      <w:pPr>
        <w:pStyle w:val="TableTitle"/>
        <w:autoSpaceDE w:val="0"/>
        <w:autoSpaceDN w:val="0"/>
        <w:adjustRightInd w:val="0"/>
      </w:pPr>
      <w:r>
        <w:t>Table 1.3 Selected macroeconomic indicators, 2014-20</w:t>
      </w:r>
    </w:p>
    <w:tbl>
      <w:tblPr>
        <w:tblStyle w:val="WTOTable1"/>
        <w:tblW w:w="9021" w:type="dxa"/>
        <w:tblLayout w:type="fixed"/>
        <w:tblLook w:val="05E0" w:firstRow="1" w:lastRow="1" w:firstColumn="1" w:lastColumn="1" w:noHBand="0" w:noVBand="1"/>
      </w:tblPr>
      <w:tblGrid>
        <w:gridCol w:w="4106"/>
        <w:gridCol w:w="709"/>
        <w:gridCol w:w="709"/>
        <w:gridCol w:w="708"/>
        <w:gridCol w:w="709"/>
        <w:gridCol w:w="709"/>
        <w:gridCol w:w="709"/>
        <w:gridCol w:w="662"/>
      </w:tblGrid>
      <w:tr w:rsidR="00DE4516" w:rsidRPr="007F015E" w14:paraId="2CBAC8B2"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4106" w:type="dxa"/>
            <w:tcBorders>
              <w:top w:val="single" w:sz="4" w:space="0" w:color="auto"/>
            </w:tcBorders>
            <w:noWrap/>
            <w:vAlign w:val="center"/>
            <w:hideMark/>
          </w:tcPr>
          <w:p w14:paraId="4D2083EB" w14:textId="77777777" w:rsidR="00DE4516" w:rsidRPr="007F015E" w:rsidRDefault="00DE4516" w:rsidP="00DE4516">
            <w:pPr>
              <w:pStyle w:val="TableHead"/>
              <w:autoSpaceDE w:val="0"/>
              <w:autoSpaceDN w:val="0"/>
              <w:adjustRightInd w:val="0"/>
              <w:rPr>
                <w:b/>
              </w:rPr>
            </w:pPr>
          </w:p>
        </w:tc>
        <w:tc>
          <w:tcPr>
            <w:tcW w:w="709" w:type="dxa"/>
            <w:tcBorders>
              <w:top w:val="single" w:sz="4" w:space="0" w:color="auto"/>
            </w:tcBorders>
            <w:noWrap/>
            <w:vAlign w:val="center"/>
            <w:hideMark/>
          </w:tcPr>
          <w:p w14:paraId="7371B458" w14:textId="77777777" w:rsidR="00DE4516" w:rsidRPr="007F015E" w:rsidRDefault="00DE4516" w:rsidP="00DE4516">
            <w:pPr>
              <w:pStyle w:val="TableHead"/>
              <w:autoSpaceDE w:val="0"/>
              <w:autoSpaceDN w:val="0"/>
              <w:adjustRightInd w:val="0"/>
              <w:jc w:val="right"/>
              <w:rPr>
                <w:rFonts w:cs="Calibri"/>
                <w:b/>
                <w:sz w:val="15"/>
                <w:szCs w:val="16"/>
              </w:rPr>
            </w:pPr>
            <w:r w:rsidRPr="007F015E">
              <w:rPr>
                <w:b/>
              </w:rPr>
              <w:t>2014</w:t>
            </w:r>
          </w:p>
        </w:tc>
        <w:tc>
          <w:tcPr>
            <w:tcW w:w="709" w:type="dxa"/>
            <w:tcBorders>
              <w:top w:val="single" w:sz="4" w:space="0" w:color="auto"/>
            </w:tcBorders>
            <w:noWrap/>
            <w:vAlign w:val="center"/>
            <w:hideMark/>
          </w:tcPr>
          <w:p w14:paraId="6C209C56" w14:textId="77777777" w:rsidR="00DE4516" w:rsidRPr="007F015E" w:rsidRDefault="00DE4516" w:rsidP="00DE4516">
            <w:pPr>
              <w:pStyle w:val="TableHead"/>
              <w:autoSpaceDE w:val="0"/>
              <w:autoSpaceDN w:val="0"/>
              <w:adjustRightInd w:val="0"/>
              <w:jc w:val="right"/>
              <w:rPr>
                <w:rFonts w:cs="Calibri"/>
                <w:b/>
                <w:sz w:val="15"/>
                <w:szCs w:val="16"/>
              </w:rPr>
            </w:pPr>
            <w:r w:rsidRPr="007F015E">
              <w:rPr>
                <w:b/>
              </w:rPr>
              <w:t>2015</w:t>
            </w:r>
          </w:p>
        </w:tc>
        <w:tc>
          <w:tcPr>
            <w:tcW w:w="708" w:type="dxa"/>
            <w:tcBorders>
              <w:top w:val="single" w:sz="4" w:space="0" w:color="auto"/>
            </w:tcBorders>
            <w:noWrap/>
            <w:vAlign w:val="center"/>
            <w:hideMark/>
          </w:tcPr>
          <w:p w14:paraId="3A1A7F8F" w14:textId="77777777" w:rsidR="00DE4516" w:rsidRPr="007F015E" w:rsidRDefault="00DE4516" w:rsidP="00DE4516">
            <w:pPr>
              <w:pStyle w:val="TableHead"/>
              <w:autoSpaceDE w:val="0"/>
              <w:autoSpaceDN w:val="0"/>
              <w:adjustRightInd w:val="0"/>
              <w:jc w:val="right"/>
              <w:rPr>
                <w:rFonts w:cs="Calibri"/>
                <w:b/>
                <w:sz w:val="15"/>
                <w:szCs w:val="16"/>
              </w:rPr>
            </w:pPr>
            <w:r w:rsidRPr="007F015E">
              <w:rPr>
                <w:b/>
              </w:rPr>
              <w:t>2016</w:t>
            </w:r>
          </w:p>
        </w:tc>
        <w:tc>
          <w:tcPr>
            <w:tcW w:w="709" w:type="dxa"/>
            <w:tcBorders>
              <w:top w:val="single" w:sz="4" w:space="0" w:color="auto"/>
            </w:tcBorders>
            <w:noWrap/>
            <w:vAlign w:val="center"/>
            <w:hideMark/>
          </w:tcPr>
          <w:p w14:paraId="259C7594" w14:textId="77777777" w:rsidR="00DE4516" w:rsidRPr="007F015E" w:rsidRDefault="00DE4516" w:rsidP="00DE4516">
            <w:pPr>
              <w:pStyle w:val="TableHead"/>
              <w:autoSpaceDE w:val="0"/>
              <w:autoSpaceDN w:val="0"/>
              <w:adjustRightInd w:val="0"/>
              <w:jc w:val="right"/>
              <w:rPr>
                <w:rFonts w:cs="Calibri"/>
                <w:b/>
                <w:sz w:val="15"/>
                <w:szCs w:val="16"/>
              </w:rPr>
            </w:pPr>
            <w:r w:rsidRPr="007F015E">
              <w:rPr>
                <w:b/>
              </w:rPr>
              <w:t>2017</w:t>
            </w:r>
          </w:p>
        </w:tc>
        <w:tc>
          <w:tcPr>
            <w:tcW w:w="709" w:type="dxa"/>
            <w:tcBorders>
              <w:top w:val="single" w:sz="4" w:space="0" w:color="auto"/>
            </w:tcBorders>
            <w:noWrap/>
            <w:vAlign w:val="center"/>
            <w:hideMark/>
          </w:tcPr>
          <w:p w14:paraId="7E57866E" w14:textId="77777777" w:rsidR="00DE4516" w:rsidRPr="007F015E" w:rsidRDefault="00DE4516" w:rsidP="00DE4516">
            <w:pPr>
              <w:pStyle w:val="TableHead"/>
              <w:autoSpaceDE w:val="0"/>
              <w:autoSpaceDN w:val="0"/>
              <w:adjustRightInd w:val="0"/>
              <w:jc w:val="right"/>
              <w:rPr>
                <w:rFonts w:cs="Calibri"/>
                <w:b/>
                <w:sz w:val="15"/>
                <w:szCs w:val="16"/>
              </w:rPr>
            </w:pPr>
            <w:r w:rsidRPr="007F015E">
              <w:rPr>
                <w:b/>
              </w:rPr>
              <w:t>2018</w:t>
            </w:r>
          </w:p>
        </w:tc>
        <w:tc>
          <w:tcPr>
            <w:tcW w:w="709" w:type="dxa"/>
            <w:tcBorders>
              <w:top w:val="single" w:sz="4" w:space="0" w:color="auto"/>
            </w:tcBorders>
            <w:noWrap/>
            <w:vAlign w:val="center"/>
            <w:hideMark/>
          </w:tcPr>
          <w:p w14:paraId="7ECD17BA" w14:textId="77777777" w:rsidR="00DE4516" w:rsidRPr="007F015E" w:rsidRDefault="00DE4516" w:rsidP="00DE4516">
            <w:pPr>
              <w:pStyle w:val="TableHead"/>
              <w:autoSpaceDE w:val="0"/>
              <w:autoSpaceDN w:val="0"/>
              <w:adjustRightInd w:val="0"/>
              <w:jc w:val="right"/>
              <w:rPr>
                <w:rFonts w:cs="Calibri"/>
                <w:b/>
                <w:sz w:val="15"/>
                <w:szCs w:val="16"/>
              </w:rPr>
            </w:pPr>
            <w:r w:rsidRPr="007F015E">
              <w:rPr>
                <w:b/>
              </w:rPr>
              <w:t>2019</w:t>
            </w:r>
          </w:p>
        </w:tc>
        <w:tc>
          <w:tcPr>
            <w:tcW w:w="662" w:type="dxa"/>
            <w:tcBorders>
              <w:top w:val="single" w:sz="4" w:space="0" w:color="auto"/>
            </w:tcBorders>
            <w:noWrap/>
            <w:vAlign w:val="center"/>
            <w:hideMark/>
          </w:tcPr>
          <w:p w14:paraId="1D143ED2" w14:textId="77777777" w:rsidR="00DE4516" w:rsidRPr="007F015E" w:rsidRDefault="00DE4516" w:rsidP="00DE4516">
            <w:pPr>
              <w:pStyle w:val="TableHead"/>
              <w:autoSpaceDE w:val="0"/>
              <w:autoSpaceDN w:val="0"/>
              <w:adjustRightInd w:val="0"/>
              <w:jc w:val="right"/>
              <w:rPr>
                <w:rFonts w:cs="Calibri"/>
                <w:b/>
                <w:sz w:val="15"/>
                <w:szCs w:val="16"/>
              </w:rPr>
            </w:pPr>
            <w:r w:rsidRPr="007F015E">
              <w:rPr>
                <w:b/>
              </w:rPr>
              <w:t>2020</w:t>
            </w:r>
          </w:p>
        </w:tc>
      </w:tr>
      <w:tr w:rsidR="00DE4516" w:rsidRPr="00045A4A" w14:paraId="596C6326" w14:textId="77777777" w:rsidTr="002C718D">
        <w:trPr>
          <w:cantSplit/>
        </w:trPr>
        <w:tc>
          <w:tcPr>
            <w:tcW w:w="4106" w:type="dxa"/>
            <w:noWrap/>
            <w:vAlign w:val="center"/>
            <w:hideMark/>
          </w:tcPr>
          <w:p w14:paraId="14B2164E" w14:textId="77777777" w:rsidR="00DE4516" w:rsidRPr="00A46ADC" w:rsidRDefault="00DE4516" w:rsidP="00DE4516">
            <w:pPr>
              <w:pStyle w:val="TableBody"/>
              <w:autoSpaceDE w:val="0"/>
              <w:autoSpaceDN w:val="0"/>
              <w:adjustRightInd w:val="0"/>
              <w:jc w:val="both"/>
              <w:rPr>
                <w:rFonts w:cs="Calibri"/>
                <w:sz w:val="15"/>
                <w:szCs w:val="16"/>
              </w:rPr>
            </w:pPr>
            <w:r w:rsidRPr="00A46ADC">
              <w:t>GDP at current prices (OMR billion)</w:t>
            </w:r>
          </w:p>
        </w:tc>
        <w:tc>
          <w:tcPr>
            <w:tcW w:w="709" w:type="dxa"/>
            <w:noWrap/>
            <w:vAlign w:val="center"/>
            <w:hideMark/>
          </w:tcPr>
          <w:p w14:paraId="0F0E6650" w14:textId="77777777" w:rsidR="00DE4516" w:rsidRPr="00A46ADC" w:rsidRDefault="00DE4516" w:rsidP="00DE4516">
            <w:pPr>
              <w:pStyle w:val="TableBody"/>
              <w:autoSpaceDE w:val="0"/>
              <w:autoSpaceDN w:val="0"/>
              <w:adjustRightInd w:val="0"/>
              <w:jc w:val="right"/>
              <w:rPr>
                <w:rFonts w:cs="Calibri"/>
                <w:sz w:val="15"/>
                <w:szCs w:val="16"/>
              </w:rPr>
            </w:pPr>
            <w:r w:rsidRPr="00A46ADC">
              <w:t>31.0</w:t>
            </w:r>
          </w:p>
        </w:tc>
        <w:tc>
          <w:tcPr>
            <w:tcW w:w="709" w:type="dxa"/>
            <w:noWrap/>
            <w:vAlign w:val="center"/>
            <w:hideMark/>
          </w:tcPr>
          <w:p w14:paraId="3677B27A" w14:textId="77777777" w:rsidR="00DE4516" w:rsidRPr="00A46ADC" w:rsidRDefault="00DE4516" w:rsidP="00DE4516">
            <w:pPr>
              <w:pStyle w:val="TableBody"/>
              <w:autoSpaceDE w:val="0"/>
              <w:autoSpaceDN w:val="0"/>
              <w:adjustRightInd w:val="0"/>
              <w:jc w:val="right"/>
              <w:rPr>
                <w:rFonts w:cs="Calibri"/>
                <w:sz w:val="15"/>
                <w:szCs w:val="16"/>
              </w:rPr>
            </w:pPr>
            <w:r w:rsidRPr="00A46ADC">
              <w:t>26.3</w:t>
            </w:r>
          </w:p>
        </w:tc>
        <w:tc>
          <w:tcPr>
            <w:tcW w:w="708" w:type="dxa"/>
            <w:noWrap/>
            <w:vAlign w:val="center"/>
            <w:hideMark/>
          </w:tcPr>
          <w:p w14:paraId="2906BAA1" w14:textId="77777777" w:rsidR="00DE4516" w:rsidRPr="00A46ADC" w:rsidRDefault="00DE4516" w:rsidP="00DE4516">
            <w:pPr>
              <w:pStyle w:val="TableBody"/>
              <w:autoSpaceDE w:val="0"/>
              <w:autoSpaceDN w:val="0"/>
              <w:adjustRightInd w:val="0"/>
              <w:jc w:val="right"/>
              <w:rPr>
                <w:rFonts w:cs="Calibri"/>
                <w:sz w:val="15"/>
                <w:szCs w:val="16"/>
              </w:rPr>
            </w:pPr>
            <w:r w:rsidRPr="00A46ADC">
              <w:t>25.2</w:t>
            </w:r>
          </w:p>
        </w:tc>
        <w:tc>
          <w:tcPr>
            <w:tcW w:w="709" w:type="dxa"/>
            <w:noWrap/>
            <w:vAlign w:val="center"/>
            <w:hideMark/>
          </w:tcPr>
          <w:p w14:paraId="023270D5" w14:textId="77777777" w:rsidR="00DE4516" w:rsidRPr="00A46ADC" w:rsidRDefault="00DE4516" w:rsidP="00DE4516">
            <w:pPr>
              <w:pStyle w:val="TableBody"/>
              <w:autoSpaceDE w:val="0"/>
              <w:autoSpaceDN w:val="0"/>
              <w:adjustRightInd w:val="0"/>
              <w:jc w:val="right"/>
              <w:rPr>
                <w:rFonts w:cs="Calibri"/>
                <w:sz w:val="15"/>
                <w:szCs w:val="16"/>
              </w:rPr>
            </w:pPr>
            <w:r w:rsidRPr="00A46ADC">
              <w:t>27.1</w:t>
            </w:r>
          </w:p>
        </w:tc>
        <w:tc>
          <w:tcPr>
            <w:tcW w:w="709" w:type="dxa"/>
            <w:noWrap/>
            <w:vAlign w:val="center"/>
            <w:hideMark/>
          </w:tcPr>
          <w:p w14:paraId="641F53A6" w14:textId="77777777" w:rsidR="00DE4516" w:rsidRPr="00A46ADC" w:rsidRDefault="00DE4516" w:rsidP="00DE4516">
            <w:pPr>
              <w:pStyle w:val="TableBody"/>
              <w:autoSpaceDE w:val="0"/>
              <w:autoSpaceDN w:val="0"/>
              <w:adjustRightInd w:val="0"/>
              <w:jc w:val="right"/>
              <w:rPr>
                <w:rFonts w:cs="Calibri"/>
                <w:sz w:val="15"/>
                <w:szCs w:val="16"/>
              </w:rPr>
            </w:pPr>
            <w:r w:rsidRPr="00A46ADC">
              <w:t>30.7</w:t>
            </w:r>
          </w:p>
        </w:tc>
        <w:tc>
          <w:tcPr>
            <w:tcW w:w="709" w:type="dxa"/>
            <w:noWrap/>
            <w:vAlign w:val="center"/>
            <w:hideMark/>
          </w:tcPr>
          <w:p w14:paraId="20D8F0F5" w14:textId="77777777" w:rsidR="00DE4516" w:rsidRPr="00A46ADC" w:rsidRDefault="00DE4516" w:rsidP="00DE4516">
            <w:pPr>
              <w:pStyle w:val="TableBody"/>
              <w:autoSpaceDE w:val="0"/>
              <w:autoSpaceDN w:val="0"/>
              <w:adjustRightInd w:val="0"/>
              <w:jc w:val="right"/>
              <w:rPr>
                <w:rFonts w:cs="Calibri"/>
                <w:sz w:val="15"/>
                <w:szCs w:val="16"/>
              </w:rPr>
            </w:pPr>
            <w:r w:rsidRPr="00A46ADC">
              <w:t>29.3</w:t>
            </w:r>
          </w:p>
        </w:tc>
        <w:tc>
          <w:tcPr>
            <w:tcW w:w="662" w:type="dxa"/>
            <w:noWrap/>
            <w:vAlign w:val="center"/>
            <w:hideMark/>
          </w:tcPr>
          <w:p w14:paraId="3DA0B5D4" w14:textId="77777777" w:rsidR="00DE4516" w:rsidRPr="00A46ADC" w:rsidRDefault="00DE4516" w:rsidP="00DE4516">
            <w:pPr>
              <w:pStyle w:val="TableBody"/>
              <w:autoSpaceDE w:val="0"/>
              <w:autoSpaceDN w:val="0"/>
              <w:adjustRightInd w:val="0"/>
              <w:jc w:val="right"/>
              <w:rPr>
                <w:rFonts w:cs="Calibri"/>
                <w:sz w:val="15"/>
                <w:szCs w:val="16"/>
              </w:rPr>
            </w:pPr>
            <w:r w:rsidRPr="00A46ADC">
              <w:t>27.7</w:t>
            </w:r>
          </w:p>
        </w:tc>
      </w:tr>
      <w:tr w:rsidR="00DE4516" w:rsidRPr="00045A4A" w14:paraId="0EAC994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noWrap/>
            <w:vAlign w:val="center"/>
            <w:hideMark/>
          </w:tcPr>
          <w:p w14:paraId="2E24A08B" w14:textId="77777777" w:rsidR="00DE4516" w:rsidRPr="00A46ADC" w:rsidRDefault="00DE4516" w:rsidP="00DE4516">
            <w:pPr>
              <w:pStyle w:val="TableBody"/>
              <w:autoSpaceDE w:val="0"/>
              <w:autoSpaceDN w:val="0"/>
              <w:adjustRightInd w:val="0"/>
              <w:jc w:val="both"/>
              <w:rPr>
                <w:rFonts w:cs="Calibri"/>
                <w:sz w:val="15"/>
                <w:szCs w:val="16"/>
              </w:rPr>
            </w:pPr>
            <w:r w:rsidRPr="00A46ADC">
              <w:t>GDP at current prices (USD billion)</w:t>
            </w:r>
          </w:p>
        </w:tc>
        <w:tc>
          <w:tcPr>
            <w:tcW w:w="709" w:type="dxa"/>
            <w:noWrap/>
            <w:vAlign w:val="center"/>
            <w:hideMark/>
          </w:tcPr>
          <w:p w14:paraId="4E2FB203" w14:textId="77777777" w:rsidR="00DE4516" w:rsidRPr="00A46ADC" w:rsidRDefault="00DE4516" w:rsidP="00DE4516">
            <w:pPr>
              <w:pStyle w:val="TableBody"/>
              <w:autoSpaceDE w:val="0"/>
              <w:autoSpaceDN w:val="0"/>
              <w:adjustRightInd w:val="0"/>
              <w:jc w:val="right"/>
              <w:rPr>
                <w:rFonts w:cs="Calibri"/>
                <w:sz w:val="15"/>
                <w:szCs w:val="16"/>
              </w:rPr>
            </w:pPr>
            <w:r w:rsidRPr="00A46ADC">
              <w:t>80.7</w:t>
            </w:r>
          </w:p>
        </w:tc>
        <w:tc>
          <w:tcPr>
            <w:tcW w:w="709" w:type="dxa"/>
            <w:noWrap/>
            <w:vAlign w:val="center"/>
            <w:hideMark/>
          </w:tcPr>
          <w:p w14:paraId="16CCFBCD" w14:textId="77777777" w:rsidR="00DE4516" w:rsidRPr="00A46ADC" w:rsidRDefault="00DE4516" w:rsidP="00DE4516">
            <w:pPr>
              <w:pStyle w:val="TableBody"/>
              <w:autoSpaceDE w:val="0"/>
              <w:autoSpaceDN w:val="0"/>
              <w:adjustRightInd w:val="0"/>
              <w:jc w:val="right"/>
              <w:rPr>
                <w:rFonts w:cs="Calibri"/>
                <w:sz w:val="15"/>
                <w:szCs w:val="16"/>
              </w:rPr>
            </w:pPr>
            <w:r w:rsidRPr="00A46ADC">
              <w:t>68.4</w:t>
            </w:r>
          </w:p>
        </w:tc>
        <w:tc>
          <w:tcPr>
            <w:tcW w:w="708" w:type="dxa"/>
            <w:noWrap/>
            <w:vAlign w:val="center"/>
            <w:hideMark/>
          </w:tcPr>
          <w:p w14:paraId="50E4B1BA" w14:textId="77777777" w:rsidR="00DE4516" w:rsidRPr="00A46ADC" w:rsidRDefault="00DE4516" w:rsidP="00DE4516">
            <w:pPr>
              <w:pStyle w:val="TableBody"/>
              <w:autoSpaceDE w:val="0"/>
              <w:autoSpaceDN w:val="0"/>
              <w:adjustRightInd w:val="0"/>
              <w:jc w:val="right"/>
              <w:rPr>
                <w:rFonts w:cs="Calibri"/>
                <w:sz w:val="15"/>
                <w:szCs w:val="16"/>
              </w:rPr>
            </w:pPr>
            <w:r w:rsidRPr="00A46ADC">
              <w:t>65.4</w:t>
            </w:r>
          </w:p>
        </w:tc>
        <w:tc>
          <w:tcPr>
            <w:tcW w:w="709" w:type="dxa"/>
            <w:noWrap/>
            <w:vAlign w:val="center"/>
            <w:hideMark/>
          </w:tcPr>
          <w:p w14:paraId="708306A2" w14:textId="77777777" w:rsidR="00DE4516" w:rsidRPr="00A46ADC" w:rsidRDefault="00DE4516" w:rsidP="00DE4516">
            <w:pPr>
              <w:pStyle w:val="TableBody"/>
              <w:autoSpaceDE w:val="0"/>
              <w:autoSpaceDN w:val="0"/>
              <w:adjustRightInd w:val="0"/>
              <w:jc w:val="right"/>
              <w:rPr>
                <w:rFonts w:cs="Calibri"/>
                <w:sz w:val="15"/>
                <w:szCs w:val="16"/>
              </w:rPr>
            </w:pPr>
            <w:r w:rsidRPr="00A46ADC">
              <w:t>70.6</w:t>
            </w:r>
          </w:p>
        </w:tc>
        <w:tc>
          <w:tcPr>
            <w:tcW w:w="709" w:type="dxa"/>
            <w:noWrap/>
            <w:vAlign w:val="center"/>
            <w:hideMark/>
          </w:tcPr>
          <w:p w14:paraId="6DA25B6D" w14:textId="77777777" w:rsidR="00DE4516" w:rsidRPr="00A46ADC" w:rsidRDefault="00DE4516" w:rsidP="00DE4516">
            <w:pPr>
              <w:pStyle w:val="TableBody"/>
              <w:autoSpaceDE w:val="0"/>
              <w:autoSpaceDN w:val="0"/>
              <w:adjustRightInd w:val="0"/>
              <w:jc w:val="right"/>
              <w:rPr>
                <w:rFonts w:cs="Calibri"/>
                <w:sz w:val="15"/>
                <w:szCs w:val="16"/>
              </w:rPr>
            </w:pPr>
            <w:r w:rsidRPr="00A46ADC">
              <w:t>79.8</w:t>
            </w:r>
          </w:p>
        </w:tc>
        <w:tc>
          <w:tcPr>
            <w:tcW w:w="709" w:type="dxa"/>
            <w:noWrap/>
            <w:vAlign w:val="center"/>
            <w:hideMark/>
          </w:tcPr>
          <w:p w14:paraId="089A5811" w14:textId="77777777" w:rsidR="00DE4516" w:rsidRPr="00A46ADC" w:rsidRDefault="00DE4516" w:rsidP="00DE4516">
            <w:pPr>
              <w:pStyle w:val="TableBody"/>
              <w:autoSpaceDE w:val="0"/>
              <w:autoSpaceDN w:val="0"/>
              <w:adjustRightInd w:val="0"/>
              <w:jc w:val="right"/>
              <w:rPr>
                <w:rFonts w:cs="Calibri"/>
                <w:sz w:val="15"/>
                <w:szCs w:val="16"/>
              </w:rPr>
            </w:pPr>
            <w:r w:rsidRPr="00A46ADC">
              <w:t>76.3</w:t>
            </w:r>
          </w:p>
        </w:tc>
        <w:tc>
          <w:tcPr>
            <w:tcW w:w="662" w:type="dxa"/>
            <w:noWrap/>
            <w:vAlign w:val="center"/>
            <w:hideMark/>
          </w:tcPr>
          <w:p w14:paraId="24313435" w14:textId="77777777" w:rsidR="00DE4516" w:rsidRPr="00A46ADC" w:rsidRDefault="00DE4516" w:rsidP="00DE4516">
            <w:pPr>
              <w:pStyle w:val="TableBody"/>
              <w:autoSpaceDE w:val="0"/>
              <w:autoSpaceDN w:val="0"/>
              <w:adjustRightInd w:val="0"/>
              <w:jc w:val="right"/>
              <w:rPr>
                <w:rFonts w:cs="Calibri"/>
                <w:sz w:val="15"/>
                <w:szCs w:val="16"/>
              </w:rPr>
            </w:pPr>
            <w:r w:rsidRPr="00A46ADC">
              <w:t>72.1</w:t>
            </w:r>
          </w:p>
        </w:tc>
      </w:tr>
      <w:tr w:rsidR="00DE4516" w:rsidRPr="00045A4A" w14:paraId="4D94A50D" w14:textId="77777777" w:rsidTr="002C718D">
        <w:trPr>
          <w:cantSplit/>
        </w:trPr>
        <w:tc>
          <w:tcPr>
            <w:tcW w:w="4106" w:type="dxa"/>
            <w:noWrap/>
            <w:vAlign w:val="center"/>
            <w:hideMark/>
          </w:tcPr>
          <w:p w14:paraId="0E818307" w14:textId="77777777" w:rsidR="00DE4516" w:rsidRPr="00A46ADC" w:rsidRDefault="00DE4516" w:rsidP="00DE4516">
            <w:pPr>
              <w:pStyle w:val="TableBody"/>
              <w:autoSpaceDE w:val="0"/>
              <w:autoSpaceDN w:val="0"/>
              <w:adjustRightInd w:val="0"/>
              <w:jc w:val="both"/>
              <w:rPr>
                <w:rFonts w:cs="Calibri"/>
                <w:sz w:val="15"/>
                <w:szCs w:val="16"/>
              </w:rPr>
            </w:pPr>
            <w:r w:rsidRPr="00A46ADC">
              <w:t>Real GDP percentage change (in constant prices, base year 2010)</w:t>
            </w:r>
          </w:p>
        </w:tc>
        <w:tc>
          <w:tcPr>
            <w:tcW w:w="709" w:type="dxa"/>
            <w:noWrap/>
            <w:vAlign w:val="center"/>
            <w:hideMark/>
          </w:tcPr>
          <w:p w14:paraId="198C608A" w14:textId="77777777" w:rsidR="00DE4516" w:rsidRPr="00A46ADC" w:rsidRDefault="00DE4516" w:rsidP="00DE4516">
            <w:pPr>
              <w:pStyle w:val="TableBody"/>
              <w:autoSpaceDE w:val="0"/>
              <w:autoSpaceDN w:val="0"/>
              <w:adjustRightInd w:val="0"/>
              <w:jc w:val="right"/>
              <w:rPr>
                <w:rFonts w:cs="Calibri"/>
                <w:sz w:val="15"/>
                <w:szCs w:val="16"/>
              </w:rPr>
            </w:pPr>
            <w:r w:rsidRPr="00A46ADC">
              <w:t>1.5</w:t>
            </w:r>
          </w:p>
        </w:tc>
        <w:tc>
          <w:tcPr>
            <w:tcW w:w="709" w:type="dxa"/>
            <w:noWrap/>
            <w:vAlign w:val="center"/>
            <w:hideMark/>
          </w:tcPr>
          <w:p w14:paraId="39603C11" w14:textId="77777777" w:rsidR="00DE4516" w:rsidRPr="00A46ADC" w:rsidRDefault="00DE4516" w:rsidP="00DE4516">
            <w:pPr>
              <w:pStyle w:val="TableBody"/>
              <w:autoSpaceDE w:val="0"/>
              <w:autoSpaceDN w:val="0"/>
              <w:adjustRightInd w:val="0"/>
              <w:jc w:val="right"/>
              <w:rPr>
                <w:rFonts w:cs="Calibri"/>
                <w:sz w:val="15"/>
                <w:szCs w:val="16"/>
              </w:rPr>
            </w:pPr>
            <w:r w:rsidRPr="00A46ADC">
              <w:t>4.6</w:t>
            </w:r>
          </w:p>
        </w:tc>
        <w:tc>
          <w:tcPr>
            <w:tcW w:w="708" w:type="dxa"/>
            <w:noWrap/>
            <w:vAlign w:val="center"/>
            <w:hideMark/>
          </w:tcPr>
          <w:p w14:paraId="3BED18EA" w14:textId="77777777" w:rsidR="00DE4516" w:rsidRPr="00A46ADC" w:rsidRDefault="00DE4516" w:rsidP="00DE4516">
            <w:pPr>
              <w:pStyle w:val="TableBody"/>
              <w:autoSpaceDE w:val="0"/>
              <w:autoSpaceDN w:val="0"/>
              <w:adjustRightInd w:val="0"/>
              <w:jc w:val="right"/>
              <w:rPr>
                <w:rFonts w:cs="Calibri"/>
                <w:sz w:val="15"/>
                <w:szCs w:val="16"/>
              </w:rPr>
            </w:pPr>
            <w:r w:rsidRPr="00A46ADC">
              <w:t>5.1</w:t>
            </w:r>
          </w:p>
        </w:tc>
        <w:tc>
          <w:tcPr>
            <w:tcW w:w="709" w:type="dxa"/>
            <w:noWrap/>
            <w:vAlign w:val="center"/>
            <w:hideMark/>
          </w:tcPr>
          <w:p w14:paraId="11E1A074" w14:textId="77777777" w:rsidR="00DE4516" w:rsidRPr="00A46ADC" w:rsidRDefault="00DE4516" w:rsidP="00DE4516">
            <w:pPr>
              <w:pStyle w:val="TableBody"/>
              <w:autoSpaceDE w:val="0"/>
              <w:autoSpaceDN w:val="0"/>
              <w:adjustRightInd w:val="0"/>
              <w:jc w:val="right"/>
              <w:rPr>
                <w:rFonts w:cs="Calibri"/>
                <w:sz w:val="15"/>
                <w:szCs w:val="16"/>
              </w:rPr>
            </w:pPr>
            <w:r w:rsidRPr="00A46ADC">
              <w:t>0.3</w:t>
            </w:r>
          </w:p>
        </w:tc>
        <w:tc>
          <w:tcPr>
            <w:tcW w:w="709" w:type="dxa"/>
            <w:noWrap/>
            <w:vAlign w:val="center"/>
            <w:hideMark/>
          </w:tcPr>
          <w:p w14:paraId="17D534A5" w14:textId="77777777" w:rsidR="00DE4516" w:rsidRPr="00A46ADC" w:rsidRDefault="00DE4516" w:rsidP="00DE4516">
            <w:pPr>
              <w:pStyle w:val="TableBody"/>
              <w:autoSpaceDE w:val="0"/>
              <w:autoSpaceDN w:val="0"/>
              <w:adjustRightInd w:val="0"/>
              <w:jc w:val="right"/>
              <w:rPr>
                <w:rFonts w:cs="Calibri"/>
                <w:sz w:val="15"/>
                <w:szCs w:val="16"/>
              </w:rPr>
            </w:pPr>
            <w:r w:rsidRPr="00A46ADC">
              <w:t>0.9</w:t>
            </w:r>
          </w:p>
        </w:tc>
        <w:tc>
          <w:tcPr>
            <w:tcW w:w="709" w:type="dxa"/>
            <w:noWrap/>
            <w:vAlign w:val="center"/>
            <w:hideMark/>
          </w:tcPr>
          <w:p w14:paraId="695161C0" w14:textId="77777777" w:rsidR="00DE4516" w:rsidRPr="00A46ADC" w:rsidRDefault="00DE4516" w:rsidP="00DE4516">
            <w:pPr>
              <w:pStyle w:val="TableBody"/>
              <w:autoSpaceDE w:val="0"/>
              <w:autoSpaceDN w:val="0"/>
              <w:adjustRightInd w:val="0"/>
              <w:jc w:val="right"/>
              <w:rPr>
                <w:rFonts w:cs="Calibri"/>
                <w:sz w:val="15"/>
                <w:szCs w:val="16"/>
              </w:rPr>
            </w:pPr>
            <w:r w:rsidRPr="00A46ADC">
              <w:t>−0.8</w:t>
            </w:r>
          </w:p>
        </w:tc>
        <w:tc>
          <w:tcPr>
            <w:tcW w:w="662" w:type="dxa"/>
            <w:noWrap/>
            <w:vAlign w:val="center"/>
            <w:hideMark/>
          </w:tcPr>
          <w:p w14:paraId="721FEB59" w14:textId="77777777" w:rsidR="00DE4516" w:rsidRPr="00A46ADC" w:rsidRDefault="00DE4516" w:rsidP="00DE4516">
            <w:pPr>
              <w:pStyle w:val="TableBody"/>
              <w:autoSpaceDE w:val="0"/>
              <w:autoSpaceDN w:val="0"/>
              <w:adjustRightInd w:val="0"/>
              <w:jc w:val="right"/>
              <w:rPr>
                <w:rFonts w:cs="Calibri"/>
                <w:sz w:val="15"/>
                <w:szCs w:val="16"/>
              </w:rPr>
            </w:pPr>
            <w:r w:rsidRPr="00A46ADC">
              <w:t>−6.4</w:t>
            </w:r>
          </w:p>
        </w:tc>
      </w:tr>
      <w:tr w:rsidR="00DE4516" w:rsidRPr="00045A4A" w14:paraId="17A07DC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noWrap/>
            <w:vAlign w:val="center"/>
            <w:hideMark/>
          </w:tcPr>
          <w:p w14:paraId="5A8CB6F7"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Oil sector GDP</w:t>
            </w:r>
          </w:p>
        </w:tc>
        <w:tc>
          <w:tcPr>
            <w:tcW w:w="709" w:type="dxa"/>
            <w:noWrap/>
            <w:vAlign w:val="center"/>
            <w:hideMark/>
          </w:tcPr>
          <w:p w14:paraId="63541A5D" w14:textId="77777777" w:rsidR="00DE4516" w:rsidRPr="00A46ADC" w:rsidRDefault="00DE4516" w:rsidP="00DE4516">
            <w:pPr>
              <w:pStyle w:val="TableBody"/>
              <w:autoSpaceDE w:val="0"/>
              <w:autoSpaceDN w:val="0"/>
              <w:adjustRightInd w:val="0"/>
              <w:jc w:val="right"/>
              <w:rPr>
                <w:rFonts w:cs="Calibri"/>
                <w:sz w:val="15"/>
                <w:szCs w:val="16"/>
              </w:rPr>
            </w:pPr>
            <w:r w:rsidRPr="00A46ADC">
              <w:t>−1.6</w:t>
            </w:r>
          </w:p>
        </w:tc>
        <w:tc>
          <w:tcPr>
            <w:tcW w:w="709" w:type="dxa"/>
            <w:noWrap/>
            <w:vAlign w:val="center"/>
            <w:hideMark/>
          </w:tcPr>
          <w:p w14:paraId="2C844C8F" w14:textId="77777777" w:rsidR="00DE4516" w:rsidRPr="00A46ADC" w:rsidRDefault="00DE4516" w:rsidP="00DE4516">
            <w:pPr>
              <w:pStyle w:val="TableBody"/>
              <w:autoSpaceDE w:val="0"/>
              <w:autoSpaceDN w:val="0"/>
              <w:adjustRightInd w:val="0"/>
              <w:jc w:val="right"/>
              <w:rPr>
                <w:rFonts w:cs="Calibri"/>
                <w:sz w:val="15"/>
                <w:szCs w:val="16"/>
              </w:rPr>
            </w:pPr>
            <w:r w:rsidRPr="00A46ADC">
              <w:t>4.4</w:t>
            </w:r>
          </w:p>
        </w:tc>
        <w:tc>
          <w:tcPr>
            <w:tcW w:w="708" w:type="dxa"/>
            <w:noWrap/>
            <w:vAlign w:val="center"/>
            <w:hideMark/>
          </w:tcPr>
          <w:p w14:paraId="6A79DD91" w14:textId="77777777" w:rsidR="00DE4516" w:rsidRPr="00A46ADC" w:rsidRDefault="00DE4516" w:rsidP="00DE4516">
            <w:pPr>
              <w:pStyle w:val="TableBody"/>
              <w:autoSpaceDE w:val="0"/>
              <w:autoSpaceDN w:val="0"/>
              <w:adjustRightInd w:val="0"/>
              <w:jc w:val="right"/>
              <w:rPr>
                <w:rFonts w:cs="Calibri"/>
                <w:sz w:val="15"/>
                <w:szCs w:val="16"/>
              </w:rPr>
            </w:pPr>
            <w:r w:rsidRPr="00A46ADC">
              <w:t>3.8</w:t>
            </w:r>
          </w:p>
        </w:tc>
        <w:tc>
          <w:tcPr>
            <w:tcW w:w="709" w:type="dxa"/>
            <w:noWrap/>
            <w:vAlign w:val="center"/>
            <w:hideMark/>
          </w:tcPr>
          <w:p w14:paraId="6035F8C9" w14:textId="77777777" w:rsidR="00DE4516" w:rsidRPr="00A46ADC" w:rsidRDefault="00DE4516" w:rsidP="00DE4516">
            <w:pPr>
              <w:pStyle w:val="TableBody"/>
              <w:autoSpaceDE w:val="0"/>
              <w:autoSpaceDN w:val="0"/>
              <w:adjustRightInd w:val="0"/>
              <w:jc w:val="right"/>
              <w:rPr>
                <w:rFonts w:cs="Calibri"/>
                <w:sz w:val="15"/>
                <w:szCs w:val="16"/>
              </w:rPr>
            </w:pPr>
            <w:r w:rsidRPr="00A46ADC">
              <w:t>−3.0</w:t>
            </w:r>
          </w:p>
        </w:tc>
        <w:tc>
          <w:tcPr>
            <w:tcW w:w="709" w:type="dxa"/>
            <w:noWrap/>
            <w:vAlign w:val="center"/>
            <w:hideMark/>
          </w:tcPr>
          <w:p w14:paraId="1196338E" w14:textId="77777777" w:rsidR="00DE4516" w:rsidRPr="00A46ADC" w:rsidRDefault="00DE4516" w:rsidP="00DE4516">
            <w:pPr>
              <w:pStyle w:val="TableBody"/>
              <w:autoSpaceDE w:val="0"/>
              <w:autoSpaceDN w:val="0"/>
              <w:adjustRightInd w:val="0"/>
              <w:jc w:val="right"/>
              <w:rPr>
                <w:rFonts w:cs="Calibri"/>
                <w:sz w:val="15"/>
                <w:szCs w:val="16"/>
              </w:rPr>
            </w:pPr>
            <w:r w:rsidRPr="00A46ADC">
              <w:t>2.3</w:t>
            </w:r>
          </w:p>
        </w:tc>
        <w:tc>
          <w:tcPr>
            <w:tcW w:w="709" w:type="dxa"/>
            <w:noWrap/>
            <w:vAlign w:val="center"/>
            <w:hideMark/>
          </w:tcPr>
          <w:p w14:paraId="4A447DB7" w14:textId="77777777" w:rsidR="00DE4516" w:rsidRPr="00A46ADC" w:rsidRDefault="00DE4516" w:rsidP="00DE4516">
            <w:pPr>
              <w:pStyle w:val="TableBody"/>
              <w:autoSpaceDE w:val="0"/>
              <w:autoSpaceDN w:val="0"/>
              <w:adjustRightInd w:val="0"/>
              <w:jc w:val="right"/>
              <w:rPr>
                <w:rFonts w:cs="Calibri"/>
                <w:sz w:val="15"/>
                <w:szCs w:val="16"/>
              </w:rPr>
            </w:pPr>
            <w:r w:rsidRPr="00A46ADC">
              <w:t>0.2</w:t>
            </w:r>
          </w:p>
        </w:tc>
        <w:tc>
          <w:tcPr>
            <w:tcW w:w="662" w:type="dxa"/>
            <w:noWrap/>
            <w:vAlign w:val="center"/>
            <w:hideMark/>
          </w:tcPr>
          <w:p w14:paraId="4097B8FC" w14:textId="77777777" w:rsidR="00DE4516" w:rsidRPr="00A46ADC" w:rsidRDefault="00DE4516" w:rsidP="00DE4516">
            <w:pPr>
              <w:pStyle w:val="TableBody"/>
              <w:autoSpaceDE w:val="0"/>
              <w:autoSpaceDN w:val="0"/>
              <w:adjustRightInd w:val="0"/>
              <w:jc w:val="right"/>
              <w:rPr>
                <w:rFonts w:cs="Calibri"/>
                <w:sz w:val="15"/>
                <w:szCs w:val="16"/>
              </w:rPr>
            </w:pPr>
            <w:r w:rsidRPr="00A46ADC">
              <w:t>−2.4</w:t>
            </w:r>
          </w:p>
        </w:tc>
      </w:tr>
      <w:tr w:rsidR="00DE4516" w:rsidRPr="00045A4A" w14:paraId="2DB8CE48" w14:textId="77777777" w:rsidTr="002C718D">
        <w:trPr>
          <w:cantSplit/>
        </w:trPr>
        <w:tc>
          <w:tcPr>
            <w:tcW w:w="4106" w:type="dxa"/>
            <w:vAlign w:val="center"/>
            <w:hideMark/>
          </w:tcPr>
          <w:p w14:paraId="03061A28"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Non</w:t>
            </w:r>
            <w:r w:rsidRPr="00A46ADC">
              <w:noBreakHyphen/>
              <w:t>oil sector GDP</w:t>
            </w:r>
          </w:p>
        </w:tc>
        <w:tc>
          <w:tcPr>
            <w:tcW w:w="709" w:type="dxa"/>
            <w:noWrap/>
            <w:vAlign w:val="center"/>
            <w:hideMark/>
          </w:tcPr>
          <w:p w14:paraId="1C26225C" w14:textId="77777777" w:rsidR="00DE4516" w:rsidRPr="00A46ADC" w:rsidRDefault="00DE4516" w:rsidP="00DE4516">
            <w:pPr>
              <w:pStyle w:val="TableBody"/>
              <w:autoSpaceDE w:val="0"/>
              <w:autoSpaceDN w:val="0"/>
              <w:adjustRightInd w:val="0"/>
              <w:jc w:val="right"/>
              <w:rPr>
                <w:rFonts w:cs="Calibri"/>
                <w:sz w:val="15"/>
                <w:szCs w:val="16"/>
              </w:rPr>
            </w:pPr>
            <w:r w:rsidRPr="00A46ADC">
              <w:t>3.8</w:t>
            </w:r>
          </w:p>
        </w:tc>
        <w:tc>
          <w:tcPr>
            <w:tcW w:w="709" w:type="dxa"/>
            <w:noWrap/>
            <w:vAlign w:val="center"/>
            <w:hideMark/>
          </w:tcPr>
          <w:p w14:paraId="7E00F53E" w14:textId="77777777" w:rsidR="00DE4516" w:rsidRPr="00A46ADC" w:rsidRDefault="00DE4516" w:rsidP="00DE4516">
            <w:pPr>
              <w:pStyle w:val="TableBody"/>
              <w:autoSpaceDE w:val="0"/>
              <w:autoSpaceDN w:val="0"/>
              <w:adjustRightInd w:val="0"/>
              <w:jc w:val="right"/>
              <w:rPr>
                <w:rFonts w:cs="Calibri"/>
                <w:sz w:val="15"/>
                <w:szCs w:val="16"/>
              </w:rPr>
            </w:pPr>
            <w:r w:rsidRPr="00A46ADC">
              <w:t>4.8</w:t>
            </w:r>
          </w:p>
        </w:tc>
        <w:tc>
          <w:tcPr>
            <w:tcW w:w="708" w:type="dxa"/>
            <w:noWrap/>
            <w:vAlign w:val="center"/>
            <w:hideMark/>
          </w:tcPr>
          <w:p w14:paraId="05CD49DB" w14:textId="77777777" w:rsidR="00DE4516" w:rsidRPr="00A46ADC" w:rsidRDefault="00DE4516" w:rsidP="00DE4516">
            <w:pPr>
              <w:pStyle w:val="TableBody"/>
              <w:autoSpaceDE w:val="0"/>
              <w:autoSpaceDN w:val="0"/>
              <w:adjustRightInd w:val="0"/>
              <w:jc w:val="right"/>
              <w:rPr>
                <w:rFonts w:cs="Calibri"/>
                <w:sz w:val="15"/>
                <w:szCs w:val="16"/>
              </w:rPr>
            </w:pPr>
            <w:r w:rsidRPr="00A46ADC">
              <w:t>6.1</w:t>
            </w:r>
          </w:p>
        </w:tc>
        <w:tc>
          <w:tcPr>
            <w:tcW w:w="709" w:type="dxa"/>
            <w:noWrap/>
            <w:vAlign w:val="center"/>
            <w:hideMark/>
          </w:tcPr>
          <w:p w14:paraId="2F9713A0" w14:textId="77777777" w:rsidR="00DE4516" w:rsidRPr="00A46ADC" w:rsidRDefault="00DE4516" w:rsidP="00DE4516">
            <w:pPr>
              <w:pStyle w:val="TableBody"/>
              <w:autoSpaceDE w:val="0"/>
              <w:autoSpaceDN w:val="0"/>
              <w:adjustRightInd w:val="0"/>
              <w:jc w:val="right"/>
              <w:rPr>
                <w:rFonts w:cs="Calibri"/>
                <w:sz w:val="15"/>
                <w:szCs w:val="16"/>
              </w:rPr>
            </w:pPr>
            <w:r w:rsidRPr="00A46ADC">
              <w:t>2.8</w:t>
            </w:r>
          </w:p>
        </w:tc>
        <w:tc>
          <w:tcPr>
            <w:tcW w:w="709" w:type="dxa"/>
            <w:noWrap/>
            <w:vAlign w:val="center"/>
            <w:hideMark/>
          </w:tcPr>
          <w:p w14:paraId="51D8BC63" w14:textId="77777777" w:rsidR="00DE4516" w:rsidRPr="00A46ADC" w:rsidRDefault="00DE4516" w:rsidP="00DE4516">
            <w:pPr>
              <w:pStyle w:val="TableBody"/>
              <w:autoSpaceDE w:val="0"/>
              <w:autoSpaceDN w:val="0"/>
              <w:adjustRightInd w:val="0"/>
              <w:jc w:val="right"/>
              <w:rPr>
                <w:rFonts w:cs="Calibri"/>
                <w:sz w:val="15"/>
                <w:szCs w:val="16"/>
              </w:rPr>
            </w:pPr>
            <w:r w:rsidRPr="00A46ADC">
              <w:t>0.0</w:t>
            </w:r>
          </w:p>
        </w:tc>
        <w:tc>
          <w:tcPr>
            <w:tcW w:w="709" w:type="dxa"/>
            <w:noWrap/>
            <w:vAlign w:val="center"/>
            <w:hideMark/>
          </w:tcPr>
          <w:p w14:paraId="02C004F3" w14:textId="77777777" w:rsidR="00DE4516" w:rsidRPr="00A46ADC" w:rsidRDefault="00DE4516" w:rsidP="00DE4516">
            <w:pPr>
              <w:pStyle w:val="TableBody"/>
              <w:autoSpaceDE w:val="0"/>
              <w:autoSpaceDN w:val="0"/>
              <w:adjustRightInd w:val="0"/>
              <w:jc w:val="right"/>
              <w:rPr>
                <w:rFonts w:cs="Calibri"/>
                <w:sz w:val="15"/>
                <w:szCs w:val="16"/>
              </w:rPr>
            </w:pPr>
            <w:r w:rsidRPr="00A46ADC">
              <w:t>−1.5</w:t>
            </w:r>
          </w:p>
        </w:tc>
        <w:tc>
          <w:tcPr>
            <w:tcW w:w="662" w:type="dxa"/>
            <w:noWrap/>
            <w:vAlign w:val="center"/>
            <w:hideMark/>
          </w:tcPr>
          <w:p w14:paraId="1B8A8FBC" w14:textId="77777777" w:rsidR="00DE4516" w:rsidRPr="00A46ADC" w:rsidRDefault="00DE4516" w:rsidP="00DE4516">
            <w:pPr>
              <w:pStyle w:val="TableBody"/>
              <w:autoSpaceDE w:val="0"/>
              <w:autoSpaceDN w:val="0"/>
              <w:adjustRightInd w:val="0"/>
              <w:jc w:val="right"/>
              <w:rPr>
                <w:rFonts w:cs="Calibri"/>
                <w:sz w:val="15"/>
                <w:szCs w:val="16"/>
              </w:rPr>
            </w:pPr>
            <w:r w:rsidRPr="00A46ADC">
              <w:t>−10.0</w:t>
            </w:r>
          </w:p>
        </w:tc>
      </w:tr>
      <w:tr w:rsidR="00DE4516" w:rsidRPr="00045A4A" w14:paraId="7E18036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noWrap/>
            <w:vAlign w:val="center"/>
            <w:hideMark/>
          </w:tcPr>
          <w:p w14:paraId="25CE665E" w14:textId="77777777" w:rsidR="00DE4516" w:rsidRPr="00A46ADC" w:rsidRDefault="00DE4516" w:rsidP="00DE4516">
            <w:pPr>
              <w:pStyle w:val="TableBody"/>
              <w:autoSpaceDE w:val="0"/>
              <w:autoSpaceDN w:val="0"/>
              <w:adjustRightInd w:val="0"/>
              <w:jc w:val="both"/>
              <w:rPr>
                <w:rFonts w:cs="Calibri"/>
                <w:sz w:val="15"/>
                <w:szCs w:val="16"/>
              </w:rPr>
            </w:pPr>
            <w:r w:rsidRPr="00A46ADC">
              <w:t>GDP per capita ('000 USD)</w:t>
            </w:r>
          </w:p>
        </w:tc>
        <w:tc>
          <w:tcPr>
            <w:tcW w:w="709" w:type="dxa"/>
            <w:noWrap/>
            <w:vAlign w:val="center"/>
            <w:hideMark/>
          </w:tcPr>
          <w:p w14:paraId="7A39DF30" w14:textId="77777777" w:rsidR="00DE4516" w:rsidRPr="00A46ADC" w:rsidRDefault="00DE4516" w:rsidP="00DE4516">
            <w:pPr>
              <w:pStyle w:val="TableBody"/>
              <w:autoSpaceDE w:val="0"/>
              <w:autoSpaceDN w:val="0"/>
              <w:adjustRightInd w:val="0"/>
              <w:jc w:val="right"/>
              <w:rPr>
                <w:rFonts w:cs="Calibri"/>
                <w:sz w:val="15"/>
                <w:szCs w:val="16"/>
              </w:rPr>
            </w:pPr>
            <w:r w:rsidRPr="00A46ADC">
              <w:t>20.2</w:t>
            </w:r>
          </w:p>
        </w:tc>
        <w:tc>
          <w:tcPr>
            <w:tcW w:w="709" w:type="dxa"/>
            <w:noWrap/>
            <w:vAlign w:val="center"/>
            <w:hideMark/>
          </w:tcPr>
          <w:p w14:paraId="193439BD" w14:textId="77777777" w:rsidR="00DE4516" w:rsidRPr="00A46ADC" w:rsidRDefault="00DE4516" w:rsidP="00DE4516">
            <w:pPr>
              <w:pStyle w:val="TableBody"/>
              <w:autoSpaceDE w:val="0"/>
              <w:autoSpaceDN w:val="0"/>
              <w:adjustRightInd w:val="0"/>
              <w:jc w:val="right"/>
              <w:rPr>
                <w:rFonts w:cs="Calibri"/>
                <w:sz w:val="15"/>
                <w:szCs w:val="16"/>
              </w:rPr>
            </w:pPr>
            <w:r w:rsidRPr="00A46ADC">
              <w:t>16.5</w:t>
            </w:r>
          </w:p>
        </w:tc>
        <w:tc>
          <w:tcPr>
            <w:tcW w:w="708" w:type="dxa"/>
            <w:noWrap/>
            <w:vAlign w:val="center"/>
            <w:hideMark/>
          </w:tcPr>
          <w:p w14:paraId="0397C089" w14:textId="77777777" w:rsidR="00DE4516" w:rsidRPr="00A46ADC" w:rsidRDefault="00DE4516" w:rsidP="00DE4516">
            <w:pPr>
              <w:pStyle w:val="TableBody"/>
              <w:autoSpaceDE w:val="0"/>
              <w:autoSpaceDN w:val="0"/>
              <w:adjustRightInd w:val="0"/>
              <w:jc w:val="right"/>
              <w:rPr>
                <w:rFonts w:cs="Calibri"/>
                <w:sz w:val="15"/>
                <w:szCs w:val="16"/>
              </w:rPr>
            </w:pPr>
            <w:r w:rsidRPr="00A46ADC">
              <w:t>14.8</w:t>
            </w:r>
          </w:p>
        </w:tc>
        <w:tc>
          <w:tcPr>
            <w:tcW w:w="709" w:type="dxa"/>
            <w:noWrap/>
            <w:vAlign w:val="center"/>
            <w:hideMark/>
          </w:tcPr>
          <w:p w14:paraId="6FC1F613" w14:textId="77777777" w:rsidR="00DE4516" w:rsidRPr="00A46ADC" w:rsidRDefault="00DE4516" w:rsidP="00DE4516">
            <w:pPr>
              <w:pStyle w:val="TableBody"/>
              <w:autoSpaceDE w:val="0"/>
              <w:autoSpaceDN w:val="0"/>
              <w:adjustRightInd w:val="0"/>
              <w:jc w:val="right"/>
              <w:rPr>
                <w:rFonts w:cs="Calibri"/>
                <w:sz w:val="15"/>
                <w:szCs w:val="16"/>
              </w:rPr>
            </w:pPr>
            <w:r w:rsidRPr="00A46ADC">
              <w:t>15.5</w:t>
            </w:r>
          </w:p>
        </w:tc>
        <w:tc>
          <w:tcPr>
            <w:tcW w:w="709" w:type="dxa"/>
            <w:noWrap/>
            <w:vAlign w:val="center"/>
            <w:hideMark/>
          </w:tcPr>
          <w:p w14:paraId="7F0A1A7B" w14:textId="77777777" w:rsidR="00DE4516" w:rsidRPr="00A46ADC" w:rsidRDefault="00DE4516" w:rsidP="00DE4516">
            <w:pPr>
              <w:pStyle w:val="TableBody"/>
              <w:autoSpaceDE w:val="0"/>
              <w:autoSpaceDN w:val="0"/>
              <w:adjustRightInd w:val="0"/>
              <w:jc w:val="right"/>
              <w:rPr>
                <w:rFonts w:cs="Calibri"/>
                <w:sz w:val="15"/>
                <w:szCs w:val="16"/>
              </w:rPr>
            </w:pPr>
            <w:r w:rsidRPr="00A46ADC">
              <w:t>17.3</w:t>
            </w:r>
          </w:p>
        </w:tc>
        <w:tc>
          <w:tcPr>
            <w:tcW w:w="709" w:type="dxa"/>
            <w:noWrap/>
            <w:vAlign w:val="center"/>
            <w:hideMark/>
          </w:tcPr>
          <w:p w14:paraId="41A6C9F5" w14:textId="77777777" w:rsidR="00DE4516" w:rsidRPr="00A46ADC" w:rsidRDefault="00DE4516" w:rsidP="00DE4516">
            <w:pPr>
              <w:pStyle w:val="TableBody"/>
              <w:autoSpaceDE w:val="0"/>
              <w:autoSpaceDN w:val="0"/>
              <w:adjustRightInd w:val="0"/>
              <w:jc w:val="right"/>
              <w:rPr>
                <w:rFonts w:cs="Calibri"/>
                <w:sz w:val="15"/>
                <w:szCs w:val="16"/>
              </w:rPr>
            </w:pPr>
            <w:r w:rsidRPr="00A46ADC">
              <w:t>16.5</w:t>
            </w:r>
          </w:p>
        </w:tc>
        <w:tc>
          <w:tcPr>
            <w:tcW w:w="662" w:type="dxa"/>
            <w:noWrap/>
            <w:vAlign w:val="center"/>
            <w:hideMark/>
          </w:tcPr>
          <w:p w14:paraId="369E9DC9" w14:textId="77777777" w:rsidR="00DE4516" w:rsidRPr="00A46ADC" w:rsidRDefault="00DE4516" w:rsidP="00DE4516">
            <w:pPr>
              <w:pStyle w:val="TableBody"/>
              <w:autoSpaceDE w:val="0"/>
              <w:autoSpaceDN w:val="0"/>
              <w:adjustRightInd w:val="0"/>
              <w:jc w:val="right"/>
              <w:rPr>
                <w:rFonts w:cs="Calibri"/>
                <w:sz w:val="15"/>
                <w:szCs w:val="16"/>
              </w:rPr>
            </w:pPr>
            <w:r w:rsidRPr="00A46ADC">
              <w:t>14.2</w:t>
            </w:r>
          </w:p>
        </w:tc>
      </w:tr>
      <w:tr w:rsidR="00DE4516" w:rsidRPr="00045A4A" w14:paraId="30DE605D" w14:textId="77777777" w:rsidTr="002C718D">
        <w:trPr>
          <w:cantSplit/>
        </w:trPr>
        <w:tc>
          <w:tcPr>
            <w:tcW w:w="4106" w:type="dxa"/>
            <w:noWrap/>
            <w:vAlign w:val="center"/>
            <w:hideMark/>
          </w:tcPr>
          <w:p w14:paraId="7A4883E0" w14:textId="77777777" w:rsidR="00DE4516" w:rsidRPr="00A46ADC" w:rsidRDefault="00DE4516" w:rsidP="00DE4516">
            <w:pPr>
              <w:pStyle w:val="TableBody"/>
              <w:autoSpaceDE w:val="0"/>
              <w:autoSpaceDN w:val="0"/>
              <w:adjustRightInd w:val="0"/>
              <w:jc w:val="both"/>
              <w:rPr>
                <w:rFonts w:cs="Calibri"/>
                <w:sz w:val="15"/>
                <w:szCs w:val="16"/>
              </w:rPr>
            </w:pPr>
            <w:r w:rsidRPr="00A46ADC">
              <w:t>Unemployment rate</w:t>
            </w:r>
          </w:p>
        </w:tc>
        <w:tc>
          <w:tcPr>
            <w:tcW w:w="709" w:type="dxa"/>
            <w:noWrap/>
            <w:vAlign w:val="center"/>
            <w:hideMark/>
          </w:tcPr>
          <w:p w14:paraId="4AF81E63" w14:textId="77777777" w:rsidR="00DE4516" w:rsidRPr="00A46ADC" w:rsidRDefault="00DE4516" w:rsidP="00DE4516">
            <w:pPr>
              <w:pStyle w:val="TableBody"/>
              <w:autoSpaceDE w:val="0"/>
              <w:autoSpaceDN w:val="0"/>
              <w:adjustRightInd w:val="0"/>
              <w:jc w:val="right"/>
              <w:rPr>
                <w:rFonts w:cs="Calibri"/>
                <w:sz w:val="15"/>
                <w:szCs w:val="16"/>
              </w:rPr>
            </w:pPr>
            <w:r w:rsidRPr="00A46ADC">
              <w:t>3.4</w:t>
            </w:r>
          </w:p>
        </w:tc>
        <w:tc>
          <w:tcPr>
            <w:tcW w:w="709" w:type="dxa"/>
            <w:noWrap/>
            <w:vAlign w:val="center"/>
            <w:hideMark/>
          </w:tcPr>
          <w:p w14:paraId="2BB2991A" w14:textId="77777777" w:rsidR="00DE4516" w:rsidRPr="00A46ADC" w:rsidRDefault="00DE4516" w:rsidP="00DE4516">
            <w:pPr>
              <w:pStyle w:val="TableBody"/>
              <w:autoSpaceDE w:val="0"/>
              <w:autoSpaceDN w:val="0"/>
              <w:adjustRightInd w:val="0"/>
              <w:jc w:val="right"/>
              <w:rPr>
                <w:rFonts w:cs="Calibri"/>
                <w:sz w:val="15"/>
                <w:szCs w:val="16"/>
              </w:rPr>
            </w:pPr>
            <w:r w:rsidRPr="00A46ADC">
              <w:t>3.3</w:t>
            </w:r>
          </w:p>
        </w:tc>
        <w:tc>
          <w:tcPr>
            <w:tcW w:w="708" w:type="dxa"/>
            <w:noWrap/>
            <w:vAlign w:val="center"/>
            <w:hideMark/>
          </w:tcPr>
          <w:p w14:paraId="7DA84BD0" w14:textId="77777777" w:rsidR="00DE4516" w:rsidRPr="00A46ADC" w:rsidRDefault="00DE4516" w:rsidP="00DE4516">
            <w:pPr>
              <w:pStyle w:val="TableBody"/>
              <w:autoSpaceDE w:val="0"/>
              <w:autoSpaceDN w:val="0"/>
              <w:adjustRightInd w:val="0"/>
              <w:jc w:val="right"/>
              <w:rPr>
                <w:rFonts w:cs="Calibri"/>
                <w:sz w:val="15"/>
                <w:szCs w:val="16"/>
              </w:rPr>
            </w:pPr>
            <w:r w:rsidRPr="00A46ADC">
              <w:t>3.3</w:t>
            </w:r>
          </w:p>
        </w:tc>
        <w:tc>
          <w:tcPr>
            <w:tcW w:w="709" w:type="dxa"/>
            <w:noWrap/>
            <w:vAlign w:val="center"/>
            <w:hideMark/>
          </w:tcPr>
          <w:p w14:paraId="3C7174CE" w14:textId="77777777" w:rsidR="00DE4516" w:rsidRPr="00A46ADC" w:rsidRDefault="00DE4516" w:rsidP="00DE4516">
            <w:pPr>
              <w:pStyle w:val="TableBody"/>
              <w:autoSpaceDE w:val="0"/>
              <w:autoSpaceDN w:val="0"/>
              <w:adjustRightInd w:val="0"/>
              <w:jc w:val="right"/>
              <w:rPr>
                <w:rFonts w:cs="Calibri"/>
                <w:sz w:val="15"/>
                <w:szCs w:val="16"/>
              </w:rPr>
            </w:pPr>
            <w:r w:rsidRPr="00A46ADC">
              <w:t>2.5</w:t>
            </w:r>
          </w:p>
        </w:tc>
        <w:tc>
          <w:tcPr>
            <w:tcW w:w="709" w:type="dxa"/>
            <w:noWrap/>
            <w:vAlign w:val="center"/>
            <w:hideMark/>
          </w:tcPr>
          <w:p w14:paraId="679AE19E" w14:textId="77777777" w:rsidR="00DE4516" w:rsidRPr="00A46ADC" w:rsidRDefault="00DE4516" w:rsidP="00DE4516">
            <w:pPr>
              <w:pStyle w:val="TableBody"/>
              <w:autoSpaceDE w:val="0"/>
              <w:autoSpaceDN w:val="0"/>
              <w:adjustRightInd w:val="0"/>
              <w:jc w:val="right"/>
              <w:rPr>
                <w:rFonts w:cs="Calibri"/>
                <w:sz w:val="15"/>
                <w:szCs w:val="16"/>
              </w:rPr>
            </w:pPr>
            <w:r w:rsidRPr="00A46ADC">
              <w:t>1.8</w:t>
            </w:r>
          </w:p>
        </w:tc>
        <w:tc>
          <w:tcPr>
            <w:tcW w:w="709" w:type="dxa"/>
            <w:noWrap/>
            <w:vAlign w:val="center"/>
            <w:hideMark/>
          </w:tcPr>
          <w:p w14:paraId="3BCE61FC" w14:textId="77777777" w:rsidR="00DE4516" w:rsidRPr="00A46ADC" w:rsidRDefault="00DE4516" w:rsidP="00DE4516">
            <w:pPr>
              <w:pStyle w:val="TableBody"/>
              <w:autoSpaceDE w:val="0"/>
              <w:autoSpaceDN w:val="0"/>
              <w:adjustRightInd w:val="0"/>
              <w:jc w:val="right"/>
              <w:rPr>
                <w:rFonts w:cs="Calibri"/>
                <w:sz w:val="15"/>
                <w:szCs w:val="16"/>
              </w:rPr>
            </w:pPr>
            <w:r w:rsidRPr="00A46ADC">
              <w:t>1.8</w:t>
            </w:r>
          </w:p>
        </w:tc>
        <w:tc>
          <w:tcPr>
            <w:tcW w:w="662" w:type="dxa"/>
            <w:noWrap/>
            <w:vAlign w:val="center"/>
            <w:hideMark/>
          </w:tcPr>
          <w:p w14:paraId="7791D67D" w14:textId="77777777" w:rsidR="00DE4516" w:rsidRPr="00A46ADC" w:rsidRDefault="00DE4516" w:rsidP="00DE4516">
            <w:pPr>
              <w:pStyle w:val="TableBody"/>
              <w:autoSpaceDE w:val="0"/>
              <w:autoSpaceDN w:val="0"/>
              <w:adjustRightInd w:val="0"/>
              <w:jc w:val="right"/>
              <w:rPr>
                <w:rFonts w:cs="Calibri"/>
                <w:sz w:val="15"/>
                <w:szCs w:val="16"/>
              </w:rPr>
            </w:pPr>
            <w:r w:rsidRPr="00A46ADC">
              <w:t>5.0</w:t>
            </w:r>
          </w:p>
        </w:tc>
      </w:tr>
      <w:tr w:rsidR="00DE4516" w:rsidRPr="00045A4A" w14:paraId="03D58DB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5E239970" w14:textId="77777777" w:rsidR="00DE4516" w:rsidRPr="00A46ADC" w:rsidRDefault="00DE4516" w:rsidP="00DE4516">
            <w:pPr>
              <w:pStyle w:val="TableBody"/>
              <w:autoSpaceDE w:val="0"/>
              <w:autoSpaceDN w:val="0"/>
              <w:adjustRightInd w:val="0"/>
              <w:jc w:val="both"/>
              <w:rPr>
                <w:rFonts w:cs="Calibri"/>
                <w:sz w:val="15"/>
                <w:szCs w:val="16"/>
              </w:rPr>
            </w:pPr>
            <w:r w:rsidRPr="00A46ADC">
              <w:t>Inflation (CPI, % change)</w:t>
            </w:r>
          </w:p>
        </w:tc>
        <w:tc>
          <w:tcPr>
            <w:tcW w:w="709" w:type="dxa"/>
            <w:noWrap/>
            <w:vAlign w:val="center"/>
            <w:hideMark/>
          </w:tcPr>
          <w:p w14:paraId="16C24CBC" w14:textId="77777777" w:rsidR="00DE4516" w:rsidRPr="00A46ADC" w:rsidRDefault="00DE4516" w:rsidP="00DE4516">
            <w:pPr>
              <w:pStyle w:val="TableBody"/>
              <w:autoSpaceDE w:val="0"/>
              <w:autoSpaceDN w:val="0"/>
              <w:adjustRightInd w:val="0"/>
              <w:jc w:val="right"/>
              <w:rPr>
                <w:rFonts w:cs="Calibri"/>
                <w:sz w:val="15"/>
                <w:szCs w:val="16"/>
              </w:rPr>
            </w:pPr>
            <w:r w:rsidRPr="00A46ADC">
              <w:t>1.0</w:t>
            </w:r>
          </w:p>
        </w:tc>
        <w:tc>
          <w:tcPr>
            <w:tcW w:w="709" w:type="dxa"/>
            <w:noWrap/>
            <w:vAlign w:val="center"/>
            <w:hideMark/>
          </w:tcPr>
          <w:p w14:paraId="3706831E" w14:textId="77777777" w:rsidR="00DE4516" w:rsidRPr="00A46ADC" w:rsidRDefault="00DE4516" w:rsidP="00DE4516">
            <w:pPr>
              <w:pStyle w:val="TableBody"/>
              <w:autoSpaceDE w:val="0"/>
              <w:autoSpaceDN w:val="0"/>
              <w:adjustRightInd w:val="0"/>
              <w:jc w:val="right"/>
              <w:rPr>
                <w:rFonts w:cs="Calibri"/>
                <w:sz w:val="15"/>
                <w:szCs w:val="16"/>
              </w:rPr>
            </w:pPr>
            <w:r w:rsidRPr="00A46ADC">
              <w:t>0.1</w:t>
            </w:r>
          </w:p>
        </w:tc>
        <w:tc>
          <w:tcPr>
            <w:tcW w:w="708" w:type="dxa"/>
            <w:noWrap/>
            <w:vAlign w:val="center"/>
            <w:hideMark/>
          </w:tcPr>
          <w:p w14:paraId="0FE0DFEE" w14:textId="77777777" w:rsidR="00DE4516" w:rsidRPr="00A46ADC" w:rsidRDefault="00DE4516" w:rsidP="00DE4516">
            <w:pPr>
              <w:pStyle w:val="TableBody"/>
              <w:autoSpaceDE w:val="0"/>
              <w:autoSpaceDN w:val="0"/>
              <w:adjustRightInd w:val="0"/>
              <w:jc w:val="right"/>
              <w:rPr>
                <w:rFonts w:cs="Calibri"/>
                <w:sz w:val="15"/>
                <w:szCs w:val="16"/>
              </w:rPr>
            </w:pPr>
            <w:r w:rsidRPr="00A46ADC">
              <w:t>1.1</w:t>
            </w:r>
          </w:p>
        </w:tc>
        <w:tc>
          <w:tcPr>
            <w:tcW w:w="709" w:type="dxa"/>
            <w:noWrap/>
            <w:vAlign w:val="center"/>
            <w:hideMark/>
          </w:tcPr>
          <w:p w14:paraId="40FB729F" w14:textId="77777777" w:rsidR="00DE4516" w:rsidRPr="00A46ADC" w:rsidRDefault="00DE4516" w:rsidP="00DE4516">
            <w:pPr>
              <w:pStyle w:val="TableBody"/>
              <w:autoSpaceDE w:val="0"/>
              <w:autoSpaceDN w:val="0"/>
              <w:adjustRightInd w:val="0"/>
              <w:jc w:val="right"/>
              <w:rPr>
                <w:rFonts w:cs="Calibri"/>
                <w:sz w:val="15"/>
                <w:szCs w:val="16"/>
              </w:rPr>
            </w:pPr>
            <w:r w:rsidRPr="00A46ADC">
              <w:t>1.6</w:t>
            </w:r>
          </w:p>
        </w:tc>
        <w:tc>
          <w:tcPr>
            <w:tcW w:w="709" w:type="dxa"/>
            <w:noWrap/>
            <w:vAlign w:val="center"/>
            <w:hideMark/>
          </w:tcPr>
          <w:p w14:paraId="09690A58" w14:textId="77777777" w:rsidR="00DE4516" w:rsidRPr="00A46ADC" w:rsidRDefault="00DE4516" w:rsidP="00DE4516">
            <w:pPr>
              <w:pStyle w:val="TableBody"/>
              <w:autoSpaceDE w:val="0"/>
              <w:autoSpaceDN w:val="0"/>
              <w:adjustRightInd w:val="0"/>
              <w:jc w:val="right"/>
              <w:rPr>
                <w:rFonts w:cs="Calibri"/>
                <w:sz w:val="15"/>
                <w:szCs w:val="16"/>
              </w:rPr>
            </w:pPr>
            <w:r w:rsidRPr="00A46ADC">
              <w:t>0.9</w:t>
            </w:r>
          </w:p>
        </w:tc>
        <w:tc>
          <w:tcPr>
            <w:tcW w:w="709" w:type="dxa"/>
            <w:noWrap/>
            <w:vAlign w:val="center"/>
            <w:hideMark/>
          </w:tcPr>
          <w:p w14:paraId="1DBE7783" w14:textId="77777777" w:rsidR="00DE4516" w:rsidRPr="00A46ADC" w:rsidRDefault="00DE4516" w:rsidP="00DE4516">
            <w:pPr>
              <w:pStyle w:val="TableBody"/>
              <w:autoSpaceDE w:val="0"/>
              <w:autoSpaceDN w:val="0"/>
              <w:adjustRightInd w:val="0"/>
              <w:jc w:val="right"/>
              <w:rPr>
                <w:rFonts w:cs="Calibri"/>
                <w:sz w:val="15"/>
                <w:szCs w:val="16"/>
              </w:rPr>
            </w:pPr>
            <w:r w:rsidRPr="00A46ADC">
              <w:t>0.1</w:t>
            </w:r>
          </w:p>
        </w:tc>
        <w:tc>
          <w:tcPr>
            <w:tcW w:w="662" w:type="dxa"/>
            <w:noWrap/>
            <w:vAlign w:val="center"/>
            <w:hideMark/>
          </w:tcPr>
          <w:p w14:paraId="2EFB9024" w14:textId="77777777" w:rsidR="00DE4516" w:rsidRPr="00A46ADC" w:rsidRDefault="00DE4516" w:rsidP="00DE4516">
            <w:pPr>
              <w:pStyle w:val="TableBody"/>
              <w:autoSpaceDE w:val="0"/>
              <w:autoSpaceDN w:val="0"/>
              <w:adjustRightInd w:val="0"/>
              <w:jc w:val="right"/>
              <w:rPr>
                <w:rFonts w:cs="Calibri"/>
                <w:sz w:val="15"/>
                <w:szCs w:val="16"/>
              </w:rPr>
            </w:pPr>
            <w:r w:rsidRPr="00A46ADC">
              <w:t>−0.9</w:t>
            </w:r>
          </w:p>
        </w:tc>
      </w:tr>
      <w:tr w:rsidR="00DE4516" w:rsidRPr="00045A4A" w14:paraId="26D49174" w14:textId="77777777" w:rsidTr="002C718D">
        <w:trPr>
          <w:cantSplit/>
        </w:trPr>
        <w:tc>
          <w:tcPr>
            <w:tcW w:w="4815" w:type="dxa"/>
            <w:gridSpan w:val="2"/>
            <w:noWrap/>
            <w:vAlign w:val="center"/>
            <w:hideMark/>
          </w:tcPr>
          <w:p w14:paraId="32AAA11D" w14:textId="77777777" w:rsidR="00DE4516" w:rsidRPr="00A46ADC" w:rsidRDefault="00DE4516" w:rsidP="00DE4516">
            <w:pPr>
              <w:pStyle w:val="TableBody"/>
              <w:autoSpaceDE w:val="0"/>
              <w:autoSpaceDN w:val="0"/>
              <w:adjustRightInd w:val="0"/>
              <w:jc w:val="both"/>
              <w:rPr>
                <w:rFonts w:cs="Calibri"/>
                <w:b/>
                <w:bCs/>
                <w:sz w:val="15"/>
                <w:szCs w:val="16"/>
              </w:rPr>
            </w:pPr>
            <w:r w:rsidRPr="00A46ADC">
              <w:rPr>
                <w:b/>
              </w:rPr>
              <w:t>Central government finances (% of GDP)</w:t>
            </w:r>
          </w:p>
        </w:tc>
        <w:tc>
          <w:tcPr>
            <w:tcW w:w="709" w:type="dxa"/>
            <w:vAlign w:val="center"/>
          </w:tcPr>
          <w:p w14:paraId="56F3A422" w14:textId="77777777" w:rsidR="00DE4516" w:rsidRPr="00A46ADC" w:rsidRDefault="00DE4516" w:rsidP="00DE4516">
            <w:pPr>
              <w:pStyle w:val="TableBody"/>
              <w:autoSpaceDE w:val="0"/>
              <w:autoSpaceDN w:val="0"/>
              <w:adjustRightInd w:val="0"/>
              <w:jc w:val="both"/>
            </w:pPr>
          </w:p>
        </w:tc>
        <w:tc>
          <w:tcPr>
            <w:tcW w:w="708" w:type="dxa"/>
            <w:vAlign w:val="center"/>
          </w:tcPr>
          <w:p w14:paraId="5BEC9AF2" w14:textId="77777777" w:rsidR="00DE4516" w:rsidRPr="00A46ADC" w:rsidRDefault="00DE4516" w:rsidP="00DE4516">
            <w:pPr>
              <w:pStyle w:val="TableBody"/>
              <w:autoSpaceDE w:val="0"/>
              <w:autoSpaceDN w:val="0"/>
              <w:adjustRightInd w:val="0"/>
              <w:jc w:val="both"/>
            </w:pPr>
          </w:p>
        </w:tc>
        <w:tc>
          <w:tcPr>
            <w:tcW w:w="709" w:type="dxa"/>
            <w:vAlign w:val="center"/>
          </w:tcPr>
          <w:p w14:paraId="1F0113A7" w14:textId="77777777" w:rsidR="00DE4516" w:rsidRPr="00A46ADC" w:rsidRDefault="00DE4516" w:rsidP="00DE4516">
            <w:pPr>
              <w:pStyle w:val="TableBody"/>
              <w:autoSpaceDE w:val="0"/>
              <w:autoSpaceDN w:val="0"/>
              <w:adjustRightInd w:val="0"/>
              <w:jc w:val="both"/>
            </w:pPr>
          </w:p>
        </w:tc>
        <w:tc>
          <w:tcPr>
            <w:tcW w:w="709" w:type="dxa"/>
            <w:vAlign w:val="center"/>
          </w:tcPr>
          <w:p w14:paraId="075BAA10" w14:textId="77777777" w:rsidR="00DE4516" w:rsidRPr="00A46ADC" w:rsidRDefault="00DE4516" w:rsidP="00DE4516">
            <w:pPr>
              <w:pStyle w:val="TableBody"/>
              <w:autoSpaceDE w:val="0"/>
              <w:autoSpaceDN w:val="0"/>
              <w:adjustRightInd w:val="0"/>
              <w:jc w:val="both"/>
            </w:pPr>
          </w:p>
        </w:tc>
        <w:tc>
          <w:tcPr>
            <w:tcW w:w="709" w:type="dxa"/>
            <w:vAlign w:val="center"/>
          </w:tcPr>
          <w:p w14:paraId="6297EAB9" w14:textId="77777777" w:rsidR="00DE4516" w:rsidRPr="00A46ADC" w:rsidRDefault="00DE4516" w:rsidP="00DE4516">
            <w:pPr>
              <w:pStyle w:val="TableBody"/>
              <w:autoSpaceDE w:val="0"/>
              <w:autoSpaceDN w:val="0"/>
              <w:adjustRightInd w:val="0"/>
              <w:jc w:val="both"/>
            </w:pPr>
          </w:p>
        </w:tc>
        <w:tc>
          <w:tcPr>
            <w:tcW w:w="662" w:type="dxa"/>
            <w:vAlign w:val="center"/>
          </w:tcPr>
          <w:p w14:paraId="79149CE9" w14:textId="77777777" w:rsidR="00DE4516" w:rsidRPr="00A46ADC" w:rsidRDefault="00DE4516" w:rsidP="00DE4516">
            <w:pPr>
              <w:pStyle w:val="TableBody"/>
              <w:autoSpaceDE w:val="0"/>
              <w:autoSpaceDN w:val="0"/>
              <w:adjustRightInd w:val="0"/>
              <w:jc w:val="both"/>
            </w:pPr>
          </w:p>
        </w:tc>
      </w:tr>
      <w:tr w:rsidR="00DE4516" w:rsidRPr="00045A4A" w14:paraId="4F1B3833"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43DCDDE4" w14:textId="77777777" w:rsidR="00DE4516" w:rsidRPr="00A46ADC" w:rsidRDefault="00DE4516" w:rsidP="00DE4516">
            <w:pPr>
              <w:pStyle w:val="TableBody"/>
              <w:autoSpaceDE w:val="0"/>
              <w:autoSpaceDN w:val="0"/>
              <w:adjustRightInd w:val="0"/>
              <w:jc w:val="both"/>
              <w:rPr>
                <w:rFonts w:cs="Calibri"/>
                <w:sz w:val="15"/>
                <w:szCs w:val="16"/>
              </w:rPr>
            </w:pPr>
            <w:r w:rsidRPr="00A46ADC">
              <w:t>Total revenue</w:t>
            </w:r>
          </w:p>
        </w:tc>
        <w:tc>
          <w:tcPr>
            <w:tcW w:w="709" w:type="dxa"/>
            <w:noWrap/>
            <w:vAlign w:val="center"/>
            <w:hideMark/>
          </w:tcPr>
          <w:p w14:paraId="0B394A00" w14:textId="77777777" w:rsidR="00DE4516" w:rsidRPr="00A46ADC" w:rsidRDefault="00DE4516" w:rsidP="00DE4516">
            <w:pPr>
              <w:pStyle w:val="TableBody"/>
              <w:autoSpaceDE w:val="0"/>
              <w:autoSpaceDN w:val="0"/>
              <w:adjustRightInd w:val="0"/>
              <w:jc w:val="right"/>
              <w:rPr>
                <w:rFonts w:cs="Calibri"/>
                <w:sz w:val="15"/>
                <w:szCs w:val="16"/>
              </w:rPr>
            </w:pPr>
            <w:r w:rsidRPr="00A46ADC">
              <w:t>44.0</w:t>
            </w:r>
          </w:p>
        </w:tc>
        <w:tc>
          <w:tcPr>
            <w:tcW w:w="709" w:type="dxa"/>
            <w:noWrap/>
            <w:vAlign w:val="center"/>
            <w:hideMark/>
          </w:tcPr>
          <w:p w14:paraId="2FD89122" w14:textId="77777777" w:rsidR="00DE4516" w:rsidRPr="00A46ADC" w:rsidRDefault="00DE4516" w:rsidP="00DE4516">
            <w:pPr>
              <w:pStyle w:val="TableBody"/>
              <w:autoSpaceDE w:val="0"/>
              <w:autoSpaceDN w:val="0"/>
              <w:adjustRightInd w:val="0"/>
              <w:jc w:val="right"/>
              <w:rPr>
                <w:rFonts w:cs="Calibri"/>
                <w:sz w:val="15"/>
                <w:szCs w:val="16"/>
              </w:rPr>
            </w:pPr>
            <w:r w:rsidRPr="00A46ADC">
              <w:t>34.5</w:t>
            </w:r>
          </w:p>
        </w:tc>
        <w:tc>
          <w:tcPr>
            <w:tcW w:w="708" w:type="dxa"/>
            <w:noWrap/>
            <w:vAlign w:val="center"/>
            <w:hideMark/>
          </w:tcPr>
          <w:p w14:paraId="2244827F" w14:textId="77777777" w:rsidR="00DE4516" w:rsidRPr="00A46ADC" w:rsidRDefault="00DE4516" w:rsidP="00DE4516">
            <w:pPr>
              <w:pStyle w:val="TableBody"/>
              <w:autoSpaceDE w:val="0"/>
              <w:autoSpaceDN w:val="0"/>
              <w:adjustRightInd w:val="0"/>
              <w:jc w:val="right"/>
              <w:rPr>
                <w:rFonts w:cs="Calibri"/>
                <w:sz w:val="15"/>
                <w:szCs w:val="16"/>
              </w:rPr>
            </w:pPr>
            <w:r w:rsidRPr="00A46ADC">
              <w:t>29.7</w:t>
            </w:r>
          </w:p>
        </w:tc>
        <w:tc>
          <w:tcPr>
            <w:tcW w:w="709" w:type="dxa"/>
            <w:noWrap/>
            <w:vAlign w:val="center"/>
            <w:hideMark/>
          </w:tcPr>
          <w:p w14:paraId="394EFE01" w14:textId="77777777" w:rsidR="00DE4516" w:rsidRPr="00A46ADC" w:rsidRDefault="00DE4516" w:rsidP="00DE4516">
            <w:pPr>
              <w:pStyle w:val="TableBody"/>
              <w:autoSpaceDE w:val="0"/>
              <w:autoSpaceDN w:val="0"/>
              <w:adjustRightInd w:val="0"/>
              <w:jc w:val="right"/>
              <w:rPr>
                <w:rFonts w:cs="Calibri"/>
                <w:sz w:val="15"/>
                <w:szCs w:val="16"/>
              </w:rPr>
            </w:pPr>
            <w:r w:rsidRPr="00A46ADC">
              <w:t>31.4</w:t>
            </w:r>
          </w:p>
        </w:tc>
        <w:tc>
          <w:tcPr>
            <w:tcW w:w="709" w:type="dxa"/>
            <w:noWrap/>
            <w:vAlign w:val="center"/>
            <w:hideMark/>
          </w:tcPr>
          <w:p w14:paraId="26734B39" w14:textId="77777777" w:rsidR="00DE4516" w:rsidRPr="00A46ADC" w:rsidRDefault="00DE4516" w:rsidP="00DE4516">
            <w:pPr>
              <w:pStyle w:val="TableBody"/>
              <w:autoSpaceDE w:val="0"/>
              <w:autoSpaceDN w:val="0"/>
              <w:adjustRightInd w:val="0"/>
              <w:jc w:val="right"/>
              <w:rPr>
                <w:rFonts w:cs="Calibri"/>
                <w:sz w:val="15"/>
                <w:szCs w:val="16"/>
              </w:rPr>
            </w:pPr>
            <w:r w:rsidRPr="00A46ADC">
              <w:t>35.7</w:t>
            </w:r>
          </w:p>
        </w:tc>
        <w:tc>
          <w:tcPr>
            <w:tcW w:w="709" w:type="dxa"/>
            <w:noWrap/>
            <w:vAlign w:val="center"/>
            <w:hideMark/>
          </w:tcPr>
          <w:p w14:paraId="3019A1E6" w14:textId="77777777" w:rsidR="00DE4516" w:rsidRPr="00A46ADC" w:rsidRDefault="00DE4516" w:rsidP="00DE4516">
            <w:pPr>
              <w:pStyle w:val="TableBody"/>
              <w:autoSpaceDE w:val="0"/>
              <w:autoSpaceDN w:val="0"/>
              <w:adjustRightInd w:val="0"/>
              <w:jc w:val="right"/>
              <w:rPr>
                <w:rFonts w:cs="Calibri"/>
                <w:sz w:val="15"/>
                <w:szCs w:val="16"/>
              </w:rPr>
            </w:pPr>
            <w:r w:rsidRPr="00A46ADC">
              <w:t>35.5</w:t>
            </w:r>
          </w:p>
        </w:tc>
        <w:tc>
          <w:tcPr>
            <w:tcW w:w="662" w:type="dxa"/>
            <w:noWrap/>
            <w:vAlign w:val="center"/>
            <w:hideMark/>
          </w:tcPr>
          <w:p w14:paraId="6264C660"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32AE077F" w14:textId="77777777" w:rsidTr="002C718D">
        <w:trPr>
          <w:cantSplit/>
        </w:trPr>
        <w:tc>
          <w:tcPr>
            <w:tcW w:w="4106" w:type="dxa"/>
            <w:vAlign w:val="center"/>
            <w:hideMark/>
          </w:tcPr>
          <w:p w14:paraId="6247E8DF"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Net oil revenue</w:t>
            </w:r>
          </w:p>
        </w:tc>
        <w:tc>
          <w:tcPr>
            <w:tcW w:w="709" w:type="dxa"/>
            <w:noWrap/>
            <w:vAlign w:val="center"/>
            <w:hideMark/>
          </w:tcPr>
          <w:p w14:paraId="7BBDA5E0" w14:textId="77777777" w:rsidR="00DE4516" w:rsidRPr="00A46ADC" w:rsidRDefault="00DE4516" w:rsidP="00DE4516">
            <w:pPr>
              <w:pStyle w:val="TableBody"/>
              <w:autoSpaceDE w:val="0"/>
              <w:autoSpaceDN w:val="0"/>
              <w:adjustRightInd w:val="0"/>
              <w:jc w:val="right"/>
              <w:rPr>
                <w:rFonts w:cs="Calibri"/>
                <w:sz w:val="15"/>
                <w:szCs w:val="16"/>
              </w:rPr>
            </w:pPr>
            <w:r w:rsidRPr="00A46ADC">
              <w:t>32.9</w:t>
            </w:r>
          </w:p>
        </w:tc>
        <w:tc>
          <w:tcPr>
            <w:tcW w:w="709" w:type="dxa"/>
            <w:noWrap/>
            <w:vAlign w:val="center"/>
            <w:hideMark/>
          </w:tcPr>
          <w:p w14:paraId="35916DAC" w14:textId="77777777" w:rsidR="00DE4516" w:rsidRPr="00A46ADC" w:rsidRDefault="00DE4516" w:rsidP="00DE4516">
            <w:pPr>
              <w:pStyle w:val="TableBody"/>
              <w:autoSpaceDE w:val="0"/>
              <w:autoSpaceDN w:val="0"/>
              <w:adjustRightInd w:val="0"/>
              <w:jc w:val="right"/>
              <w:rPr>
                <w:rFonts w:cs="Calibri"/>
                <w:sz w:val="15"/>
                <w:szCs w:val="16"/>
              </w:rPr>
            </w:pPr>
            <w:r w:rsidRPr="00A46ADC">
              <w:t>21.5</w:t>
            </w:r>
          </w:p>
        </w:tc>
        <w:tc>
          <w:tcPr>
            <w:tcW w:w="708" w:type="dxa"/>
            <w:noWrap/>
            <w:vAlign w:val="center"/>
            <w:hideMark/>
          </w:tcPr>
          <w:p w14:paraId="27293D85" w14:textId="77777777" w:rsidR="00DE4516" w:rsidRPr="00A46ADC" w:rsidRDefault="00DE4516" w:rsidP="00DE4516">
            <w:pPr>
              <w:pStyle w:val="TableBody"/>
              <w:autoSpaceDE w:val="0"/>
              <w:autoSpaceDN w:val="0"/>
              <w:adjustRightInd w:val="0"/>
              <w:jc w:val="right"/>
              <w:rPr>
                <w:rFonts w:cs="Calibri"/>
                <w:sz w:val="15"/>
                <w:szCs w:val="16"/>
              </w:rPr>
            </w:pPr>
            <w:r w:rsidRPr="00A46ADC">
              <w:t>14.5</w:t>
            </w:r>
          </w:p>
        </w:tc>
        <w:tc>
          <w:tcPr>
            <w:tcW w:w="709" w:type="dxa"/>
            <w:noWrap/>
            <w:vAlign w:val="center"/>
            <w:hideMark/>
          </w:tcPr>
          <w:p w14:paraId="7429EF94" w14:textId="77777777" w:rsidR="00DE4516" w:rsidRPr="00A46ADC" w:rsidRDefault="00DE4516" w:rsidP="00DE4516">
            <w:pPr>
              <w:pStyle w:val="TableBody"/>
              <w:autoSpaceDE w:val="0"/>
              <w:autoSpaceDN w:val="0"/>
              <w:adjustRightInd w:val="0"/>
              <w:jc w:val="right"/>
              <w:rPr>
                <w:rFonts w:cs="Calibri"/>
                <w:sz w:val="15"/>
                <w:szCs w:val="16"/>
              </w:rPr>
            </w:pPr>
            <w:r w:rsidRPr="00A46ADC">
              <w:t>17.3</w:t>
            </w:r>
          </w:p>
        </w:tc>
        <w:tc>
          <w:tcPr>
            <w:tcW w:w="709" w:type="dxa"/>
            <w:noWrap/>
            <w:vAlign w:val="center"/>
            <w:hideMark/>
          </w:tcPr>
          <w:p w14:paraId="07D8FFEC" w14:textId="77777777" w:rsidR="00DE4516" w:rsidRPr="00A46ADC" w:rsidRDefault="00DE4516" w:rsidP="00DE4516">
            <w:pPr>
              <w:pStyle w:val="TableBody"/>
              <w:autoSpaceDE w:val="0"/>
              <w:autoSpaceDN w:val="0"/>
              <w:adjustRightInd w:val="0"/>
              <w:jc w:val="right"/>
              <w:rPr>
                <w:rFonts w:cs="Calibri"/>
                <w:sz w:val="15"/>
                <w:szCs w:val="16"/>
              </w:rPr>
            </w:pPr>
            <w:r w:rsidRPr="00A46ADC">
              <w:t>21.3</w:t>
            </w:r>
          </w:p>
        </w:tc>
        <w:tc>
          <w:tcPr>
            <w:tcW w:w="709" w:type="dxa"/>
            <w:noWrap/>
            <w:vAlign w:val="center"/>
            <w:hideMark/>
          </w:tcPr>
          <w:p w14:paraId="2ADEBDA7" w14:textId="77777777" w:rsidR="00DE4516" w:rsidRPr="00A46ADC" w:rsidRDefault="00DE4516" w:rsidP="00DE4516">
            <w:pPr>
              <w:pStyle w:val="TableBody"/>
              <w:autoSpaceDE w:val="0"/>
              <w:autoSpaceDN w:val="0"/>
              <w:adjustRightInd w:val="0"/>
              <w:jc w:val="right"/>
              <w:rPr>
                <w:rFonts w:cs="Calibri"/>
                <w:sz w:val="15"/>
                <w:szCs w:val="16"/>
              </w:rPr>
            </w:pPr>
            <w:r w:rsidRPr="00A46ADC">
              <w:t>21.0</w:t>
            </w:r>
          </w:p>
        </w:tc>
        <w:tc>
          <w:tcPr>
            <w:tcW w:w="662" w:type="dxa"/>
            <w:noWrap/>
            <w:hideMark/>
          </w:tcPr>
          <w:p w14:paraId="3E1E7CFF"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5B04BE5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59626A34"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Gas revenue</w:t>
            </w:r>
          </w:p>
        </w:tc>
        <w:tc>
          <w:tcPr>
            <w:tcW w:w="709" w:type="dxa"/>
            <w:noWrap/>
            <w:vAlign w:val="center"/>
            <w:hideMark/>
          </w:tcPr>
          <w:p w14:paraId="2F912947" w14:textId="77777777" w:rsidR="00DE4516" w:rsidRPr="00A46ADC" w:rsidRDefault="00DE4516" w:rsidP="00DE4516">
            <w:pPr>
              <w:pStyle w:val="TableBody"/>
              <w:autoSpaceDE w:val="0"/>
              <w:autoSpaceDN w:val="0"/>
              <w:adjustRightInd w:val="0"/>
              <w:jc w:val="right"/>
              <w:rPr>
                <w:rFonts w:cs="Calibri"/>
                <w:sz w:val="15"/>
                <w:szCs w:val="16"/>
              </w:rPr>
            </w:pPr>
            <w:r w:rsidRPr="00A46ADC">
              <w:t>4.8</w:t>
            </w:r>
          </w:p>
        </w:tc>
        <w:tc>
          <w:tcPr>
            <w:tcW w:w="709" w:type="dxa"/>
            <w:noWrap/>
            <w:vAlign w:val="center"/>
            <w:hideMark/>
          </w:tcPr>
          <w:p w14:paraId="6EE96135" w14:textId="77777777" w:rsidR="00DE4516" w:rsidRPr="00A46ADC" w:rsidRDefault="00DE4516" w:rsidP="00DE4516">
            <w:pPr>
              <w:pStyle w:val="TableBody"/>
              <w:autoSpaceDE w:val="0"/>
              <w:autoSpaceDN w:val="0"/>
              <w:adjustRightInd w:val="0"/>
              <w:jc w:val="right"/>
              <w:rPr>
                <w:rFonts w:cs="Calibri"/>
                <w:sz w:val="15"/>
                <w:szCs w:val="16"/>
              </w:rPr>
            </w:pPr>
            <w:r w:rsidRPr="00A46ADC">
              <w:t>5.6</w:t>
            </w:r>
          </w:p>
        </w:tc>
        <w:tc>
          <w:tcPr>
            <w:tcW w:w="708" w:type="dxa"/>
            <w:noWrap/>
            <w:vAlign w:val="center"/>
            <w:hideMark/>
          </w:tcPr>
          <w:p w14:paraId="0A4314FC" w14:textId="77777777" w:rsidR="00DE4516" w:rsidRPr="00A46ADC" w:rsidRDefault="00DE4516" w:rsidP="00DE4516">
            <w:pPr>
              <w:pStyle w:val="TableBody"/>
              <w:autoSpaceDE w:val="0"/>
              <w:autoSpaceDN w:val="0"/>
              <w:adjustRightInd w:val="0"/>
              <w:jc w:val="right"/>
              <w:rPr>
                <w:rFonts w:cs="Calibri"/>
                <w:sz w:val="15"/>
                <w:szCs w:val="16"/>
              </w:rPr>
            </w:pPr>
            <w:r w:rsidRPr="00A46ADC">
              <w:t>6.1</w:t>
            </w:r>
          </w:p>
        </w:tc>
        <w:tc>
          <w:tcPr>
            <w:tcW w:w="709" w:type="dxa"/>
            <w:noWrap/>
            <w:vAlign w:val="center"/>
            <w:hideMark/>
          </w:tcPr>
          <w:p w14:paraId="4A88BC39" w14:textId="77777777" w:rsidR="00DE4516" w:rsidRPr="00A46ADC" w:rsidRDefault="00DE4516" w:rsidP="00DE4516">
            <w:pPr>
              <w:pStyle w:val="TableBody"/>
              <w:autoSpaceDE w:val="0"/>
              <w:autoSpaceDN w:val="0"/>
              <w:adjustRightInd w:val="0"/>
              <w:jc w:val="right"/>
              <w:rPr>
                <w:rFonts w:cs="Calibri"/>
                <w:sz w:val="15"/>
                <w:szCs w:val="16"/>
              </w:rPr>
            </w:pPr>
            <w:r w:rsidRPr="00A46ADC">
              <w:t>5.6</w:t>
            </w:r>
          </w:p>
        </w:tc>
        <w:tc>
          <w:tcPr>
            <w:tcW w:w="709" w:type="dxa"/>
            <w:noWrap/>
            <w:vAlign w:val="center"/>
            <w:hideMark/>
          </w:tcPr>
          <w:p w14:paraId="7AA9A4C7" w14:textId="77777777" w:rsidR="00DE4516" w:rsidRPr="00A46ADC" w:rsidRDefault="00DE4516" w:rsidP="00DE4516">
            <w:pPr>
              <w:pStyle w:val="TableBody"/>
              <w:autoSpaceDE w:val="0"/>
              <w:autoSpaceDN w:val="0"/>
              <w:adjustRightInd w:val="0"/>
              <w:jc w:val="right"/>
              <w:rPr>
                <w:rFonts w:cs="Calibri"/>
                <w:sz w:val="15"/>
                <w:szCs w:val="16"/>
              </w:rPr>
            </w:pPr>
            <w:r w:rsidRPr="00A46ADC">
              <w:t>6.7</w:t>
            </w:r>
          </w:p>
        </w:tc>
        <w:tc>
          <w:tcPr>
            <w:tcW w:w="709" w:type="dxa"/>
            <w:noWrap/>
            <w:vAlign w:val="center"/>
            <w:hideMark/>
          </w:tcPr>
          <w:p w14:paraId="592370D6" w14:textId="77777777" w:rsidR="00DE4516" w:rsidRPr="00A46ADC" w:rsidRDefault="00DE4516" w:rsidP="00DE4516">
            <w:pPr>
              <w:pStyle w:val="TableBody"/>
              <w:autoSpaceDE w:val="0"/>
              <w:autoSpaceDN w:val="0"/>
              <w:adjustRightInd w:val="0"/>
              <w:jc w:val="right"/>
              <w:rPr>
                <w:rFonts w:cs="Calibri"/>
                <w:sz w:val="15"/>
                <w:szCs w:val="16"/>
              </w:rPr>
            </w:pPr>
            <w:r w:rsidRPr="00A46ADC">
              <w:t>6.0</w:t>
            </w:r>
          </w:p>
        </w:tc>
        <w:tc>
          <w:tcPr>
            <w:tcW w:w="662" w:type="dxa"/>
            <w:noWrap/>
            <w:hideMark/>
          </w:tcPr>
          <w:p w14:paraId="3FAC9609"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60BDCF7E" w14:textId="77777777" w:rsidTr="002C718D">
        <w:trPr>
          <w:cantSplit/>
        </w:trPr>
        <w:tc>
          <w:tcPr>
            <w:tcW w:w="4106" w:type="dxa"/>
            <w:vAlign w:val="center"/>
            <w:hideMark/>
          </w:tcPr>
          <w:p w14:paraId="600819F4"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Custom duties</w:t>
            </w:r>
          </w:p>
        </w:tc>
        <w:tc>
          <w:tcPr>
            <w:tcW w:w="709" w:type="dxa"/>
            <w:noWrap/>
            <w:vAlign w:val="center"/>
            <w:hideMark/>
          </w:tcPr>
          <w:p w14:paraId="31D87E82" w14:textId="77777777" w:rsidR="00DE4516" w:rsidRPr="00A46ADC" w:rsidRDefault="00DE4516" w:rsidP="00DE4516">
            <w:pPr>
              <w:pStyle w:val="TableBody"/>
              <w:autoSpaceDE w:val="0"/>
              <w:autoSpaceDN w:val="0"/>
              <w:adjustRightInd w:val="0"/>
              <w:jc w:val="right"/>
              <w:rPr>
                <w:rFonts w:cs="Calibri"/>
                <w:sz w:val="15"/>
                <w:szCs w:val="16"/>
              </w:rPr>
            </w:pPr>
            <w:r w:rsidRPr="00A46ADC">
              <w:t>0.7</w:t>
            </w:r>
          </w:p>
        </w:tc>
        <w:tc>
          <w:tcPr>
            <w:tcW w:w="709" w:type="dxa"/>
            <w:noWrap/>
            <w:vAlign w:val="center"/>
            <w:hideMark/>
          </w:tcPr>
          <w:p w14:paraId="597A0509" w14:textId="77777777" w:rsidR="00DE4516" w:rsidRPr="00A46ADC" w:rsidRDefault="00DE4516" w:rsidP="00DE4516">
            <w:pPr>
              <w:pStyle w:val="TableBody"/>
              <w:autoSpaceDE w:val="0"/>
              <w:autoSpaceDN w:val="0"/>
              <w:adjustRightInd w:val="0"/>
              <w:jc w:val="right"/>
              <w:rPr>
                <w:rFonts w:cs="Calibri"/>
                <w:sz w:val="15"/>
                <w:szCs w:val="16"/>
              </w:rPr>
            </w:pPr>
            <w:r w:rsidRPr="00A46ADC">
              <w:t>0.9</w:t>
            </w:r>
          </w:p>
        </w:tc>
        <w:tc>
          <w:tcPr>
            <w:tcW w:w="708" w:type="dxa"/>
            <w:noWrap/>
            <w:vAlign w:val="center"/>
            <w:hideMark/>
          </w:tcPr>
          <w:p w14:paraId="392012DF" w14:textId="77777777" w:rsidR="00DE4516" w:rsidRPr="00A46ADC" w:rsidRDefault="00DE4516" w:rsidP="00DE4516">
            <w:pPr>
              <w:pStyle w:val="TableBody"/>
              <w:autoSpaceDE w:val="0"/>
              <w:autoSpaceDN w:val="0"/>
              <w:adjustRightInd w:val="0"/>
              <w:jc w:val="right"/>
              <w:rPr>
                <w:rFonts w:cs="Calibri"/>
                <w:sz w:val="15"/>
                <w:szCs w:val="16"/>
              </w:rPr>
            </w:pPr>
            <w:r w:rsidRPr="00A46ADC">
              <w:t>1.2</w:t>
            </w:r>
          </w:p>
        </w:tc>
        <w:tc>
          <w:tcPr>
            <w:tcW w:w="709" w:type="dxa"/>
            <w:noWrap/>
            <w:vAlign w:val="center"/>
            <w:hideMark/>
          </w:tcPr>
          <w:p w14:paraId="1E80BE5E" w14:textId="77777777" w:rsidR="00DE4516" w:rsidRPr="00A46ADC" w:rsidRDefault="00DE4516" w:rsidP="00DE4516">
            <w:pPr>
              <w:pStyle w:val="TableBody"/>
              <w:autoSpaceDE w:val="0"/>
              <w:autoSpaceDN w:val="0"/>
              <w:adjustRightInd w:val="0"/>
              <w:jc w:val="right"/>
              <w:rPr>
                <w:rFonts w:cs="Calibri"/>
                <w:sz w:val="15"/>
                <w:szCs w:val="16"/>
              </w:rPr>
            </w:pPr>
            <w:r w:rsidRPr="00A46ADC">
              <w:t>1.0</w:t>
            </w:r>
          </w:p>
        </w:tc>
        <w:tc>
          <w:tcPr>
            <w:tcW w:w="709" w:type="dxa"/>
            <w:noWrap/>
            <w:vAlign w:val="center"/>
            <w:hideMark/>
          </w:tcPr>
          <w:p w14:paraId="4C13EF52" w14:textId="77777777" w:rsidR="00DE4516" w:rsidRPr="00A46ADC" w:rsidRDefault="00DE4516" w:rsidP="00DE4516">
            <w:pPr>
              <w:pStyle w:val="TableBody"/>
              <w:autoSpaceDE w:val="0"/>
              <w:autoSpaceDN w:val="0"/>
              <w:adjustRightInd w:val="0"/>
              <w:jc w:val="right"/>
              <w:rPr>
                <w:rFonts w:cs="Calibri"/>
                <w:sz w:val="15"/>
                <w:szCs w:val="16"/>
              </w:rPr>
            </w:pPr>
            <w:r w:rsidRPr="00A46ADC">
              <w:t>0.9</w:t>
            </w:r>
          </w:p>
        </w:tc>
        <w:tc>
          <w:tcPr>
            <w:tcW w:w="709" w:type="dxa"/>
            <w:noWrap/>
            <w:vAlign w:val="center"/>
            <w:hideMark/>
          </w:tcPr>
          <w:p w14:paraId="33D0E818" w14:textId="77777777" w:rsidR="00DE4516" w:rsidRPr="00A46ADC" w:rsidRDefault="00DE4516" w:rsidP="00DE4516">
            <w:pPr>
              <w:pStyle w:val="TableBody"/>
              <w:autoSpaceDE w:val="0"/>
              <w:autoSpaceDN w:val="0"/>
              <w:adjustRightInd w:val="0"/>
              <w:jc w:val="right"/>
              <w:rPr>
                <w:rFonts w:cs="Calibri"/>
                <w:sz w:val="15"/>
                <w:szCs w:val="16"/>
              </w:rPr>
            </w:pPr>
            <w:r w:rsidRPr="00A46ADC">
              <w:t>0.7</w:t>
            </w:r>
          </w:p>
        </w:tc>
        <w:tc>
          <w:tcPr>
            <w:tcW w:w="662" w:type="dxa"/>
            <w:noWrap/>
            <w:hideMark/>
          </w:tcPr>
          <w:p w14:paraId="7064A93F"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4022A22D"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6CCE0D7B"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Corporate income tax</w:t>
            </w:r>
          </w:p>
        </w:tc>
        <w:tc>
          <w:tcPr>
            <w:tcW w:w="709" w:type="dxa"/>
            <w:noWrap/>
            <w:vAlign w:val="center"/>
            <w:hideMark/>
          </w:tcPr>
          <w:p w14:paraId="37E8196D" w14:textId="77777777" w:rsidR="00DE4516" w:rsidRPr="00A46ADC" w:rsidRDefault="00DE4516" w:rsidP="00DE4516">
            <w:pPr>
              <w:pStyle w:val="TableBody"/>
              <w:autoSpaceDE w:val="0"/>
              <w:autoSpaceDN w:val="0"/>
              <w:adjustRightInd w:val="0"/>
              <w:jc w:val="right"/>
              <w:rPr>
                <w:rFonts w:cs="Calibri"/>
                <w:sz w:val="15"/>
                <w:szCs w:val="16"/>
              </w:rPr>
            </w:pPr>
            <w:r w:rsidRPr="00A46ADC">
              <w:t>1.4</w:t>
            </w:r>
          </w:p>
        </w:tc>
        <w:tc>
          <w:tcPr>
            <w:tcW w:w="709" w:type="dxa"/>
            <w:noWrap/>
            <w:vAlign w:val="center"/>
            <w:hideMark/>
          </w:tcPr>
          <w:p w14:paraId="5E243A3F" w14:textId="77777777" w:rsidR="00DE4516" w:rsidRPr="00A46ADC" w:rsidRDefault="00DE4516" w:rsidP="00DE4516">
            <w:pPr>
              <w:pStyle w:val="TableBody"/>
              <w:autoSpaceDE w:val="0"/>
              <w:autoSpaceDN w:val="0"/>
              <w:adjustRightInd w:val="0"/>
              <w:jc w:val="right"/>
              <w:rPr>
                <w:rFonts w:cs="Calibri"/>
                <w:sz w:val="15"/>
                <w:szCs w:val="16"/>
              </w:rPr>
            </w:pPr>
            <w:r w:rsidRPr="00A46ADC">
              <w:t>1.7</w:t>
            </w:r>
          </w:p>
        </w:tc>
        <w:tc>
          <w:tcPr>
            <w:tcW w:w="708" w:type="dxa"/>
            <w:noWrap/>
            <w:vAlign w:val="center"/>
            <w:hideMark/>
          </w:tcPr>
          <w:p w14:paraId="2EDB5FF3" w14:textId="77777777" w:rsidR="00DE4516" w:rsidRPr="00A46ADC" w:rsidRDefault="00DE4516" w:rsidP="00DE4516">
            <w:pPr>
              <w:pStyle w:val="TableBody"/>
              <w:autoSpaceDE w:val="0"/>
              <w:autoSpaceDN w:val="0"/>
              <w:adjustRightInd w:val="0"/>
              <w:jc w:val="right"/>
              <w:rPr>
                <w:rFonts w:cs="Calibri"/>
                <w:sz w:val="15"/>
                <w:szCs w:val="16"/>
              </w:rPr>
            </w:pPr>
            <w:r w:rsidRPr="00A46ADC">
              <w:t>1.5</w:t>
            </w:r>
          </w:p>
        </w:tc>
        <w:tc>
          <w:tcPr>
            <w:tcW w:w="709" w:type="dxa"/>
            <w:noWrap/>
            <w:vAlign w:val="center"/>
            <w:hideMark/>
          </w:tcPr>
          <w:p w14:paraId="30FCB7AF" w14:textId="77777777" w:rsidR="00DE4516" w:rsidRPr="00A46ADC" w:rsidRDefault="00DE4516" w:rsidP="00DE4516">
            <w:pPr>
              <w:pStyle w:val="TableBody"/>
              <w:autoSpaceDE w:val="0"/>
              <w:autoSpaceDN w:val="0"/>
              <w:adjustRightInd w:val="0"/>
              <w:jc w:val="right"/>
              <w:rPr>
                <w:rFonts w:cs="Calibri"/>
                <w:sz w:val="15"/>
                <w:szCs w:val="16"/>
              </w:rPr>
            </w:pPr>
            <w:r w:rsidRPr="00A46ADC">
              <w:t>1.4</w:t>
            </w:r>
          </w:p>
        </w:tc>
        <w:tc>
          <w:tcPr>
            <w:tcW w:w="709" w:type="dxa"/>
            <w:noWrap/>
            <w:vAlign w:val="center"/>
            <w:hideMark/>
          </w:tcPr>
          <w:p w14:paraId="6A1F7636" w14:textId="77777777" w:rsidR="00DE4516" w:rsidRPr="00A46ADC" w:rsidRDefault="00DE4516" w:rsidP="00DE4516">
            <w:pPr>
              <w:pStyle w:val="TableBody"/>
              <w:autoSpaceDE w:val="0"/>
              <w:autoSpaceDN w:val="0"/>
              <w:adjustRightInd w:val="0"/>
              <w:jc w:val="right"/>
              <w:rPr>
                <w:rFonts w:cs="Calibri"/>
                <w:sz w:val="15"/>
                <w:szCs w:val="16"/>
              </w:rPr>
            </w:pPr>
            <w:r w:rsidRPr="00A46ADC">
              <w:t>1.5</w:t>
            </w:r>
          </w:p>
        </w:tc>
        <w:tc>
          <w:tcPr>
            <w:tcW w:w="709" w:type="dxa"/>
            <w:noWrap/>
            <w:vAlign w:val="center"/>
            <w:hideMark/>
          </w:tcPr>
          <w:p w14:paraId="5406D3F3" w14:textId="77777777" w:rsidR="00DE4516" w:rsidRPr="00A46ADC" w:rsidRDefault="00DE4516" w:rsidP="00DE4516">
            <w:pPr>
              <w:pStyle w:val="TableBody"/>
              <w:autoSpaceDE w:val="0"/>
              <w:autoSpaceDN w:val="0"/>
              <w:adjustRightInd w:val="0"/>
              <w:jc w:val="right"/>
              <w:rPr>
                <w:rFonts w:cs="Calibri"/>
                <w:sz w:val="15"/>
                <w:szCs w:val="16"/>
              </w:rPr>
            </w:pPr>
            <w:r w:rsidRPr="00A46ADC">
              <w:t>2.1</w:t>
            </w:r>
          </w:p>
        </w:tc>
        <w:tc>
          <w:tcPr>
            <w:tcW w:w="662" w:type="dxa"/>
            <w:noWrap/>
            <w:hideMark/>
          </w:tcPr>
          <w:p w14:paraId="24FE056B"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5A2D3D4C" w14:textId="77777777" w:rsidTr="002C718D">
        <w:trPr>
          <w:cantSplit/>
        </w:trPr>
        <w:tc>
          <w:tcPr>
            <w:tcW w:w="4106" w:type="dxa"/>
            <w:vAlign w:val="center"/>
            <w:hideMark/>
          </w:tcPr>
          <w:p w14:paraId="0BB47D0E"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Other</w:t>
            </w:r>
          </w:p>
        </w:tc>
        <w:tc>
          <w:tcPr>
            <w:tcW w:w="709" w:type="dxa"/>
            <w:noWrap/>
            <w:vAlign w:val="center"/>
            <w:hideMark/>
          </w:tcPr>
          <w:p w14:paraId="262E3A5C" w14:textId="77777777" w:rsidR="00DE4516" w:rsidRPr="00A46ADC" w:rsidRDefault="00DE4516" w:rsidP="00DE4516">
            <w:pPr>
              <w:pStyle w:val="TableBody"/>
              <w:autoSpaceDE w:val="0"/>
              <w:autoSpaceDN w:val="0"/>
              <w:adjustRightInd w:val="0"/>
              <w:jc w:val="right"/>
              <w:rPr>
                <w:rFonts w:cs="Calibri"/>
                <w:sz w:val="15"/>
                <w:szCs w:val="16"/>
              </w:rPr>
            </w:pPr>
            <w:r w:rsidRPr="00A46ADC">
              <w:t>4.3</w:t>
            </w:r>
          </w:p>
        </w:tc>
        <w:tc>
          <w:tcPr>
            <w:tcW w:w="709" w:type="dxa"/>
            <w:noWrap/>
            <w:vAlign w:val="center"/>
            <w:hideMark/>
          </w:tcPr>
          <w:p w14:paraId="56819EB5" w14:textId="77777777" w:rsidR="00DE4516" w:rsidRPr="00A46ADC" w:rsidRDefault="00DE4516" w:rsidP="00DE4516">
            <w:pPr>
              <w:pStyle w:val="TableBody"/>
              <w:autoSpaceDE w:val="0"/>
              <w:autoSpaceDN w:val="0"/>
              <w:adjustRightInd w:val="0"/>
              <w:jc w:val="right"/>
              <w:rPr>
                <w:rFonts w:cs="Calibri"/>
                <w:sz w:val="15"/>
                <w:szCs w:val="16"/>
              </w:rPr>
            </w:pPr>
            <w:r w:rsidRPr="00A46ADC">
              <w:t>4.7</w:t>
            </w:r>
          </w:p>
        </w:tc>
        <w:tc>
          <w:tcPr>
            <w:tcW w:w="708" w:type="dxa"/>
            <w:noWrap/>
            <w:vAlign w:val="center"/>
            <w:hideMark/>
          </w:tcPr>
          <w:p w14:paraId="45B263F0" w14:textId="77777777" w:rsidR="00DE4516" w:rsidRPr="00A46ADC" w:rsidRDefault="00DE4516" w:rsidP="00DE4516">
            <w:pPr>
              <w:pStyle w:val="TableBody"/>
              <w:autoSpaceDE w:val="0"/>
              <w:autoSpaceDN w:val="0"/>
              <w:adjustRightInd w:val="0"/>
              <w:jc w:val="right"/>
              <w:rPr>
                <w:rFonts w:cs="Calibri"/>
                <w:sz w:val="15"/>
                <w:szCs w:val="16"/>
              </w:rPr>
            </w:pPr>
            <w:r w:rsidRPr="00A46ADC">
              <w:t>6.4</w:t>
            </w:r>
          </w:p>
        </w:tc>
        <w:tc>
          <w:tcPr>
            <w:tcW w:w="709" w:type="dxa"/>
            <w:noWrap/>
            <w:vAlign w:val="center"/>
            <w:hideMark/>
          </w:tcPr>
          <w:p w14:paraId="67B0D463" w14:textId="77777777" w:rsidR="00DE4516" w:rsidRPr="00A46ADC" w:rsidRDefault="00DE4516" w:rsidP="00DE4516">
            <w:pPr>
              <w:pStyle w:val="TableBody"/>
              <w:autoSpaceDE w:val="0"/>
              <w:autoSpaceDN w:val="0"/>
              <w:adjustRightInd w:val="0"/>
              <w:jc w:val="right"/>
              <w:rPr>
                <w:rFonts w:cs="Calibri"/>
                <w:sz w:val="15"/>
                <w:szCs w:val="16"/>
              </w:rPr>
            </w:pPr>
            <w:r w:rsidRPr="00A46ADC">
              <w:t>6.2</w:t>
            </w:r>
          </w:p>
        </w:tc>
        <w:tc>
          <w:tcPr>
            <w:tcW w:w="709" w:type="dxa"/>
            <w:noWrap/>
            <w:vAlign w:val="center"/>
            <w:hideMark/>
          </w:tcPr>
          <w:p w14:paraId="05D0D0E1" w14:textId="77777777" w:rsidR="00DE4516" w:rsidRPr="00A46ADC" w:rsidRDefault="00DE4516" w:rsidP="00DE4516">
            <w:pPr>
              <w:pStyle w:val="TableBody"/>
              <w:autoSpaceDE w:val="0"/>
              <w:autoSpaceDN w:val="0"/>
              <w:adjustRightInd w:val="0"/>
              <w:jc w:val="right"/>
              <w:rPr>
                <w:rFonts w:cs="Calibri"/>
                <w:sz w:val="15"/>
                <w:szCs w:val="16"/>
              </w:rPr>
            </w:pPr>
            <w:r w:rsidRPr="00A46ADC">
              <w:t>5.3</w:t>
            </w:r>
          </w:p>
        </w:tc>
        <w:tc>
          <w:tcPr>
            <w:tcW w:w="709" w:type="dxa"/>
            <w:noWrap/>
            <w:vAlign w:val="center"/>
            <w:hideMark/>
          </w:tcPr>
          <w:p w14:paraId="36EA0555" w14:textId="77777777" w:rsidR="00DE4516" w:rsidRPr="00A46ADC" w:rsidRDefault="00DE4516" w:rsidP="00DE4516">
            <w:pPr>
              <w:pStyle w:val="TableBody"/>
              <w:autoSpaceDE w:val="0"/>
              <w:autoSpaceDN w:val="0"/>
              <w:adjustRightInd w:val="0"/>
              <w:jc w:val="right"/>
              <w:rPr>
                <w:rFonts w:cs="Calibri"/>
                <w:sz w:val="15"/>
                <w:szCs w:val="16"/>
              </w:rPr>
            </w:pPr>
            <w:r w:rsidRPr="00A46ADC">
              <w:t>5.6</w:t>
            </w:r>
          </w:p>
        </w:tc>
        <w:tc>
          <w:tcPr>
            <w:tcW w:w="662" w:type="dxa"/>
            <w:noWrap/>
            <w:hideMark/>
          </w:tcPr>
          <w:p w14:paraId="4ADB4D31"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3C536922"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1495670D" w14:textId="77777777" w:rsidR="00DE4516" w:rsidRPr="00A46ADC" w:rsidRDefault="00DE4516" w:rsidP="00DE4516">
            <w:pPr>
              <w:pStyle w:val="TableBody"/>
              <w:autoSpaceDE w:val="0"/>
              <w:autoSpaceDN w:val="0"/>
              <w:adjustRightInd w:val="0"/>
              <w:jc w:val="both"/>
              <w:rPr>
                <w:rFonts w:cs="Calibri"/>
                <w:sz w:val="15"/>
                <w:szCs w:val="16"/>
              </w:rPr>
            </w:pPr>
            <w:r w:rsidRPr="00A46ADC">
              <w:t>Total public expenditure</w:t>
            </w:r>
          </w:p>
        </w:tc>
        <w:tc>
          <w:tcPr>
            <w:tcW w:w="709" w:type="dxa"/>
            <w:noWrap/>
            <w:vAlign w:val="center"/>
            <w:hideMark/>
          </w:tcPr>
          <w:p w14:paraId="429F1A6A" w14:textId="77777777" w:rsidR="00DE4516" w:rsidRPr="00A46ADC" w:rsidRDefault="00DE4516" w:rsidP="00DE4516">
            <w:pPr>
              <w:pStyle w:val="TableBody"/>
              <w:autoSpaceDE w:val="0"/>
              <w:autoSpaceDN w:val="0"/>
              <w:adjustRightInd w:val="0"/>
              <w:jc w:val="right"/>
              <w:rPr>
                <w:rFonts w:cs="Calibri"/>
                <w:sz w:val="15"/>
                <w:szCs w:val="16"/>
              </w:rPr>
            </w:pPr>
            <w:r w:rsidRPr="00A46ADC">
              <w:t>47.2</w:t>
            </w:r>
          </w:p>
        </w:tc>
        <w:tc>
          <w:tcPr>
            <w:tcW w:w="709" w:type="dxa"/>
            <w:noWrap/>
            <w:vAlign w:val="center"/>
            <w:hideMark/>
          </w:tcPr>
          <w:p w14:paraId="6CC5334A" w14:textId="77777777" w:rsidR="00DE4516" w:rsidRPr="00A46ADC" w:rsidRDefault="00DE4516" w:rsidP="00DE4516">
            <w:pPr>
              <w:pStyle w:val="TableBody"/>
              <w:autoSpaceDE w:val="0"/>
              <w:autoSpaceDN w:val="0"/>
              <w:adjustRightInd w:val="0"/>
              <w:jc w:val="right"/>
              <w:rPr>
                <w:rFonts w:cs="Calibri"/>
                <w:sz w:val="15"/>
                <w:szCs w:val="16"/>
              </w:rPr>
            </w:pPr>
            <w:r w:rsidRPr="00A46ADC">
              <w:t>52.1</w:t>
            </w:r>
          </w:p>
        </w:tc>
        <w:tc>
          <w:tcPr>
            <w:tcW w:w="708" w:type="dxa"/>
            <w:noWrap/>
            <w:vAlign w:val="center"/>
            <w:hideMark/>
          </w:tcPr>
          <w:p w14:paraId="644D9577" w14:textId="77777777" w:rsidR="00DE4516" w:rsidRPr="00A46ADC" w:rsidRDefault="00DE4516" w:rsidP="00DE4516">
            <w:pPr>
              <w:pStyle w:val="TableBody"/>
              <w:autoSpaceDE w:val="0"/>
              <w:autoSpaceDN w:val="0"/>
              <w:adjustRightInd w:val="0"/>
              <w:jc w:val="right"/>
              <w:rPr>
                <w:rFonts w:cs="Calibri"/>
                <w:sz w:val="15"/>
                <w:szCs w:val="16"/>
              </w:rPr>
            </w:pPr>
            <w:r w:rsidRPr="00A46ADC">
              <w:t>55.8</w:t>
            </w:r>
          </w:p>
        </w:tc>
        <w:tc>
          <w:tcPr>
            <w:tcW w:w="709" w:type="dxa"/>
            <w:noWrap/>
            <w:vAlign w:val="center"/>
            <w:hideMark/>
          </w:tcPr>
          <w:p w14:paraId="0F6BF28A" w14:textId="77777777" w:rsidR="00DE4516" w:rsidRPr="00A46ADC" w:rsidRDefault="00DE4516" w:rsidP="00DE4516">
            <w:pPr>
              <w:pStyle w:val="TableBody"/>
              <w:autoSpaceDE w:val="0"/>
              <w:autoSpaceDN w:val="0"/>
              <w:adjustRightInd w:val="0"/>
              <w:jc w:val="right"/>
              <w:rPr>
                <w:rFonts w:cs="Calibri"/>
                <w:sz w:val="15"/>
                <w:szCs w:val="16"/>
              </w:rPr>
            </w:pPr>
            <w:r w:rsidRPr="00A46ADC">
              <w:t>45.2</w:t>
            </w:r>
          </w:p>
        </w:tc>
        <w:tc>
          <w:tcPr>
            <w:tcW w:w="709" w:type="dxa"/>
            <w:noWrap/>
            <w:vAlign w:val="center"/>
            <w:hideMark/>
          </w:tcPr>
          <w:p w14:paraId="3B4458B9" w14:textId="77777777" w:rsidR="00DE4516" w:rsidRPr="00A46ADC" w:rsidRDefault="00DE4516" w:rsidP="00DE4516">
            <w:pPr>
              <w:pStyle w:val="TableBody"/>
              <w:autoSpaceDE w:val="0"/>
              <w:autoSpaceDN w:val="0"/>
              <w:adjustRightInd w:val="0"/>
              <w:jc w:val="right"/>
              <w:rPr>
                <w:rFonts w:cs="Calibri"/>
                <w:sz w:val="15"/>
                <w:szCs w:val="16"/>
              </w:rPr>
            </w:pPr>
            <w:r w:rsidRPr="00A46ADC">
              <w:t>44.3</w:t>
            </w:r>
          </w:p>
        </w:tc>
        <w:tc>
          <w:tcPr>
            <w:tcW w:w="709" w:type="dxa"/>
            <w:noWrap/>
            <w:vAlign w:val="center"/>
            <w:hideMark/>
          </w:tcPr>
          <w:p w14:paraId="480C7AB6" w14:textId="77777777" w:rsidR="00DE4516" w:rsidRPr="00A46ADC" w:rsidRDefault="00DE4516" w:rsidP="00DE4516">
            <w:pPr>
              <w:pStyle w:val="TableBody"/>
              <w:autoSpaceDE w:val="0"/>
              <w:autoSpaceDN w:val="0"/>
              <w:adjustRightInd w:val="0"/>
              <w:jc w:val="right"/>
              <w:rPr>
                <w:rFonts w:cs="Calibri"/>
                <w:sz w:val="15"/>
                <w:szCs w:val="16"/>
              </w:rPr>
            </w:pPr>
            <w:r w:rsidRPr="00A46ADC">
              <w:t>44.5</w:t>
            </w:r>
          </w:p>
        </w:tc>
        <w:tc>
          <w:tcPr>
            <w:tcW w:w="662" w:type="dxa"/>
            <w:noWrap/>
            <w:hideMark/>
          </w:tcPr>
          <w:p w14:paraId="21CC793A"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709650EB" w14:textId="77777777" w:rsidTr="002C718D">
        <w:trPr>
          <w:cantSplit/>
        </w:trPr>
        <w:tc>
          <w:tcPr>
            <w:tcW w:w="4106" w:type="dxa"/>
            <w:vAlign w:val="center"/>
            <w:hideMark/>
          </w:tcPr>
          <w:p w14:paraId="66F506A1"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lastRenderedPageBreak/>
              <w:t>Current expenditure</w:t>
            </w:r>
          </w:p>
        </w:tc>
        <w:tc>
          <w:tcPr>
            <w:tcW w:w="709" w:type="dxa"/>
            <w:noWrap/>
            <w:vAlign w:val="center"/>
            <w:hideMark/>
          </w:tcPr>
          <w:p w14:paraId="610C410D" w14:textId="77777777" w:rsidR="00DE4516" w:rsidRPr="00A46ADC" w:rsidRDefault="00DE4516" w:rsidP="00DE4516">
            <w:pPr>
              <w:pStyle w:val="TableBody"/>
              <w:autoSpaceDE w:val="0"/>
              <w:autoSpaceDN w:val="0"/>
              <w:adjustRightInd w:val="0"/>
              <w:jc w:val="right"/>
              <w:rPr>
                <w:rFonts w:cs="Calibri"/>
                <w:sz w:val="15"/>
                <w:szCs w:val="16"/>
              </w:rPr>
            </w:pPr>
            <w:r w:rsidRPr="00A46ADC">
              <w:t>26.4</w:t>
            </w:r>
          </w:p>
        </w:tc>
        <w:tc>
          <w:tcPr>
            <w:tcW w:w="709" w:type="dxa"/>
            <w:noWrap/>
            <w:vAlign w:val="center"/>
            <w:hideMark/>
          </w:tcPr>
          <w:p w14:paraId="2E288583" w14:textId="77777777" w:rsidR="00DE4516" w:rsidRPr="00A46ADC" w:rsidRDefault="00DE4516" w:rsidP="00DE4516">
            <w:pPr>
              <w:pStyle w:val="TableBody"/>
              <w:autoSpaceDE w:val="0"/>
              <w:autoSpaceDN w:val="0"/>
              <w:adjustRightInd w:val="0"/>
              <w:jc w:val="right"/>
              <w:rPr>
                <w:rFonts w:cs="Calibri"/>
                <w:sz w:val="15"/>
                <w:szCs w:val="16"/>
              </w:rPr>
            </w:pPr>
            <w:r w:rsidRPr="00A46ADC">
              <w:t>34.8</w:t>
            </w:r>
          </w:p>
        </w:tc>
        <w:tc>
          <w:tcPr>
            <w:tcW w:w="708" w:type="dxa"/>
            <w:noWrap/>
            <w:vAlign w:val="center"/>
            <w:hideMark/>
          </w:tcPr>
          <w:p w14:paraId="6396BABE" w14:textId="77777777" w:rsidR="00DE4516" w:rsidRPr="00A46ADC" w:rsidRDefault="00DE4516" w:rsidP="00DE4516">
            <w:pPr>
              <w:pStyle w:val="TableBody"/>
              <w:autoSpaceDE w:val="0"/>
              <w:autoSpaceDN w:val="0"/>
              <w:adjustRightInd w:val="0"/>
              <w:jc w:val="right"/>
              <w:rPr>
                <w:rFonts w:cs="Calibri"/>
                <w:sz w:val="15"/>
                <w:szCs w:val="16"/>
              </w:rPr>
            </w:pPr>
            <w:r w:rsidRPr="00A46ADC">
              <w:t>36.3</w:t>
            </w:r>
          </w:p>
        </w:tc>
        <w:tc>
          <w:tcPr>
            <w:tcW w:w="709" w:type="dxa"/>
            <w:noWrap/>
            <w:vAlign w:val="center"/>
            <w:hideMark/>
          </w:tcPr>
          <w:p w14:paraId="28870828" w14:textId="77777777" w:rsidR="00DE4516" w:rsidRPr="00A46ADC" w:rsidRDefault="00DE4516" w:rsidP="00DE4516">
            <w:pPr>
              <w:pStyle w:val="TableBody"/>
              <w:autoSpaceDE w:val="0"/>
              <w:autoSpaceDN w:val="0"/>
              <w:adjustRightInd w:val="0"/>
              <w:jc w:val="right"/>
              <w:rPr>
                <w:rFonts w:cs="Calibri"/>
                <w:sz w:val="15"/>
                <w:szCs w:val="16"/>
              </w:rPr>
            </w:pPr>
            <w:r w:rsidRPr="00A46ADC">
              <w:t>32.9</w:t>
            </w:r>
          </w:p>
        </w:tc>
        <w:tc>
          <w:tcPr>
            <w:tcW w:w="709" w:type="dxa"/>
            <w:noWrap/>
            <w:vAlign w:val="center"/>
            <w:hideMark/>
          </w:tcPr>
          <w:p w14:paraId="5F50A70B" w14:textId="77777777" w:rsidR="00DE4516" w:rsidRPr="00A46ADC" w:rsidRDefault="00DE4516" w:rsidP="00DE4516">
            <w:pPr>
              <w:pStyle w:val="TableBody"/>
              <w:autoSpaceDE w:val="0"/>
              <w:autoSpaceDN w:val="0"/>
              <w:adjustRightInd w:val="0"/>
              <w:jc w:val="right"/>
              <w:rPr>
                <w:rFonts w:cs="Calibri"/>
                <w:sz w:val="15"/>
                <w:szCs w:val="16"/>
              </w:rPr>
            </w:pPr>
            <w:r w:rsidRPr="00A46ADC">
              <w:t>31.9</w:t>
            </w:r>
          </w:p>
        </w:tc>
        <w:tc>
          <w:tcPr>
            <w:tcW w:w="709" w:type="dxa"/>
            <w:noWrap/>
            <w:vAlign w:val="center"/>
            <w:hideMark/>
          </w:tcPr>
          <w:p w14:paraId="342539E6" w14:textId="77777777" w:rsidR="00DE4516" w:rsidRPr="00A46ADC" w:rsidRDefault="00DE4516" w:rsidP="00DE4516">
            <w:pPr>
              <w:pStyle w:val="TableBody"/>
              <w:autoSpaceDE w:val="0"/>
              <w:autoSpaceDN w:val="0"/>
              <w:adjustRightInd w:val="0"/>
              <w:jc w:val="right"/>
              <w:rPr>
                <w:rFonts w:cs="Calibri"/>
                <w:sz w:val="15"/>
                <w:szCs w:val="16"/>
              </w:rPr>
            </w:pPr>
            <w:r w:rsidRPr="00A46ADC">
              <w:t>28.8</w:t>
            </w:r>
          </w:p>
        </w:tc>
        <w:tc>
          <w:tcPr>
            <w:tcW w:w="662" w:type="dxa"/>
            <w:noWrap/>
            <w:hideMark/>
          </w:tcPr>
          <w:p w14:paraId="132AEB6C"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3A2D4BFA"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51AB3A89"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Investment expenditure</w:t>
            </w:r>
          </w:p>
        </w:tc>
        <w:tc>
          <w:tcPr>
            <w:tcW w:w="709" w:type="dxa"/>
            <w:noWrap/>
            <w:vAlign w:val="center"/>
            <w:hideMark/>
          </w:tcPr>
          <w:p w14:paraId="30F17AA7" w14:textId="77777777" w:rsidR="00DE4516" w:rsidRPr="00A46ADC" w:rsidRDefault="00DE4516" w:rsidP="00DE4516">
            <w:pPr>
              <w:pStyle w:val="TableBody"/>
              <w:autoSpaceDE w:val="0"/>
              <w:autoSpaceDN w:val="0"/>
              <w:adjustRightInd w:val="0"/>
              <w:jc w:val="right"/>
              <w:rPr>
                <w:rFonts w:cs="Calibri"/>
                <w:sz w:val="15"/>
                <w:szCs w:val="16"/>
              </w:rPr>
            </w:pPr>
            <w:r w:rsidRPr="00A46ADC">
              <w:t>9.7</w:t>
            </w:r>
          </w:p>
        </w:tc>
        <w:tc>
          <w:tcPr>
            <w:tcW w:w="709" w:type="dxa"/>
            <w:noWrap/>
            <w:vAlign w:val="center"/>
            <w:hideMark/>
          </w:tcPr>
          <w:p w14:paraId="3AFB2D30" w14:textId="77777777" w:rsidR="00DE4516" w:rsidRPr="00A46ADC" w:rsidRDefault="00DE4516" w:rsidP="00DE4516">
            <w:pPr>
              <w:pStyle w:val="TableBody"/>
              <w:autoSpaceDE w:val="0"/>
              <w:autoSpaceDN w:val="0"/>
              <w:adjustRightInd w:val="0"/>
              <w:jc w:val="right"/>
              <w:rPr>
                <w:rFonts w:cs="Calibri"/>
                <w:sz w:val="15"/>
                <w:szCs w:val="16"/>
              </w:rPr>
            </w:pPr>
            <w:r w:rsidRPr="00A46ADC">
              <w:t>12.6</w:t>
            </w:r>
          </w:p>
        </w:tc>
        <w:tc>
          <w:tcPr>
            <w:tcW w:w="708" w:type="dxa"/>
            <w:noWrap/>
            <w:vAlign w:val="center"/>
            <w:hideMark/>
          </w:tcPr>
          <w:p w14:paraId="51016014" w14:textId="77777777" w:rsidR="00DE4516" w:rsidRPr="00A46ADC" w:rsidRDefault="00DE4516" w:rsidP="00DE4516">
            <w:pPr>
              <w:pStyle w:val="TableBody"/>
              <w:autoSpaceDE w:val="0"/>
              <w:autoSpaceDN w:val="0"/>
              <w:adjustRightInd w:val="0"/>
              <w:jc w:val="right"/>
              <w:rPr>
                <w:rFonts w:cs="Calibri"/>
                <w:sz w:val="15"/>
                <w:szCs w:val="16"/>
              </w:rPr>
            </w:pPr>
            <w:r w:rsidRPr="00A46ADC">
              <w:t>11.1</w:t>
            </w:r>
          </w:p>
        </w:tc>
        <w:tc>
          <w:tcPr>
            <w:tcW w:w="709" w:type="dxa"/>
            <w:noWrap/>
            <w:vAlign w:val="center"/>
            <w:hideMark/>
          </w:tcPr>
          <w:p w14:paraId="3CCFD0B5" w14:textId="77777777" w:rsidR="00DE4516" w:rsidRPr="00A46ADC" w:rsidRDefault="00DE4516" w:rsidP="00DE4516">
            <w:pPr>
              <w:pStyle w:val="TableBody"/>
              <w:autoSpaceDE w:val="0"/>
              <w:autoSpaceDN w:val="0"/>
              <w:adjustRightInd w:val="0"/>
              <w:jc w:val="right"/>
              <w:rPr>
                <w:rFonts w:cs="Calibri"/>
                <w:sz w:val="15"/>
                <w:szCs w:val="16"/>
              </w:rPr>
            </w:pPr>
            <w:r w:rsidRPr="00A46ADC">
              <w:t>9.8</w:t>
            </w:r>
          </w:p>
        </w:tc>
        <w:tc>
          <w:tcPr>
            <w:tcW w:w="709" w:type="dxa"/>
            <w:noWrap/>
            <w:vAlign w:val="center"/>
            <w:hideMark/>
          </w:tcPr>
          <w:p w14:paraId="0B8689BF" w14:textId="77777777" w:rsidR="00DE4516" w:rsidRPr="00A46ADC" w:rsidRDefault="00DE4516" w:rsidP="00DE4516">
            <w:pPr>
              <w:pStyle w:val="TableBody"/>
              <w:autoSpaceDE w:val="0"/>
              <w:autoSpaceDN w:val="0"/>
              <w:adjustRightInd w:val="0"/>
              <w:jc w:val="right"/>
              <w:rPr>
                <w:rFonts w:cs="Calibri"/>
                <w:sz w:val="15"/>
                <w:szCs w:val="16"/>
              </w:rPr>
            </w:pPr>
            <w:r w:rsidRPr="00A46ADC">
              <w:t>9.4</w:t>
            </w:r>
          </w:p>
        </w:tc>
        <w:tc>
          <w:tcPr>
            <w:tcW w:w="709" w:type="dxa"/>
            <w:noWrap/>
            <w:vAlign w:val="center"/>
            <w:hideMark/>
          </w:tcPr>
          <w:p w14:paraId="435F1DA2" w14:textId="77777777" w:rsidR="00DE4516" w:rsidRPr="00A46ADC" w:rsidRDefault="00DE4516" w:rsidP="00DE4516">
            <w:pPr>
              <w:pStyle w:val="TableBody"/>
              <w:autoSpaceDE w:val="0"/>
              <w:autoSpaceDN w:val="0"/>
              <w:adjustRightInd w:val="0"/>
              <w:jc w:val="right"/>
              <w:rPr>
                <w:rFonts w:cs="Calibri"/>
                <w:sz w:val="15"/>
                <w:szCs w:val="16"/>
              </w:rPr>
            </w:pPr>
            <w:r w:rsidRPr="00A46ADC">
              <w:t>8.0</w:t>
            </w:r>
          </w:p>
        </w:tc>
        <w:tc>
          <w:tcPr>
            <w:tcW w:w="662" w:type="dxa"/>
            <w:noWrap/>
            <w:hideMark/>
          </w:tcPr>
          <w:p w14:paraId="3300A100"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6DD272AA" w14:textId="77777777" w:rsidTr="002C718D">
        <w:trPr>
          <w:cantSplit/>
        </w:trPr>
        <w:tc>
          <w:tcPr>
            <w:tcW w:w="4106" w:type="dxa"/>
            <w:vAlign w:val="center"/>
            <w:hideMark/>
          </w:tcPr>
          <w:p w14:paraId="76C87A87"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Other</w:t>
            </w:r>
          </w:p>
        </w:tc>
        <w:tc>
          <w:tcPr>
            <w:tcW w:w="709" w:type="dxa"/>
            <w:noWrap/>
            <w:vAlign w:val="center"/>
            <w:hideMark/>
          </w:tcPr>
          <w:p w14:paraId="04117C8A" w14:textId="77777777" w:rsidR="00DE4516" w:rsidRPr="00A46ADC" w:rsidRDefault="00DE4516" w:rsidP="00DE4516">
            <w:pPr>
              <w:pStyle w:val="TableBody"/>
              <w:autoSpaceDE w:val="0"/>
              <w:autoSpaceDN w:val="0"/>
              <w:adjustRightInd w:val="0"/>
              <w:jc w:val="right"/>
              <w:rPr>
                <w:rFonts w:cs="Calibri"/>
                <w:sz w:val="15"/>
                <w:szCs w:val="16"/>
              </w:rPr>
            </w:pPr>
            <w:r w:rsidRPr="00A46ADC">
              <w:t>11.0</w:t>
            </w:r>
          </w:p>
        </w:tc>
        <w:tc>
          <w:tcPr>
            <w:tcW w:w="709" w:type="dxa"/>
            <w:noWrap/>
            <w:vAlign w:val="center"/>
            <w:hideMark/>
          </w:tcPr>
          <w:p w14:paraId="2DE37866" w14:textId="77777777" w:rsidR="00DE4516" w:rsidRPr="00A46ADC" w:rsidRDefault="00DE4516" w:rsidP="00DE4516">
            <w:pPr>
              <w:pStyle w:val="TableBody"/>
              <w:autoSpaceDE w:val="0"/>
              <w:autoSpaceDN w:val="0"/>
              <w:adjustRightInd w:val="0"/>
              <w:jc w:val="right"/>
              <w:rPr>
                <w:rFonts w:cs="Calibri"/>
                <w:sz w:val="15"/>
                <w:szCs w:val="16"/>
              </w:rPr>
            </w:pPr>
            <w:r w:rsidRPr="00A46ADC">
              <w:t>4.6</w:t>
            </w:r>
          </w:p>
        </w:tc>
        <w:tc>
          <w:tcPr>
            <w:tcW w:w="708" w:type="dxa"/>
            <w:noWrap/>
            <w:vAlign w:val="center"/>
            <w:hideMark/>
          </w:tcPr>
          <w:p w14:paraId="0A8EB8B9" w14:textId="77777777" w:rsidR="00DE4516" w:rsidRPr="00A46ADC" w:rsidRDefault="00DE4516" w:rsidP="00DE4516">
            <w:pPr>
              <w:pStyle w:val="TableBody"/>
              <w:autoSpaceDE w:val="0"/>
              <w:autoSpaceDN w:val="0"/>
              <w:adjustRightInd w:val="0"/>
              <w:jc w:val="right"/>
              <w:rPr>
                <w:rFonts w:cs="Calibri"/>
                <w:sz w:val="15"/>
                <w:szCs w:val="16"/>
              </w:rPr>
            </w:pPr>
            <w:r w:rsidRPr="00A46ADC">
              <w:t>8.5</w:t>
            </w:r>
          </w:p>
        </w:tc>
        <w:tc>
          <w:tcPr>
            <w:tcW w:w="709" w:type="dxa"/>
            <w:noWrap/>
            <w:vAlign w:val="center"/>
            <w:hideMark/>
          </w:tcPr>
          <w:p w14:paraId="2051589E" w14:textId="77777777" w:rsidR="00DE4516" w:rsidRPr="00A46ADC" w:rsidRDefault="00DE4516" w:rsidP="00DE4516">
            <w:pPr>
              <w:pStyle w:val="TableBody"/>
              <w:autoSpaceDE w:val="0"/>
              <w:autoSpaceDN w:val="0"/>
              <w:adjustRightInd w:val="0"/>
              <w:jc w:val="right"/>
              <w:rPr>
                <w:rFonts w:cs="Calibri"/>
                <w:sz w:val="15"/>
                <w:szCs w:val="16"/>
              </w:rPr>
            </w:pPr>
            <w:r w:rsidRPr="00A46ADC">
              <w:t>2.6</w:t>
            </w:r>
          </w:p>
        </w:tc>
        <w:tc>
          <w:tcPr>
            <w:tcW w:w="709" w:type="dxa"/>
            <w:noWrap/>
            <w:vAlign w:val="center"/>
            <w:hideMark/>
          </w:tcPr>
          <w:p w14:paraId="6BC15CD8" w14:textId="77777777" w:rsidR="00DE4516" w:rsidRPr="00A46ADC" w:rsidRDefault="00DE4516" w:rsidP="00DE4516">
            <w:pPr>
              <w:pStyle w:val="TableBody"/>
              <w:autoSpaceDE w:val="0"/>
              <w:autoSpaceDN w:val="0"/>
              <w:adjustRightInd w:val="0"/>
              <w:jc w:val="right"/>
              <w:rPr>
                <w:rFonts w:cs="Calibri"/>
                <w:sz w:val="15"/>
                <w:szCs w:val="16"/>
              </w:rPr>
            </w:pPr>
            <w:r w:rsidRPr="00A46ADC">
              <w:t>3.1</w:t>
            </w:r>
          </w:p>
        </w:tc>
        <w:tc>
          <w:tcPr>
            <w:tcW w:w="709" w:type="dxa"/>
            <w:noWrap/>
            <w:vAlign w:val="center"/>
            <w:hideMark/>
          </w:tcPr>
          <w:p w14:paraId="7413B431" w14:textId="77777777" w:rsidR="00DE4516" w:rsidRPr="00A46ADC" w:rsidRDefault="00DE4516" w:rsidP="00DE4516">
            <w:pPr>
              <w:pStyle w:val="TableBody"/>
              <w:autoSpaceDE w:val="0"/>
              <w:autoSpaceDN w:val="0"/>
              <w:adjustRightInd w:val="0"/>
              <w:jc w:val="right"/>
              <w:rPr>
                <w:rFonts w:cs="Calibri"/>
                <w:sz w:val="15"/>
                <w:szCs w:val="16"/>
              </w:rPr>
            </w:pPr>
            <w:r w:rsidRPr="00A46ADC">
              <w:t>7.8</w:t>
            </w:r>
          </w:p>
        </w:tc>
        <w:tc>
          <w:tcPr>
            <w:tcW w:w="662" w:type="dxa"/>
            <w:noWrap/>
            <w:hideMark/>
          </w:tcPr>
          <w:p w14:paraId="32F4A108"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09782DE1"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noWrap/>
            <w:vAlign w:val="center"/>
            <w:hideMark/>
          </w:tcPr>
          <w:p w14:paraId="3D85DDE4" w14:textId="77777777" w:rsidR="00DE4516" w:rsidRPr="00A46ADC" w:rsidRDefault="00DE4516" w:rsidP="00DE4516">
            <w:pPr>
              <w:pStyle w:val="TableBody"/>
              <w:autoSpaceDE w:val="0"/>
              <w:autoSpaceDN w:val="0"/>
              <w:adjustRightInd w:val="0"/>
              <w:jc w:val="both"/>
              <w:rPr>
                <w:rFonts w:cs="Calibri"/>
                <w:sz w:val="15"/>
                <w:szCs w:val="16"/>
              </w:rPr>
            </w:pPr>
            <w:r w:rsidRPr="00A46ADC">
              <w:t>Surplus (+) or deficit (-)</w:t>
            </w:r>
          </w:p>
        </w:tc>
        <w:tc>
          <w:tcPr>
            <w:tcW w:w="709" w:type="dxa"/>
            <w:noWrap/>
            <w:vAlign w:val="center"/>
            <w:hideMark/>
          </w:tcPr>
          <w:p w14:paraId="539E50AA" w14:textId="77777777" w:rsidR="00DE4516" w:rsidRPr="00A46ADC" w:rsidRDefault="00DE4516" w:rsidP="00DE4516">
            <w:pPr>
              <w:pStyle w:val="TableBody"/>
              <w:autoSpaceDE w:val="0"/>
              <w:autoSpaceDN w:val="0"/>
              <w:adjustRightInd w:val="0"/>
              <w:jc w:val="right"/>
              <w:rPr>
                <w:rFonts w:cs="Calibri"/>
                <w:sz w:val="15"/>
                <w:szCs w:val="16"/>
              </w:rPr>
            </w:pPr>
            <w:r w:rsidRPr="00A46ADC">
              <w:t>−3.2</w:t>
            </w:r>
          </w:p>
        </w:tc>
        <w:tc>
          <w:tcPr>
            <w:tcW w:w="709" w:type="dxa"/>
            <w:noWrap/>
            <w:vAlign w:val="center"/>
            <w:hideMark/>
          </w:tcPr>
          <w:p w14:paraId="7B89659E" w14:textId="77777777" w:rsidR="00DE4516" w:rsidRPr="00A46ADC" w:rsidRDefault="00DE4516" w:rsidP="00DE4516">
            <w:pPr>
              <w:pStyle w:val="TableBody"/>
              <w:autoSpaceDE w:val="0"/>
              <w:autoSpaceDN w:val="0"/>
              <w:adjustRightInd w:val="0"/>
              <w:jc w:val="right"/>
              <w:rPr>
                <w:rFonts w:cs="Calibri"/>
                <w:sz w:val="15"/>
                <w:szCs w:val="16"/>
              </w:rPr>
            </w:pPr>
            <w:r w:rsidRPr="00A46ADC">
              <w:t>−17.6</w:t>
            </w:r>
          </w:p>
        </w:tc>
        <w:tc>
          <w:tcPr>
            <w:tcW w:w="708" w:type="dxa"/>
            <w:noWrap/>
            <w:vAlign w:val="center"/>
            <w:hideMark/>
          </w:tcPr>
          <w:p w14:paraId="610C52C3" w14:textId="77777777" w:rsidR="00DE4516" w:rsidRPr="00A46ADC" w:rsidRDefault="00DE4516" w:rsidP="00DE4516">
            <w:pPr>
              <w:pStyle w:val="TableBody"/>
              <w:autoSpaceDE w:val="0"/>
              <w:autoSpaceDN w:val="0"/>
              <w:adjustRightInd w:val="0"/>
              <w:jc w:val="right"/>
              <w:rPr>
                <w:rFonts w:cs="Calibri"/>
                <w:sz w:val="15"/>
                <w:szCs w:val="16"/>
              </w:rPr>
            </w:pPr>
            <w:r w:rsidRPr="00A46ADC">
              <w:t>−26.1</w:t>
            </w:r>
          </w:p>
        </w:tc>
        <w:tc>
          <w:tcPr>
            <w:tcW w:w="709" w:type="dxa"/>
            <w:noWrap/>
            <w:vAlign w:val="center"/>
            <w:hideMark/>
          </w:tcPr>
          <w:p w14:paraId="30CFE020" w14:textId="77777777" w:rsidR="00DE4516" w:rsidRPr="00A46ADC" w:rsidRDefault="00DE4516" w:rsidP="00DE4516">
            <w:pPr>
              <w:pStyle w:val="TableBody"/>
              <w:autoSpaceDE w:val="0"/>
              <w:autoSpaceDN w:val="0"/>
              <w:adjustRightInd w:val="0"/>
              <w:jc w:val="right"/>
              <w:rPr>
                <w:rFonts w:cs="Calibri"/>
                <w:sz w:val="15"/>
                <w:szCs w:val="16"/>
              </w:rPr>
            </w:pPr>
            <w:r w:rsidRPr="00A46ADC">
              <w:t>−13.9</w:t>
            </w:r>
          </w:p>
        </w:tc>
        <w:tc>
          <w:tcPr>
            <w:tcW w:w="709" w:type="dxa"/>
            <w:noWrap/>
            <w:vAlign w:val="center"/>
            <w:hideMark/>
          </w:tcPr>
          <w:p w14:paraId="31D60AEF" w14:textId="77777777" w:rsidR="00DE4516" w:rsidRPr="00A46ADC" w:rsidRDefault="00DE4516" w:rsidP="00DE4516">
            <w:pPr>
              <w:pStyle w:val="TableBody"/>
              <w:autoSpaceDE w:val="0"/>
              <w:autoSpaceDN w:val="0"/>
              <w:adjustRightInd w:val="0"/>
              <w:jc w:val="right"/>
              <w:rPr>
                <w:rFonts w:cs="Calibri"/>
                <w:sz w:val="15"/>
                <w:szCs w:val="16"/>
              </w:rPr>
            </w:pPr>
            <w:r w:rsidRPr="00A46ADC">
              <w:t>−8.6</w:t>
            </w:r>
          </w:p>
        </w:tc>
        <w:tc>
          <w:tcPr>
            <w:tcW w:w="709" w:type="dxa"/>
            <w:noWrap/>
            <w:vAlign w:val="center"/>
            <w:hideMark/>
          </w:tcPr>
          <w:p w14:paraId="7B6E4E75" w14:textId="77777777" w:rsidR="00DE4516" w:rsidRPr="00A46ADC" w:rsidRDefault="00DE4516" w:rsidP="00DE4516">
            <w:pPr>
              <w:pStyle w:val="TableBody"/>
              <w:autoSpaceDE w:val="0"/>
              <w:autoSpaceDN w:val="0"/>
              <w:adjustRightInd w:val="0"/>
              <w:jc w:val="right"/>
              <w:rPr>
                <w:rFonts w:cs="Calibri"/>
                <w:sz w:val="15"/>
                <w:szCs w:val="16"/>
              </w:rPr>
            </w:pPr>
            <w:r w:rsidRPr="00A46ADC">
              <w:t>−9.0</w:t>
            </w:r>
          </w:p>
        </w:tc>
        <w:tc>
          <w:tcPr>
            <w:tcW w:w="662" w:type="dxa"/>
            <w:noWrap/>
            <w:hideMark/>
          </w:tcPr>
          <w:p w14:paraId="51C4E453"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28031E7D" w14:textId="77777777" w:rsidTr="002C718D">
        <w:trPr>
          <w:cantSplit/>
        </w:trPr>
        <w:tc>
          <w:tcPr>
            <w:tcW w:w="4106" w:type="dxa"/>
            <w:noWrap/>
            <w:vAlign w:val="center"/>
            <w:hideMark/>
          </w:tcPr>
          <w:p w14:paraId="6284CF87" w14:textId="77777777" w:rsidR="00DE4516" w:rsidRPr="00A46ADC" w:rsidRDefault="00DE4516" w:rsidP="00DE4516">
            <w:pPr>
              <w:pStyle w:val="TableBody"/>
              <w:autoSpaceDE w:val="0"/>
              <w:autoSpaceDN w:val="0"/>
              <w:adjustRightInd w:val="0"/>
              <w:jc w:val="both"/>
              <w:rPr>
                <w:rFonts w:cs="Calibri"/>
                <w:sz w:val="15"/>
                <w:szCs w:val="16"/>
              </w:rPr>
            </w:pPr>
            <w:r w:rsidRPr="00A46ADC">
              <w:t>Means of financing</w:t>
            </w:r>
          </w:p>
        </w:tc>
        <w:tc>
          <w:tcPr>
            <w:tcW w:w="709" w:type="dxa"/>
            <w:noWrap/>
            <w:vAlign w:val="center"/>
            <w:hideMark/>
          </w:tcPr>
          <w:p w14:paraId="1C1A5020" w14:textId="77777777" w:rsidR="00DE4516" w:rsidRPr="00A46ADC" w:rsidRDefault="00DE4516" w:rsidP="00DE4516">
            <w:pPr>
              <w:pStyle w:val="TableBody"/>
              <w:autoSpaceDE w:val="0"/>
              <w:autoSpaceDN w:val="0"/>
              <w:adjustRightInd w:val="0"/>
              <w:jc w:val="right"/>
              <w:rPr>
                <w:rFonts w:cs="Calibri"/>
                <w:sz w:val="15"/>
                <w:szCs w:val="16"/>
              </w:rPr>
            </w:pPr>
            <w:r w:rsidRPr="00A46ADC">
              <w:t>1.3</w:t>
            </w:r>
          </w:p>
        </w:tc>
        <w:tc>
          <w:tcPr>
            <w:tcW w:w="709" w:type="dxa"/>
            <w:noWrap/>
            <w:vAlign w:val="center"/>
            <w:hideMark/>
          </w:tcPr>
          <w:p w14:paraId="3880AC8C" w14:textId="77777777" w:rsidR="00DE4516" w:rsidRPr="00A46ADC" w:rsidRDefault="00DE4516" w:rsidP="00DE4516">
            <w:pPr>
              <w:pStyle w:val="TableBody"/>
              <w:autoSpaceDE w:val="0"/>
              <w:autoSpaceDN w:val="0"/>
              <w:adjustRightInd w:val="0"/>
              <w:jc w:val="right"/>
              <w:rPr>
                <w:rFonts w:cs="Calibri"/>
                <w:sz w:val="15"/>
                <w:szCs w:val="16"/>
              </w:rPr>
            </w:pPr>
            <w:r w:rsidRPr="00A46ADC">
              <w:t>5.3</w:t>
            </w:r>
          </w:p>
        </w:tc>
        <w:tc>
          <w:tcPr>
            <w:tcW w:w="708" w:type="dxa"/>
            <w:noWrap/>
            <w:vAlign w:val="center"/>
            <w:hideMark/>
          </w:tcPr>
          <w:p w14:paraId="3B68574B" w14:textId="77777777" w:rsidR="00DE4516" w:rsidRPr="00A46ADC" w:rsidRDefault="00DE4516" w:rsidP="00DE4516">
            <w:pPr>
              <w:pStyle w:val="TableBody"/>
              <w:autoSpaceDE w:val="0"/>
              <w:autoSpaceDN w:val="0"/>
              <w:adjustRightInd w:val="0"/>
              <w:jc w:val="right"/>
              <w:rPr>
                <w:rFonts w:cs="Calibri"/>
                <w:sz w:val="15"/>
                <w:szCs w:val="16"/>
              </w:rPr>
            </w:pPr>
            <w:r w:rsidRPr="00A46ADC">
              <w:t>23.1</w:t>
            </w:r>
          </w:p>
        </w:tc>
        <w:tc>
          <w:tcPr>
            <w:tcW w:w="709" w:type="dxa"/>
            <w:noWrap/>
            <w:vAlign w:val="center"/>
            <w:hideMark/>
          </w:tcPr>
          <w:p w14:paraId="2CE9A952" w14:textId="77777777" w:rsidR="00DE4516" w:rsidRPr="00A46ADC" w:rsidRDefault="00DE4516" w:rsidP="00DE4516">
            <w:pPr>
              <w:pStyle w:val="TableBody"/>
              <w:autoSpaceDE w:val="0"/>
              <w:autoSpaceDN w:val="0"/>
              <w:adjustRightInd w:val="0"/>
              <w:jc w:val="right"/>
              <w:rPr>
                <w:rFonts w:cs="Calibri"/>
                <w:sz w:val="15"/>
                <w:szCs w:val="16"/>
              </w:rPr>
            </w:pPr>
            <w:r w:rsidRPr="00A46ADC">
              <w:t>18.4</w:t>
            </w:r>
          </w:p>
        </w:tc>
        <w:tc>
          <w:tcPr>
            <w:tcW w:w="709" w:type="dxa"/>
            <w:noWrap/>
            <w:vAlign w:val="center"/>
            <w:hideMark/>
          </w:tcPr>
          <w:p w14:paraId="1B1176CC" w14:textId="77777777" w:rsidR="00DE4516" w:rsidRPr="00A46ADC" w:rsidRDefault="00DE4516" w:rsidP="00DE4516">
            <w:pPr>
              <w:pStyle w:val="TableBody"/>
              <w:autoSpaceDE w:val="0"/>
              <w:autoSpaceDN w:val="0"/>
              <w:adjustRightInd w:val="0"/>
              <w:jc w:val="right"/>
              <w:rPr>
                <w:rFonts w:cs="Calibri"/>
                <w:sz w:val="15"/>
                <w:szCs w:val="16"/>
              </w:rPr>
            </w:pPr>
            <w:r w:rsidRPr="00A46ADC">
              <w:t>11.9</w:t>
            </w:r>
          </w:p>
        </w:tc>
        <w:tc>
          <w:tcPr>
            <w:tcW w:w="709" w:type="dxa"/>
            <w:noWrap/>
            <w:vAlign w:val="center"/>
            <w:hideMark/>
          </w:tcPr>
          <w:p w14:paraId="080738F2" w14:textId="77777777" w:rsidR="00DE4516" w:rsidRPr="00A46ADC" w:rsidRDefault="00DE4516" w:rsidP="00DE4516">
            <w:pPr>
              <w:pStyle w:val="TableBody"/>
              <w:autoSpaceDE w:val="0"/>
              <w:autoSpaceDN w:val="0"/>
              <w:adjustRightInd w:val="0"/>
              <w:jc w:val="right"/>
              <w:rPr>
                <w:rFonts w:cs="Calibri"/>
                <w:sz w:val="15"/>
                <w:szCs w:val="16"/>
              </w:rPr>
            </w:pPr>
            <w:r w:rsidRPr="00A46ADC">
              <w:t>8.5</w:t>
            </w:r>
          </w:p>
        </w:tc>
        <w:tc>
          <w:tcPr>
            <w:tcW w:w="662" w:type="dxa"/>
            <w:noWrap/>
            <w:hideMark/>
          </w:tcPr>
          <w:p w14:paraId="18203E4F"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22E48174"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1AB56752" w14:textId="77777777" w:rsidR="00DE4516" w:rsidRPr="00A46ADC" w:rsidRDefault="00DE4516" w:rsidP="00DE4516">
            <w:pPr>
              <w:pStyle w:val="TableBody"/>
              <w:autoSpaceDE w:val="0"/>
              <w:autoSpaceDN w:val="0"/>
              <w:adjustRightInd w:val="0"/>
              <w:jc w:val="both"/>
              <w:rPr>
                <w:rFonts w:cs="Calibri"/>
                <w:sz w:val="15"/>
                <w:szCs w:val="16"/>
              </w:rPr>
            </w:pPr>
            <w:r w:rsidRPr="00A46ADC">
              <w:t>Remaining surplus or deficit</w:t>
            </w:r>
          </w:p>
        </w:tc>
        <w:tc>
          <w:tcPr>
            <w:tcW w:w="709" w:type="dxa"/>
            <w:noWrap/>
            <w:vAlign w:val="center"/>
            <w:hideMark/>
          </w:tcPr>
          <w:p w14:paraId="3C497A53" w14:textId="77777777" w:rsidR="00DE4516" w:rsidRPr="00A46ADC" w:rsidRDefault="00DE4516" w:rsidP="00DE4516">
            <w:pPr>
              <w:pStyle w:val="TableBody"/>
              <w:autoSpaceDE w:val="0"/>
              <w:autoSpaceDN w:val="0"/>
              <w:adjustRightInd w:val="0"/>
              <w:jc w:val="right"/>
              <w:rPr>
                <w:rFonts w:cs="Calibri"/>
                <w:sz w:val="15"/>
                <w:szCs w:val="16"/>
              </w:rPr>
            </w:pPr>
            <w:r w:rsidRPr="00A46ADC">
              <w:t>−1.9</w:t>
            </w:r>
          </w:p>
        </w:tc>
        <w:tc>
          <w:tcPr>
            <w:tcW w:w="709" w:type="dxa"/>
            <w:noWrap/>
            <w:vAlign w:val="center"/>
            <w:hideMark/>
          </w:tcPr>
          <w:p w14:paraId="69E68B35" w14:textId="77777777" w:rsidR="00DE4516" w:rsidRPr="00A46ADC" w:rsidRDefault="00DE4516" w:rsidP="00DE4516">
            <w:pPr>
              <w:pStyle w:val="TableBody"/>
              <w:autoSpaceDE w:val="0"/>
              <w:autoSpaceDN w:val="0"/>
              <w:adjustRightInd w:val="0"/>
              <w:jc w:val="right"/>
              <w:rPr>
                <w:rFonts w:cs="Calibri"/>
                <w:sz w:val="15"/>
                <w:szCs w:val="16"/>
              </w:rPr>
            </w:pPr>
            <w:r w:rsidRPr="00A46ADC">
              <w:t>−12.3</w:t>
            </w:r>
          </w:p>
        </w:tc>
        <w:tc>
          <w:tcPr>
            <w:tcW w:w="708" w:type="dxa"/>
            <w:noWrap/>
            <w:vAlign w:val="center"/>
            <w:hideMark/>
          </w:tcPr>
          <w:p w14:paraId="4C774DEA" w14:textId="77777777" w:rsidR="00DE4516" w:rsidRPr="00A46ADC" w:rsidRDefault="00DE4516" w:rsidP="00DE4516">
            <w:pPr>
              <w:pStyle w:val="TableBody"/>
              <w:autoSpaceDE w:val="0"/>
              <w:autoSpaceDN w:val="0"/>
              <w:adjustRightInd w:val="0"/>
              <w:jc w:val="right"/>
              <w:rPr>
                <w:rFonts w:cs="Calibri"/>
                <w:sz w:val="15"/>
                <w:szCs w:val="16"/>
              </w:rPr>
            </w:pPr>
            <w:r w:rsidRPr="00A46ADC">
              <w:t>−3.1</w:t>
            </w:r>
          </w:p>
        </w:tc>
        <w:tc>
          <w:tcPr>
            <w:tcW w:w="709" w:type="dxa"/>
            <w:noWrap/>
            <w:vAlign w:val="center"/>
            <w:hideMark/>
          </w:tcPr>
          <w:p w14:paraId="17F4E5CC" w14:textId="77777777" w:rsidR="00DE4516" w:rsidRPr="00A46ADC" w:rsidRDefault="00DE4516" w:rsidP="00DE4516">
            <w:pPr>
              <w:pStyle w:val="TableBody"/>
              <w:autoSpaceDE w:val="0"/>
              <w:autoSpaceDN w:val="0"/>
              <w:adjustRightInd w:val="0"/>
              <w:jc w:val="right"/>
              <w:rPr>
                <w:rFonts w:cs="Calibri"/>
                <w:sz w:val="15"/>
                <w:szCs w:val="16"/>
              </w:rPr>
            </w:pPr>
            <w:r w:rsidRPr="00A46ADC">
              <w:t>4.5</w:t>
            </w:r>
          </w:p>
        </w:tc>
        <w:tc>
          <w:tcPr>
            <w:tcW w:w="709" w:type="dxa"/>
            <w:noWrap/>
            <w:vAlign w:val="center"/>
            <w:hideMark/>
          </w:tcPr>
          <w:p w14:paraId="29208A25" w14:textId="77777777" w:rsidR="00DE4516" w:rsidRPr="00A46ADC" w:rsidRDefault="00DE4516" w:rsidP="00DE4516">
            <w:pPr>
              <w:pStyle w:val="TableBody"/>
              <w:autoSpaceDE w:val="0"/>
              <w:autoSpaceDN w:val="0"/>
              <w:adjustRightInd w:val="0"/>
              <w:jc w:val="right"/>
              <w:rPr>
                <w:rFonts w:cs="Calibri"/>
                <w:sz w:val="15"/>
                <w:szCs w:val="16"/>
              </w:rPr>
            </w:pPr>
            <w:r w:rsidRPr="00A46ADC">
              <w:t>3.2</w:t>
            </w:r>
          </w:p>
        </w:tc>
        <w:tc>
          <w:tcPr>
            <w:tcW w:w="709" w:type="dxa"/>
            <w:noWrap/>
            <w:vAlign w:val="center"/>
            <w:hideMark/>
          </w:tcPr>
          <w:p w14:paraId="60606869" w14:textId="77777777" w:rsidR="00DE4516" w:rsidRPr="00A46ADC" w:rsidRDefault="00DE4516" w:rsidP="00DE4516">
            <w:pPr>
              <w:pStyle w:val="TableBody"/>
              <w:autoSpaceDE w:val="0"/>
              <w:autoSpaceDN w:val="0"/>
              <w:adjustRightInd w:val="0"/>
              <w:jc w:val="right"/>
              <w:rPr>
                <w:rFonts w:cs="Calibri"/>
                <w:sz w:val="15"/>
                <w:szCs w:val="16"/>
              </w:rPr>
            </w:pPr>
            <w:r w:rsidRPr="00A46ADC">
              <w:t>−0.6</w:t>
            </w:r>
          </w:p>
        </w:tc>
        <w:tc>
          <w:tcPr>
            <w:tcW w:w="662" w:type="dxa"/>
            <w:noWrap/>
            <w:hideMark/>
          </w:tcPr>
          <w:p w14:paraId="6D925C1C"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72DB3FD6" w14:textId="77777777" w:rsidTr="002C718D">
        <w:trPr>
          <w:cantSplit/>
        </w:trPr>
        <w:tc>
          <w:tcPr>
            <w:tcW w:w="4106" w:type="dxa"/>
            <w:noWrap/>
            <w:vAlign w:val="center"/>
            <w:hideMark/>
          </w:tcPr>
          <w:p w14:paraId="33470C8B" w14:textId="77777777" w:rsidR="00DE4516" w:rsidRPr="00A46ADC" w:rsidRDefault="00DE4516" w:rsidP="00DE4516">
            <w:pPr>
              <w:pStyle w:val="TableBody"/>
              <w:autoSpaceDE w:val="0"/>
              <w:autoSpaceDN w:val="0"/>
              <w:adjustRightInd w:val="0"/>
              <w:jc w:val="both"/>
              <w:rPr>
                <w:rFonts w:cs="Calibri"/>
                <w:b/>
                <w:bCs/>
                <w:sz w:val="15"/>
                <w:szCs w:val="16"/>
              </w:rPr>
            </w:pPr>
            <w:r w:rsidRPr="00A46ADC">
              <w:rPr>
                <w:b/>
              </w:rPr>
              <w:t>Public debt</w:t>
            </w:r>
          </w:p>
        </w:tc>
        <w:tc>
          <w:tcPr>
            <w:tcW w:w="709" w:type="dxa"/>
            <w:noWrap/>
            <w:vAlign w:val="center"/>
            <w:hideMark/>
          </w:tcPr>
          <w:p w14:paraId="47B8FC53"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1EB4CF1A" w14:textId="77777777" w:rsidR="00DE4516" w:rsidRPr="00A46ADC" w:rsidRDefault="00DE4516" w:rsidP="00DE4516">
            <w:pPr>
              <w:pStyle w:val="TableBody"/>
              <w:autoSpaceDE w:val="0"/>
              <w:autoSpaceDN w:val="0"/>
              <w:adjustRightInd w:val="0"/>
              <w:jc w:val="right"/>
            </w:pPr>
          </w:p>
        </w:tc>
        <w:tc>
          <w:tcPr>
            <w:tcW w:w="708" w:type="dxa"/>
            <w:noWrap/>
            <w:vAlign w:val="center"/>
            <w:hideMark/>
          </w:tcPr>
          <w:p w14:paraId="1979CED9"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7101095C"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4FD106E8"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2102CF1F" w14:textId="77777777" w:rsidR="00DE4516" w:rsidRPr="00A46ADC" w:rsidRDefault="00DE4516" w:rsidP="00DE4516">
            <w:pPr>
              <w:pStyle w:val="TableBody"/>
              <w:autoSpaceDE w:val="0"/>
              <w:autoSpaceDN w:val="0"/>
              <w:adjustRightInd w:val="0"/>
              <w:jc w:val="right"/>
            </w:pPr>
          </w:p>
        </w:tc>
        <w:tc>
          <w:tcPr>
            <w:tcW w:w="662" w:type="dxa"/>
            <w:noWrap/>
            <w:vAlign w:val="center"/>
            <w:hideMark/>
          </w:tcPr>
          <w:p w14:paraId="03D08DC4" w14:textId="77777777" w:rsidR="00DE4516" w:rsidRPr="00A46ADC" w:rsidRDefault="00DE4516" w:rsidP="00DE4516">
            <w:pPr>
              <w:pStyle w:val="TableBody"/>
              <w:autoSpaceDE w:val="0"/>
              <w:autoSpaceDN w:val="0"/>
              <w:adjustRightInd w:val="0"/>
              <w:jc w:val="right"/>
            </w:pPr>
          </w:p>
        </w:tc>
      </w:tr>
      <w:tr w:rsidR="00DE4516" w:rsidRPr="00045A4A" w14:paraId="1773658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602CF851" w14:textId="77777777" w:rsidR="00DE4516" w:rsidRPr="00A46ADC" w:rsidRDefault="00DE4516" w:rsidP="00DE4516">
            <w:pPr>
              <w:pStyle w:val="TableBody"/>
              <w:autoSpaceDE w:val="0"/>
              <w:autoSpaceDN w:val="0"/>
              <w:adjustRightInd w:val="0"/>
              <w:jc w:val="both"/>
              <w:rPr>
                <w:rFonts w:cs="Calibri"/>
                <w:sz w:val="15"/>
                <w:szCs w:val="16"/>
              </w:rPr>
            </w:pPr>
            <w:r w:rsidRPr="00A46ADC">
              <w:t>Stock of debt (OMR billion)</w:t>
            </w:r>
          </w:p>
        </w:tc>
        <w:tc>
          <w:tcPr>
            <w:tcW w:w="709" w:type="dxa"/>
            <w:vAlign w:val="center"/>
            <w:hideMark/>
          </w:tcPr>
          <w:p w14:paraId="383F13C4" w14:textId="77777777" w:rsidR="00DE4516" w:rsidRPr="00A46ADC" w:rsidRDefault="00DE4516" w:rsidP="00DE4516">
            <w:pPr>
              <w:pStyle w:val="TableBody"/>
              <w:autoSpaceDE w:val="0"/>
              <w:autoSpaceDN w:val="0"/>
              <w:adjustRightInd w:val="0"/>
              <w:jc w:val="right"/>
              <w:rPr>
                <w:rFonts w:cs="Calibri"/>
                <w:sz w:val="15"/>
                <w:szCs w:val="16"/>
              </w:rPr>
            </w:pPr>
            <w:r w:rsidRPr="00A46ADC">
              <w:t>1.5</w:t>
            </w:r>
          </w:p>
        </w:tc>
        <w:tc>
          <w:tcPr>
            <w:tcW w:w="709" w:type="dxa"/>
            <w:vAlign w:val="center"/>
            <w:hideMark/>
          </w:tcPr>
          <w:p w14:paraId="66E625F6" w14:textId="77777777" w:rsidR="00DE4516" w:rsidRPr="00A46ADC" w:rsidRDefault="00DE4516" w:rsidP="00DE4516">
            <w:pPr>
              <w:pStyle w:val="TableBody"/>
              <w:autoSpaceDE w:val="0"/>
              <w:autoSpaceDN w:val="0"/>
              <w:adjustRightInd w:val="0"/>
              <w:jc w:val="right"/>
              <w:rPr>
                <w:rFonts w:cs="Calibri"/>
                <w:sz w:val="15"/>
                <w:szCs w:val="16"/>
              </w:rPr>
            </w:pPr>
            <w:r w:rsidRPr="00A46ADC">
              <w:t>3.4</w:t>
            </w:r>
          </w:p>
        </w:tc>
        <w:tc>
          <w:tcPr>
            <w:tcW w:w="708" w:type="dxa"/>
            <w:vAlign w:val="center"/>
            <w:hideMark/>
          </w:tcPr>
          <w:p w14:paraId="264B2D74" w14:textId="77777777" w:rsidR="00DE4516" w:rsidRPr="00A46ADC" w:rsidRDefault="00DE4516" w:rsidP="00DE4516">
            <w:pPr>
              <w:pStyle w:val="TableBody"/>
              <w:autoSpaceDE w:val="0"/>
              <w:autoSpaceDN w:val="0"/>
              <w:adjustRightInd w:val="0"/>
              <w:jc w:val="right"/>
              <w:rPr>
                <w:rFonts w:cs="Calibri"/>
                <w:sz w:val="15"/>
                <w:szCs w:val="16"/>
              </w:rPr>
            </w:pPr>
            <w:r w:rsidRPr="00A46ADC">
              <w:t>8.0</w:t>
            </w:r>
          </w:p>
        </w:tc>
        <w:tc>
          <w:tcPr>
            <w:tcW w:w="709" w:type="dxa"/>
            <w:vAlign w:val="center"/>
            <w:hideMark/>
          </w:tcPr>
          <w:p w14:paraId="2D1B81E0" w14:textId="77777777" w:rsidR="00DE4516" w:rsidRPr="00A46ADC" w:rsidRDefault="00DE4516" w:rsidP="00DE4516">
            <w:pPr>
              <w:pStyle w:val="TableBody"/>
              <w:autoSpaceDE w:val="0"/>
              <w:autoSpaceDN w:val="0"/>
              <w:adjustRightInd w:val="0"/>
              <w:jc w:val="right"/>
              <w:rPr>
                <w:rFonts w:cs="Calibri"/>
                <w:sz w:val="15"/>
                <w:szCs w:val="16"/>
              </w:rPr>
            </w:pPr>
            <w:r w:rsidRPr="00A46ADC">
              <w:t>11.2</w:t>
            </w:r>
          </w:p>
        </w:tc>
        <w:tc>
          <w:tcPr>
            <w:tcW w:w="709" w:type="dxa"/>
            <w:vAlign w:val="center"/>
            <w:hideMark/>
          </w:tcPr>
          <w:p w14:paraId="135233D6" w14:textId="77777777" w:rsidR="00DE4516" w:rsidRPr="00A46ADC" w:rsidRDefault="00DE4516" w:rsidP="00DE4516">
            <w:pPr>
              <w:pStyle w:val="TableBody"/>
              <w:autoSpaceDE w:val="0"/>
              <w:autoSpaceDN w:val="0"/>
              <w:adjustRightInd w:val="0"/>
              <w:jc w:val="right"/>
              <w:rPr>
                <w:rFonts w:cs="Calibri"/>
                <w:sz w:val="15"/>
                <w:szCs w:val="16"/>
              </w:rPr>
            </w:pPr>
            <w:r w:rsidRPr="00A46ADC">
              <w:t>14.5</w:t>
            </w:r>
          </w:p>
        </w:tc>
        <w:tc>
          <w:tcPr>
            <w:tcW w:w="709" w:type="dxa"/>
            <w:vAlign w:val="center"/>
            <w:hideMark/>
          </w:tcPr>
          <w:p w14:paraId="539B5AD4" w14:textId="77777777" w:rsidR="00DE4516" w:rsidRPr="00A46ADC" w:rsidRDefault="00DE4516" w:rsidP="00DE4516">
            <w:pPr>
              <w:pStyle w:val="TableBody"/>
              <w:autoSpaceDE w:val="0"/>
              <w:autoSpaceDN w:val="0"/>
              <w:adjustRightInd w:val="0"/>
              <w:jc w:val="right"/>
              <w:rPr>
                <w:rFonts w:cs="Calibri"/>
                <w:sz w:val="15"/>
                <w:szCs w:val="16"/>
              </w:rPr>
            </w:pPr>
            <w:r w:rsidRPr="00A46ADC">
              <w:t>16.4</w:t>
            </w:r>
          </w:p>
        </w:tc>
        <w:tc>
          <w:tcPr>
            <w:tcW w:w="662" w:type="dxa"/>
            <w:noWrap/>
            <w:vAlign w:val="center"/>
            <w:hideMark/>
          </w:tcPr>
          <w:p w14:paraId="09F858CD"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75D38096" w14:textId="77777777" w:rsidTr="002C718D">
        <w:trPr>
          <w:cantSplit/>
        </w:trPr>
        <w:tc>
          <w:tcPr>
            <w:tcW w:w="4106" w:type="dxa"/>
            <w:noWrap/>
            <w:vAlign w:val="center"/>
            <w:hideMark/>
          </w:tcPr>
          <w:p w14:paraId="410A903C" w14:textId="77777777" w:rsidR="00DE4516" w:rsidRPr="00A46ADC" w:rsidRDefault="00DE4516" w:rsidP="00DE4516">
            <w:pPr>
              <w:pStyle w:val="TableBody"/>
              <w:autoSpaceDE w:val="0"/>
              <w:autoSpaceDN w:val="0"/>
              <w:adjustRightInd w:val="0"/>
              <w:jc w:val="both"/>
              <w:rPr>
                <w:rFonts w:cs="Calibri"/>
                <w:sz w:val="15"/>
                <w:szCs w:val="16"/>
              </w:rPr>
            </w:pPr>
            <w:r w:rsidRPr="00A46ADC">
              <w:t>General government gross debt</w:t>
            </w:r>
          </w:p>
        </w:tc>
        <w:tc>
          <w:tcPr>
            <w:tcW w:w="709" w:type="dxa"/>
            <w:vAlign w:val="center"/>
            <w:hideMark/>
          </w:tcPr>
          <w:p w14:paraId="4D4C1D5F" w14:textId="77777777" w:rsidR="00DE4516" w:rsidRPr="00A46ADC" w:rsidRDefault="00DE4516" w:rsidP="00DE4516">
            <w:pPr>
              <w:pStyle w:val="TableBody"/>
              <w:autoSpaceDE w:val="0"/>
              <w:autoSpaceDN w:val="0"/>
              <w:adjustRightInd w:val="0"/>
              <w:jc w:val="right"/>
              <w:rPr>
                <w:rFonts w:cs="Calibri"/>
                <w:sz w:val="15"/>
                <w:szCs w:val="16"/>
              </w:rPr>
            </w:pPr>
            <w:r w:rsidRPr="00A46ADC">
              <w:t>5.4</w:t>
            </w:r>
          </w:p>
        </w:tc>
        <w:tc>
          <w:tcPr>
            <w:tcW w:w="709" w:type="dxa"/>
            <w:vAlign w:val="center"/>
            <w:hideMark/>
          </w:tcPr>
          <w:p w14:paraId="7C0F9B9A" w14:textId="77777777" w:rsidR="00DE4516" w:rsidRPr="00A46ADC" w:rsidRDefault="00DE4516" w:rsidP="00DE4516">
            <w:pPr>
              <w:pStyle w:val="TableBody"/>
              <w:autoSpaceDE w:val="0"/>
              <w:autoSpaceDN w:val="0"/>
              <w:adjustRightInd w:val="0"/>
              <w:jc w:val="right"/>
              <w:rPr>
                <w:rFonts w:cs="Calibri"/>
                <w:sz w:val="15"/>
                <w:szCs w:val="16"/>
              </w:rPr>
            </w:pPr>
            <w:r w:rsidRPr="00A46ADC">
              <w:t>15.5</w:t>
            </w:r>
          </w:p>
        </w:tc>
        <w:tc>
          <w:tcPr>
            <w:tcW w:w="708" w:type="dxa"/>
            <w:vAlign w:val="center"/>
            <w:hideMark/>
          </w:tcPr>
          <w:p w14:paraId="7DD157D4" w14:textId="77777777" w:rsidR="00DE4516" w:rsidRPr="00A46ADC" w:rsidRDefault="00DE4516" w:rsidP="00DE4516">
            <w:pPr>
              <w:pStyle w:val="TableBody"/>
              <w:autoSpaceDE w:val="0"/>
              <w:autoSpaceDN w:val="0"/>
              <w:adjustRightInd w:val="0"/>
              <w:jc w:val="right"/>
              <w:rPr>
                <w:rFonts w:cs="Calibri"/>
                <w:sz w:val="15"/>
                <w:szCs w:val="16"/>
              </w:rPr>
            </w:pPr>
            <w:r w:rsidRPr="00A46ADC">
              <w:t>30.3</w:t>
            </w:r>
          </w:p>
        </w:tc>
        <w:tc>
          <w:tcPr>
            <w:tcW w:w="709" w:type="dxa"/>
            <w:vAlign w:val="center"/>
            <w:hideMark/>
          </w:tcPr>
          <w:p w14:paraId="63236E01" w14:textId="77777777" w:rsidR="00DE4516" w:rsidRPr="00A46ADC" w:rsidRDefault="00DE4516" w:rsidP="00DE4516">
            <w:pPr>
              <w:pStyle w:val="TableBody"/>
              <w:autoSpaceDE w:val="0"/>
              <w:autoSpaceDN w:val="0"/>
              <w:adjustRightInd w:val="0"/>
              <w:jc w:val="right"/>
              <w:rPr>
                <w:rFonts w:cs="Calibri"/>
                <w:sz w:val="15"/>
                <w:szCs w:val="16"/>
              </w:rPr>
            </w:pPr>
            <w:r w:rsidRPr="00A46ADC">
              <w:t>44.8</w:t>
            </w:r>
          </w:p>
        </w:tc>
        <w:tc>
          <w:tcPr>
            <w:tcW w:w="709" w:type="dxa"/>
            <w:vAlign w:val="center"/>
            <w:hideMark/>
          </w:tcPr>
          <w:p w14:paraId="613FFE4B" w14:textId="77777777" w:rsidR="00DE4516" w:rsidRPr="00A46ADC" w:rsidRDefault="00DE4516" w:rsidP="00DE4516">
            <w:pPr>
              <w:pStyle w:val="TableBody"/>
              <w:autoSpaceDE w:val="0"/>
              <w:autoSpaceDN w:val="0"/>
              <w:adjustRightInd w:val="0"/>
              <w:jc w:val="right"/>
              <w:rPr>
                <w:rFonts w:cs="Calibri"/>
                <w:sz w:val="15"/>
                <w:szCs w:val="16"/>
              </w:rPr>
            </w:pPr>
            <w:r w:rsidRPr="00A46ADC">
              <w:t>51.4</w:t>
            </w:r>
          </w:p>
        </w:tc>
        <w:tc>
          <w:tcPr>
            <w:tcW w:w="709" w:type="dxa"/>
            <w:vAlign w:val="center"/>
            <w:hideMark/>
          </w:tcPr>
          <w:p w14:paraId="6F0B6C98" w14:textId="77777777" w:rsidR="00DE4516" w:rsidRPr="00A46ADC" w:rsidRDefault="00DE4516" w:rsidP="00DE4516">
            <w:pPr>
              <w:pStyle w:val="TableBody"/>
              <w:autoSpaceDE w:val="0"/>
              <w:autoSpaceDN w:val="0"/>
              <w:adjustRightInd w:val="0"/>
              <w:jc w:val="right"/>
              <w:rPr>
                <w:rFonts w:cs="Calibri"/>
                <w:sz w:val="15"/>
                <w:szCs w:val="16"/>
              </w:rPr>
            </w:pPr>
            <w:r w:rsidRPr="00A46ADC">
              <w:t>60.0</w:t>
            </w:r>
          </w:p>
        </w:tc>
        <w:tc>
          <w:tcPr>
            <w:tcW w:w="662" w:type="dxa"/>
            <w:noWrap/>
            <w:vAlign w:val="center"/>
            <w:hideMark/>
          </w:tcPr>
          <w:p w14:paraId="2451EBE5" w14:textId="77777777" w:rsidR="00DE4516" w:rsidRPr="00A46ADC" w:rsidRDefault="00DE4516" w:rsidP="00DE4516">
            <w:pPr>
              <w:pStyle w:val="TableBody"/>
              <w:autoSpaceDE w:val="0"/>
              <w:autoSpaceDN w:val="0"/>
              <w:adjustRightInd w:val="0"/>
              <w:jc w:val="right"/>
              <w:rPr>
                <w:rFonts w:cs="Calibri"/>
                <w:sz w:val="15"/>
                <w:szCs w:val="16"/>
              </w:rPr>
            </w:pPr>
            <w:r w:rsidRPr="00A46ADC">
              <w:t>81.1</w:t>
            </w:r>
          </w:p>
        </w:tc>
      </w:tr>
      <w:tr w:rsidR="00DE4516" w:rsidRPr="00045A4A" w14:paraId="709A265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4DF8F6DF"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Debt to GDP ratio (%)</w:t>
            </w:r>
          </w:p>
        </w:tc>
        <w:tc>
          <w:tcPr>
            <w:tcW w:w="709" w:type="dxa"/>
            <w:vAlign w:val="center"/>
            <w:hideMark/>
          </w:tcPr>
          <w:p w14:paraId="6323B6EE" w14:textId="77777777" w:rsidR="00DE4516" w:rsidRPr="00A46ADC" w:rsidRDefault="00DE4516" w:rsidP="00DE4516">
            <w:pPr>
              <w:pStyle w:val="TableBody"/>
              <w:autoSpaceDE w:val="0"/>
              <w:autoSpaceDN w:val="0"/>
              <w:adjustRightInd w:val="0"/>
              <w:jc w:val="right"/>
              <w:rPr>
                <w:rFonts w:cs="Calibri"/>
                <w:sz w:val="15"/>
                <w:szCs w:val="16"/>
              </w:rPr>
            </w:pPr>
            <w:r w:rsidRPr="00A46ADC">
              <w:t>4.9</w:t>
            </w:r>
          </w:p>
        </w:tc>
        <w:tc>
          <w:tcPr>
            <w:tcW w:w="709" w:type="dxa"/>
            <w:vAlign w:val="center"/>
            <w:hideMark/>
          </w:tcPr>
          <w:p w14:paraId="6C2DB435" w14:textId="77777777" w:rsidR="00DE4516" w:rsidRPr="00A46ADC" w:rsidRDefault="00DE4516" w:rsidP="00DE4516">
            <w:pPr>
              <w:pStyle w:val="TableBody"/>
              <w:autoSpaceDE w:val="0"/>
              <w:autoSpaceDN w:val="0"/>
              <w:adjustRightInd w:val="0"/>
              <w:jc w:val="right"/>
              <w:rPr>
                <w:rFonts w:cs="Calibri"/>
                <w:sz w:val="15"/>
                <w:szCs w:val="16"/>
              </w:rPr>
            </w:pPr>
            <w:r w:rsidRPr="00A46ADC">
              <w:t>13.1</w:t>
            </w:r>
          </w:p>
        </w:tc>
        <w:tc>
          <w:tcPr>
            <w:tcW w:w="708" w:type="dxa"/>
            <w:vAlign w:val="center"/>
            <w:hideMark/>
          </w:tcPr>
          <w:p w14:paraId="306736BD" w14:textId="77777777" w:rsidR="00DE4516" w:rsidRPr="00A46ADC" w:rsidRDefault="00DE4516" w:rsidP="00DE4516">
            <w:pPr>
              <w:pStyle w:val="TableBody"/>
              <w:autoSpaceDE w:val="0"/>
              <w:autoSpaceDN w:val="0"/>
              <w:adjustRightInd w:val="0"/>
              <w:jc w:val="right"/>
              <w:rPr>
                <w:rFonts w:cs="Calibri"/>
                <w:sz w:val="15"/>
                <w:szCs w:val="16"/>
              </w:rPr>
            </w:pPr>
            <w:r w:rsidRPr="00A46ADC">
              <w:t>31.7</w:t>
            </w:r>
          </w:p>
        </w:tc>
        <w:tc>
          <w:tcPr>
            <w:tcW w:w="709" w:type="dxa"/>
            <w:vAlign w:val="center"/>
            <w:hideMark/>
          </w:tcPr>
          <w:p w14:paraId="02ABB047" w14:textId="77777777" w:rsidR="00DE4516" w:rsidRPr="00A46ADC" w:rsidRDefault="00DE4516" w:rsidP="00DE4516">
            <w:pPr>
              <w:pStyle w:val="TableBody"/>
              <w:autoSpaceDE w:val="0"/>
              <w:autoSpaceDN w:val="0"/>
              <w:adjustRightInd w:val="0"/>
              <w:jc w:val="right"/>
              <w:rPr>
                <w:rFonts w:cs="Calibri"/>
                <w:sz w:val="15"/>
                <w:szCs w:val="16"/>
              </w:rPr>
            </w:pPr>
            <w:r w:rsidRPr="00A46ADC">
              <w:t>41.1</w:t>
            </w:r>
          </w:p>
        </w:tc>
        <w:tc>
          <w:tcPr>
            <w:tcW w:w="709" w:type="dxa"/>
            <w:vAlign w:val="center"/>
            <w:hideMark/>
          </w:tcPr>
          <w:p w14:paraId="0F964F70" w14:textId="77777777" w:rsidR="00DE4516" w:rsidRPr="00A46ADC" w:rsidRDefault="00DE4516" w:rsidP="00DE4516">
            <w:pPr>
              <w:pStyle w:val="TableBody"/>
              <w:autoSpaceDE w:val="0"/>
              <w:autoSpaceDN w:val="0"/>
              <w:adjustRightInd w:val="0"/>
              <w:jc w:val="right"/>
              <w:rPr>
                <w:rFonts w:cs="Calibri"/>
                <w:sz w:val="15"/>
                <w:szCs w:val="16"/>
              </w:rPr>
            </w:pPr>
            <w:r w:rsidRPr="00A46ADC">
              <w:t>47.5</w:t>
            </w:r>
          </w:p>
        </w:tc>
        <w:tc>
          <w:tcPr>
            <w:tcW w:w="709" w:type="dxa"/>
            <w:vAlign w:val="center"/>
            <w:hideMark/>
          </w:tcPr>
          <w:p w14:paraId="147245A6" w14:textId="77777777" w:rsidR="00DE4516" w:rsidRPr="00A46ADC" w:rsidRDefault="00DE4516" w:rsidP="00DE4516">
            <w:pPr>
              <w:pStyle w:val="TableBody"/>
              <w:autoSpaceDE w:val="0"/>
              <w:autoSpaceDN w:val="0"/>
              <w:adjustRightInd w:val="0"/>
              <w:jc w:val="right"/>
              <w:rPr>
                <w:rFonts w:cs="Calibri"/>
                <w:sz w:val="15"/>
                <w:szCs w:val="16"/>
              </w:rPr>
            </w:pPr>
            <w:r w:rsidRPr="00A46ADC">
              <w:t>55.9</w:t>
            </w:r>
          </w:p>
        </w:tc>
        <w:tc>
          <w:tcPr>
            <w:tcW w:w="662" w:type="dxa"/>
            <w:noWrap/>
            <w:hideMark/>
          </w:tcPr>
          <w:p w14:paraId="7EE6A022"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7306D768" w14:textId="77777777" w:rsidTr="002C718D">
        <w:trPr>
          <w:cantSplit/>
        </w:trPr>
        <w:tc>
          <w:tcPr>
            <w:tcW w:w="4106" w:type="dxa"/>
            <w:vAlign w:val="center"/>
            <w:hideMark/>
          </w:tcPr>
          <w:p w14:paraId="64BDF0AF"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Debt services ratio (%)</w:t>
            </w:r>
          </w:p>
        </w:tc>
        <w:tc>
          <w:tcPr>
            <w:tcW w:w="709" w:type="dxa"/>
            <w:vAlign w:val="center"/>
            <w:hideMark/>
          </w:tcPr>
          <w:p w14:paraId="65C74702" w14:textId="77777777" w:rsidR="00DE4516" w:rsidRPr="00A46ADC" w:rsidRDefault="00DE4516" w:rsidP="00DE4516">
            <w:pPr>
              <w:pStyle w:val="TableBody"/>
              <w:autoSpaceDE w:val="0"/>
              <w:autoSpaceDN w:val="0"/>
              <w:adjustRightInd w:val="0"/>
              <w:jc w:val="right"/>
              <w:rPr>
                <w:rFonts w:cs="Calibri"/>
                <w:sz w:val="15"/>
                <w:szCs w:val="16"/>
              </w:rPr>
            </w:pPr>
            <w:r w:rsidRPr="00A46ADC">
              <w:t>0.5</w:t>
            </w:r>
          </w:p>
        </w:tc>
        <w:tc>
          <w:tcPr>
            <w:tcW w:w="709" w:type="dxa"/>
            <w:vAlign w:val="center"/>
            <w:hideMark/>
          </w:tcPr>
          <w:p w14:paraId="28FC04F9" w14:textId="77777777" w:rsidR="00DE4516" w:rsidRPr="00A46ADC" w:rsidRDefault="00DE4516" w:rsidP="00DE4516">
            <w:pPr>
              <w:pStyle w:val="TableBody"/>
              <w:autoSpaceDE w:val="0"/>
              <w:autoSpaceDN w:val="0"/>
              <w:adjustRightInd w:val="0"/>
              <w:jc w:val="right"/>
              <w:rPr>
                <w:rFonts w:cs="Calibri"/>
                <w:sz w:val="15"/>
                <w:szCs w:val="16"/>
              </w:rPr>
            </w:pPr>
            <w:r w:rsidRPr="00A46ADC">
              <w:t>0.7</w:t>
            </w:r>
          </w:p>
        </w:tc>
        <w:tc>
          <w:tcPr>
            <w:tcW w:w="708" w:type="dxa"/>
            <w:vAlign w:val="center"/>
            <w:hideMark/>
          </w:tcPr>
          <w:p w14:paraId="675797DA" w14:textId="77777777" w:rsidR="00DE4516" w:rsidRPr="00A46ADC" w:rsidRDefault="00DE4516" w:rsidP="00DE4516">
            <w:pPr>
              <w:pStyle w:val="TableBody"/>
              <w:autoSpaceDE w:val="0"/>
              <w:autoSpaceDN w:val="0"/>
              <w:adjustRightInd w:val="0"/>
              <w:jc w:val="right"/>
              <w:rPr>
                <w:rFonts w:cs="Calibri"/>
                <w:sz w:val="15"/>
                <w:szCs w:val="16"/>
              </w:rPr>
            </w:pPr>
            <w:r w:rsidRPr="00A46ADC">
              <w:t>1.2</w:t>
            </w:r>
          </w:p>
        </w:tc>
        <w:tc>
          <w:tcPr>
            <w:tcW w:w="709" w:type="dxa"/>
            <w:vAlign w:val="center"/>
            <w:hideMark/>
          </w:tcPr>
          <w:p w14:paraId="26696668" w14:textId="77777777" w:rsidR="00DE4516" w:rsidRPr="00A46ADC" w:rsidRDefault="00DE4516" w:rsidP="00DE4516">
            <w:pPr>
              <w:pStyle w:val="TableBody"/>
              <w:autoSpaceDE w:val="0"/>
              <w:autoSpaceDN w:val="0"/>
              <w:adjustRightInd w:val="0"/>
              <w:jc w:val="right"/>
              <w:rPr>
                <w:rFonts w:cs="Calibri"/>
                <w:sz w:val="15"/>
                <w:szCs w:val="16"/>
              </w:rPr>
            </w:pPr>
            <w:r w:rsidRPr="00A46ADC">
              <w:t>1.7</w:t>
            </w:r>
          </w:p>
        </w:tc>
        <w:tc>
          <w:tcPr>
            <w:tcW w:w="709" w:type="dxa"/>
            <w:vAlign w:val="center"/>
            <w:hideMark/>
          </w:tcPr>
          <w:p w14:paraId="348A5FF3" w14:textId="77777777" w:rsidR="00DE4516" w:rsidRPr="00A46ADC" w:rsidRDefault="00DE4516" w:rsidP="00DE4516">
            <w:pPr>
              <w:pStyle w:val="TableBody"/>
              <w:autoSpaceDE w:val="0"/>
              <w:autoSpaceDN w:val="0"/>
              <w:adjustRightInd w:val="0"/>
              <w:jc w:val="right"/>
              <w:rPr>
                <w:rFonts w:cs="Calibri"/>
                <w:sz w:val="15"/>
                <w:szCs w:val="16"/>
              </w:rPr>
            </w:pPr>
            <w:r w:rsidRPr="00A46ADC">
              <w:t>3.9</w:t>
            </w:r>
          </w:p>
        </w:tc>
        <w:tc>
          <w:tcPr>
            <w:tcW w:w="709" w:type="dxa"/>
            <w:vAlign w:val="center"/>
            <w:hideMark/>
          </w:tcPr>
          <w:p w14:paraId="3B8FC1A6" w14:textId="77777777" w:rsidR="00DE4516" w:rsidRPr="00A46ADC" w:rsidRDefault="00DE4516" w:rsidP="00DE4516">
            <w:pPr>
              <w:pStyle w:val="TableBody"/>
              <w:autoSpaceDE w:val="0"/>
              <w:autoSpaceDN w:val="0"/>
              <w:adjustRightInd w:val="0"/>
              <w:jc w:val="right"/>
              <w:rPr>
                <w:rFonts w:cs="Calibri"/>
                <w:sz w:val="15"/>
                <w:szCs w:val="16"/>
              </w:rPr>
            </w:pPr>
            <w:r w:rsidRPr="00A46ADC">
              <w:t>4.1</w:t>
            </w:r>
          </w:p>
        </w:tc>
        <w:tc>
          <w:tcPr>
            <w:tcW w:w="662" w:type="dxa"/>
            <w:noWrap/>
            <w:hideMark/>
          </w:tcPr>
          <w:p w14:paraId="1504C504" w14:textId="77777777" w:rsidR="00DE4516" w:rsidRPr="00A46ADC" w:rsidRDefault="00DE4516" w:rsidP="00DE4516">
            <w:pPr>
              <w:pStyle w:val="TableBody"/>
              <w:autoSpaceDE w:val="0"/>
              <w:autoSpaceDN w:val="0"/>
              <w:adjustRightInd w:val="0"/>
              <w:jc w:val="right"/>
              <w:rPr>
                <w:rFonts w:cs="Calibri"/>
                <w:sz w:val="15"/>
                <w:szCs w:val="16"/>
              </w:rPr>
            </w:pPr>
            <w:r w:rsidRPr="00A46ADC">
              <w:t>..</w:t>
            </w:r>
          </w:p>
        </w:tc>
      </w:tr>
      <w:tr w:rsidR="00DE4516" w:rsidRPr="00045A4A" w14:paraId="18C0176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noWrap/>
            <w:vAlign w:val="center"/>
            <w:hideMark/>
          </w:tcPr>
          <w:p w14:paraId="6882B062" w14:textId="77777777" w:rsidR="00DE4516" w:rsidRPr="00A46ADC" w:rsidRDefault="00DE4516" w:rsidP="00DE4516">
            <w:pPr>
              <w:pStyle w:val="TableBody"/>
              <w:autoSpaceDE w:val="0"/>
              <w:autoSpaceDN w:val="0"/>
              <w:adjustRightInd w:val="0"/>
              <w:jc w:val="both"/>
              <w:rPr>
                <w:rFonts w:cs="Calibri"/>
                <w:b/>
                <w:bCs/>
                <w:sz w:val="15"/>
                <w:szCs w:val="16"/>
              </w:rPr>
            </w:pPr>
            <w:r w:rsidRPr="00A46ADC">
              <w:rPr>
                <w:b/>
              </w:rPr>
              <w:t>Money and interest rates</w:t>
            </w:r>
          </w:p>
        </w:tc>
        <w:tc>
          <w:tcPr>
            <w:tcW w:w="709" w:type="dxa"/>
            <w:vAlign w:val="center"/>
            <w:hideMark/>
          </w:tcPr>
          <w:p w14:paraId="78B58653" w14:textId="77777777" w:rsidR="00DE4516" w:rsidRPr="00A46ADC" w:rsidRDefault="00DE4516" w:rsidP="00DE4516">
            <w:pPr>
              <w:pStyle w:val="TableBody"/>
              <w:autoSpaceDE w:val="0"/>
              <w:autoSpaceDN w:val="0"/>
              <w:adjustRightInd w:val="0"/>
              <w:jc w:val="right"/>
            </w:pPr>
          </w:p>
        </w:tc>
        <w:tc>
          <w:tcPr>
            <w:tcW w:w="709" w:type="dxa"/>
            <w:vAlign w:val="center"/>
            <w:hideMark/>
          </w:tcPr>
          <w:p w14:paraId="66EF1F7A" w14:textId="77777777" w:rsidR="00DE4516" w:rsidRPr="00A46ADC" w:rsidRDefault="00DE4516" w:rsidP="00DE4516">
            <w:pPr>
              <w:pStyle w:val="TableBody"/>
              <w:autoSpaceDE w:val="0"/>
              <w:autoSpaceDN w:val="0"/>
              <w:adjustRightInd w:val="0"/>
              <w:jc w:val="right"/>
            </w:pPr>
          </w:p>
        </w:tc>
        <w:tc>
          <w:tcPr>
            <w:tcW w:w="708" w:type="dxa"/>
            <w:vAlign w:val="center"/>
            <w:hideMark/>
          </w:tcPr>
          <w:p w14:paraId="7E9778F0" w14:textId="77777777" w:rsidR="00DE4516" w:rsidRPr="00A46ADC" w:rsidRDefault="00DE4516" w:rsidP="00DE4516">
            <w:pPr>
              <w:pStyle w:val="TableBody"/>
              <w:autoSpaceDE w:val="0"/>
              <w:autoSpaceDN w:val="0"/>
              <w:adjustRightInd w:val="0"/>
              <w:jc w:val="right"/>
            </w:pPr>
          </w:p>
        </w:tc>
        <w:tc>
          <w:tcPr>
            <w:tcW w:w="709" w:type="dxa"/>
            <w:vAlign w:val="center"/>
            <w:hideMark/>
          </w:tcPr>
          <w:p w14:paraId="1407856D" w14:textId="77777777" w:rsidR="00DE4516" w:rsidRPr="00A46ADC" w:rsidRDefault="00DE4516" w:rsidP="00DE4516">
            <w:pPr>
              <w:pStyle w:val="TableBody"/>
              <w:autoSpaceDE w:val="0"/>
              <w:autoSpaceDN w:val="0"/>
              <w:adjustRightInd w:val="0"/>
              <w:jc w:val="right"/>
            </w:pPr>
          </w:p>
        </w:tc>
        <w:tc>
          <w:tcPr>
            <w:tcW w:w="709" w:type="dxa"/>
            <w:vAlign w:val="center"/>
            <w:hideMark/>
          </w:tcPr>
          <w:p w14:paraId="7F967259" w14:textId="77777777" w:rsidR="00DE4516" w:rsidRPr="00A46ADC" w:rsidRDefault="00DE4516" w:rsidP="00DE4516">
            <w:pPr>
              <w:pStyle w:val="TableBody"/>
              <w:autoSpaceDE w:val="0"/>
              <w:autoSpaceDN w:val="0"/>
              <w:adjustRightInd w:val="0"/>
              <w:jc w:val="right"/>
            </w:pPr>
          </w:p>
        </w:tc>
        <w:tc>
          <w:tcPr>
            <w:tcW w:w="709" w:type="dxa"/>
            <w:vAlign w:val="center"/>
            <w:hideMark/>
          </w:tcPr>
          <w:p w14:paraId="49ADB2AC" w14:textId="77777777" w:rsidR="00DE4516" w:rsidRPr="00A46ADC" w:rsidRDefault="00DE4516" w:rsidP="00DE4516">
            <w:pPr>
              <w:pStyle w:val="TableBody"/>
              <w:autoSpaceDE w:val="0"/>
              <w:autoSpaceDN w:val="0"/>
              <w:adjustRightInd w:val="0"/>
              <w:jc w:val="right"/>
            </w:pPr>
          </w:p>
        </w:tc>
        <w:tc>
          <w:tcPr>
            <w:tcW w:w="662" w:type="dxa"/>
            <w:vAlign w:val="center"/>
            <w:hideMark/>
          </w:tcPr>
          <w:p w14:paraId="27AC5185" w14:textId="77777777" w:rsidR="00DE4516" w:rsidRPr="00A46ADC" w:rsidRDefault="00DE4516" w:rsidP="00DE4516">
            <w:pPr>
              <w:pStyle w:val="TableBody"/>
              <w:autoSpaceDE w:val="0"/>
              <w:autoSpaceDN w:val="0"/>
              <w:adjustRightInd w:val="0"/>
              <w:jc w:val="right"/>
            </w:pPr>
          </w:p>
        </w:tc>
      </w:tr>
      <w:tr w:rsidR="00DE4516" w:rsidRPr="00045A4A" w14:paraId="5663F078" w14:textId="77777777" w:rsidTr="002C718D">
        <w:trPr>
          <w:cantSplit/>
        </w:trPr>
        <w:tc>
          <w:tcPr>
            <w:tcW w:w="4106" w:type="dxa"/>
            <w:vAlign w:val="center"/>
            <w:hideMark/>
          </w:tcPr>
          <w:p w14:paraId="1C4EE48C" w14:textId="77777777" w:rsidR="00DE4516" w:rsidRPr="00A46ADC" w:rsidRDefault="00DE4516" w:rsidP="00DE4516">
            <w:pPr>
              <w:pStyle w:val="TableBody"/>
              <w:autoSpaceDE w:val="0"/>
              <w:autoSpaceDN w:val="0"/>
              <w:adjustRightInd w:val="0"/>
              <w:jc w:val="both"/>
              <w:rPr>
                <w:rFonts w:cs="Calibri"/>
                <w:sz w:val="15"/>
                <w:szCs w:val="16"/>
              </w:rPr>
            </w:pPr>
            <w:r w:rsidRPr="00A46ADC">
              <w:t>Broad money (annual percentage change)</w:t>
            </w:r>
          </w:p>
        </w:tc>
        <w:tc>
          <w:tcPr>
            <w:tcW w:w="709" w:type="dxa"/>
            <w:noWrap/>
            <w:vAlign w:val="center"/>
            <w:hideMark/>
          </w:tcPr>
          <w:p w14:paraId="19A29AB1" w14:textId="77777777" w:rsidR="00DE4516" w:rsidRPr="00A46ADC" w:rsidRDefault="00DE4516" w:rsidP="00DE4516">
            <w:pPr>
              <w:pStyle w:val="TableBody"/>
              <w:autoSpaceDE w:val="0"/>
              <w:autoSpaceDN w:val="0"/>
              <w:adjustRightInd w:val="0"/>
              <w:jc w:val="right"/>
              <w:rPr>
                <w:rFonts w:cs="Calibri"/>
                <w:sz w:val="15"/>
                <w:szCs w:val="16"/>
              </w:rPr>
            </w:pPr>
            <w:r w:rsidRPr="00A46ADC">
              <w:t>15.3</w:t>
            </w:r>
          </w:p>
        </w:tc>
        <w:tc>
          <w:tcPr>
            <w:tcW w:w="709" w:type="dxa"/>
            <w:noWrap/>
            <w:vAlign w:val="center"/>
            <w:hideMark/>
          </w:tcPr>
          <w:p w14:paraId="0E1524E3" w14:textId="77777777" w:rsidR="00DE4516" w:rsidRPr="00A46ADC" w:rsidRDefault="00DE4516" w:rsidP="00DE4516">
            <w:pPr>
              <w:pStyle w:val="TableBody"/>
              <w:autoSpaceDE w:val="0"/>
              <w:autoSpaceDN w:val="0"/>
              <w:adjustRightInd w:val="0"/>
              <w:jc w:val="right"/>
              <w:rPr>
                <w:rFonts w:cs="Calibri"/>
                <w:sz w:val="15"/>
                <w:szCs w:val="16"/>
              </w:rPr>
            </w:pPr>
            <w:r w:rsidRPr="00A46ADC">
              <w:t>10.0</w:t>
            </w:r>
          </w:p>
        </w:tc>
        <w:tc>
          <w:tcPr>
            <w:tcW w:w="708" w:type="dxa"/>
            <w:noWrap/>
            <w:vAlign w:val="center"/>
            <w:hideMark/>
          </w:tcPr>
          <w:p w14:paraId="5C34CEDD" w14:textId="77777777" w:rsidR="00DE4516" w:rsidRPr="00A46ADC" w:rsidRDefault="00DE4516" w:rsidP="00DE4516">
            <w:pPr>
              <w:pStyle w:val="TableBody"/>
              <w:autoSpaceDE w:val="0"/>
              <w:autoSpaceDN w:val="0"/>
              <w:adjustRightInd w:val="0"/>
              <w:jc w:val="right"/>
              <w:rPr>
                <w:rFonts w:cs="Calibri"/>
                <w:sz w:val="15"/>
                <w:szCs w:val="16"/>
              </w:rPr>
            </w:pPr>
            <w:r w:rsidRPr="00A46ADC">
              <w:t>1.8</w:t>
            </w:r>
          </w:p>
        </w:tc>
        <w:tc>
          <w:tcPr>
            <w:tcW w:w="709" w:type="dxa"/>
            <w:noWrap/>
            <w:vAlign w:val="center"/>
            <w:hideMark/>
          </w:tcPr>
          <w:p w14:paraId="70F0C92D" w14:textId="77777777" w:rsidR="00DE4516" w:rsidRPr="00A46ADC" w:rsidRDefault="00DE4516" w:rsidP="00DE4516">
            <w:pPr>
              <w:pStyle w:val="TableBody"/>
              <w:autoSpaceDE w:val="0"/>
              <w:autoSpaceDN w:val="0"/>
              <w:adjustRightInd w:val="0"/>
              <w:jc w:val="right"/>
              <w:rPr>
                <w:rFonts w:cs="Calibri"/>
                <w:sz w:val="15"/>
                <w:szCs w:val="16"/>
              </w:rPr>
            </w:pPr>
            <w:r w:rsidRPr="00A46ADC">
              <w:t>4.2</w:t>
            </w:r>
          </w:p>
        </w:tc>
        <w:tc>
          <w:tcPr>
            <w:tcW w:w="709" w:type="dxa"/>
            <w:noWrap/>
            <w:vAlign w:val="center"/>
            <w:hideMark/>
          </w:tcPr>
          <w:p w14:paraId="6062BBD5" w14:textId="77777777" w:rsidR="00DE4516" w:rsidRPr="00A46ADC" w:rsidRDefault="00DE4516" w:rsidP="00DE4516">
            <w:pPr>
              <w:pStyle w:val="TableBody"/>
              <w:autoSpaceDE w:val="0"/>
              <w:autoSpaceDN w:val="0"/>
              <w:adjustRightInd w:val="0"/>
              <w:jc w:val="right"/>
              <w:rPr>
                <w:rFonts w:cs="Calibri"/>
                <w:sz w:val="15"/>
                <w:szCs w:val="16"/>
              </w:rPr>
            </w:pPr>
            <w:r w:rsidRPr="00A46ADC">
              <w:t>8.3</w:t>
            </w:r>
          </w:p>
        </w:tc>
        <w:tc>
          <w:tcPr>
            <w:tcW w:w="709" w:type="dxa"/>
            <w:noWrap/>
            <w:vAlign w:val="center"/>
            <w:hideMark/>
          </w:tcPr>
          <w:p w14:paraId="46CCB737" w14:textId="77777777" w:rsidR="00DE4516" w:rsidRPr="00A46ADC" w:rsidRDefault="00DE4516" w:rsidP="00DE4516">
            <w:pPr>
              <w:pStyle w:val="TableBody"/>
              <w:autoSpaceDE w:val="0"/>
              <w:autoSpaceDN w:val="0"/>
              <w:adjustRightInd w:val="0"/>
              <w:jc w:val="right"/>
              <w:rPr>
                <w:rFonts w:cs="Calibri"/>
                <w:sz w:val="15"/>
                <w:szCs w:val="16"/>
              </w:rPr>
            </w:pPr>
            <w:r w:rsidRPr="00A46ADC">
              <w:t>2.0</w:t>
            </w:r>
          </w:p>
        </w:tc>
        <w:tc>
          <w:tcPr>
            <w:tcW w:w="662" w:type="dxa"/>
            <w:noWrap/>
            <w:vAlign w:val="center"/>
            <w:hideMark/>
          </w:tcPr>
          <w:p w14:paraId="369D94D8" w14:textId="77777777" w:rsidR="00DE4516" w:rsidRPr="00A46ADC" w:rsidRDefault="00DE4516" w:rsidP="00DE4516">
            <w:pPr>
              <w:pStyle w:val="TableBody"/>
              <w:autoSpaceDE w:val="0"/>
              <w:autoSpaceDN w:val="0"/>
              <w:adjustRightInd w:val="0"/>
              <w:jc w:val="right"/>
              <w:rPr>
                <w:rFonts w:cs="Calibri"/>
                <w:sz w:val="15"/>
                <w:szCs w:val="16"/>
              </w:rPr>
            </w:pPr>
            <w:r w:rsidRPr="00A46ADC">
              <w:t>8.9</w:t>
            </w:r>
          </w:p>
        </w:tc>
      </w:tr>
      <w:tr w:rsidR="00DE4516" w:rsidRPr="00045A4A" w14:paraId="42C1FBE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noWrap/>
            <w:vAlign w:val="center"/>
            <w:hideMark/>
          </w:tcPr>
          <w:p w14:paraId="530D08CE" w14:textId="77777777" w:rsidR="00DE4516" w:rsidRPr="00A46ADC" w:rsidRDefault="00DE4516" w:rsidP="00DE4516">
            <w:pPr>
              <w:pStyle w:val="TableBody"/>
              <w:autoSpaceDE w:val="0"/>
              <w:autoSpaceDN w:val="0"/>
              <w:adjustRightInd w:val="0"/>
              <w:jc w:val="both"/>
              <w:rPr>
                <w:rFonts w:cs="Calibri"/>
                <w:sz w:val="15"/>
                <w:szCs w:val="16"/>
              </w:rPr>
            </w:pPr>
            <w:r w:rsidRPr="00A46ADC">
              <w:t>Foreign assets (net), (annual percentage change)</w:t>
            </w:r>
          </w:p>
        </w:tc>
        <w:tc>
          <w:tcPr>
            <w:tcW w:w="709" w:type="dxa"/>
            <w:noWrap/>
            <w:vAlign w:val="center"/>
            <w:hideMark/>
          </w:tcPr>
          <w:p w14:paraId="36179F2D" w14:textId="77777777" w:rsidR="00DE4516" w:rsidRPr="00A46ADC" w:rsidRDefault="00DE4516" w:rsidP="00DE4516">
            <w:pPr>
              <w:pStyle w:val="TableBody"/>
              <w:autoSpaceDE w:val="0"/>
              <w:autoSpaceDN w:val="0"/>
              <w:adjustRightInd w:val="0"/>
              <w:jc w:val="right"/>
              <w:rPr>
                <w:rFonts w:cs="Calibri"/>
                <w:sz w:val="15"/>
                <w:szCs w:val="16"/>
              </w:rPr>
            </w:pPr>
            <w:r w:rsidRPr="00A46ADC">
              <w:t>−3.2</w:t>
            </w:r>
          </w:p>
        </w:tc>
        <w:tc>
          <w:tcPr>
            <w:tcW w:w="709" w:type="dxa"/>
            <w:noWrap/>
            <w:vAlign w:val="center"/>
            <w:hideMark/>
          </w:tcPr>
          <w:p w14:paraId="4342611B" w14:textId="77777777" w:rsidR="00DE4516" w:rsidRPr="00A46ADC" w:rsidRDefault="00DE4516" w:rsidP="00DE4516">
            <w:pPr>
              <w:pStyle w:val="TableBody"/>
              <w:autoSpaceDE w:val="0"/>
              <w:autoSpaceDN w:val="0"/>
              <w:adjustRightInd w:val="0"/>
              <w:jc w:val="right"/>
              <w:rPr>
                <w:rFonts w:cs="Calibri"/>
                <w:sz w:val="15"/>
                <w:szCs w:val="16"/>
              </w:rPr>
            </w:pPr>
            <w:r w:rsidRPr="00A46ADC">
              <w:t>−29.6</w:t>
            </w:r>
          </w:p>
        </w:tc>
        <w:tc>
          <w:tcPr>
            <w:tcW w:w="708" w:type="dxa"/>
            <w:noWrap/>
            <w:vAlign w:val="center"/>
            <w:hideMark/>
          </w:tcPr>
          <w:p w14:paraId="649427E4" w14:textId="77777777" w:rsidR="00DE4516" w:rsidRPr="00A46ADC" w:rsidRDefault="00DE4516" w:rsidP="00DE4516">
            <w:pPr>
              <w:pStyle w:val="TableBody"/>
              <w:autoSpaceDE w:val="0"/>
              <w:autoSpaceDN w:val="0"/>
              <w:adjustRightInd w:val="0"/>
              <w:jc w:val="right"/>
              <w:rPr>
                <w:rFonts w:cs="Calibri"/>
                <w:sz w:val="15"/>
                <w:szCs w:val="16"/>
              </w:rPr>
            </w:pPr>
            <w:r w:rsidRPr="00A46ADC">
              <w:t>−0.9</w:t>
            </w:r>
          </w:p>
        </w:tc>
        <w:tc>
          <w:tcPr>
            <w:tcW w:w="709" w:type="dxa"/>
            <w:noWrap/>
            <w:vAlign w:val="center"/>
            <w:hideMark/>
          </w:tcPr>
          <w:p w14:paraId="22CB42ED" w14:textId="77777777" w:rsidR="00DE4516" w:rsidRPr="00A46ADC" w:rsidRDefault="00DE4516" w:rsidP="00DE4516">
            <w:pPr>
              <w:pStyle w:val="TableBody"/>
              <w:autoSpaceDE w:val="0"/>
              <w:autoSpaceDN w:val="0"/>
              <w:adjustRightInd w:val="0"/>
              <w:jc w:val="right"/>
              <w:rPr>
                <w:rFonts w:cs="Calibri"/>
                <w:sz w:val="15"/>
                <w:szCs w:val="16"/>
              </w:rPr>
            </w:pPr>
            <w:r w:rsidRPr="00A46ADC">
              <w:t>−5.4</w:t>
            </w:r>
          </w:p>
        </w:tc>
        <w:tc>
          <w:tcPr>
            <w:tcW w:w="709" w:type="dxa"/>
            <w:noWrap/>
            <w:vAlign w:val="center"/>
            <w:hideMark/>
          </w:tcPr>
          <w:p w14:paraId="6AD3438E" w14:textId="77777777" w:rsidR="00DE4516" w:rsidRPr="00A46ADC" w:rsidRDefault="00DE4516" w:rsidP="00DE4516">
            <w:pPr>
              <w:pStyle w:val="TableBody"/>
              <w:autoSpaceDE w:val="0"/>
              <w:autoSpaceDN w:val="0"/>
              <w:adjustRightInd w:val="0"/>
              <w:jc w:val="right"/>
              <w:rPr>
                <w:rFonts w:cs="Calibri"/>
                <w:sz w:val="15"/>
                <w:szCs w:val="16"/>
              </w:rPr>
            </w:pPr>
            <w:r w:rsidRPr="00A46ADC">
              <w:t>18.9</w:t>
            </w:r>
          </w:p>
        </w:tc>
        <w:tc>
          <w:tcPr>
            <w:tcW w:w="709" w:type="dxa"/>
            <w:noWrap/>
            <w:vAlign w:val="center"/>
            <w:hideMark/>
          </w:tcPr>
          <w:p w14:paraId="45D38709" w14:textId="77777777" w:rsidR="00DE4516" w:rsidRPr="00A46ADC" w:rsidRDefault="00DE4516" w:rsidP="00DE4516">
            <w:pPr>
              <w:pStyle w:val="TableBody"/>
              <w:autoSpaceDE w:val="0"/>
              <w:autoSpaceDN w:val="0"/>
              <w:adjustRightInd w:val="0"/>
              <w:jc w:val="right"/>
              <w:rPr>
                <w:rFonts w:cs="Calibri"/>
                <w:sz w:val="15"/>
                <w:szCs w:val="16"/>
              </w:rPr>
            </w:pPr>
            <w:r w:rsidRPr="00A46ADC">
              <w:t>−3.6</w:t>
            </w:r>
          </w:p>
        </w:tc>
        <w:tc>
          <w:tcPr>
            <w:tcW w:w="662" w:type="dxa"/>
            <w:noWrap/>
            <w:vAlign w:val="center"/>
            <w:hideMark/>
          </w:tcPr>
          <w:p w14:paraId="5EF04633" w14:textId="77777777" w:rsidR="00DE4516" w:rsidRPr="00A46ADC" w:rsidRDefault="00DE4516" w:rsidP="00DE4516">
            <w:pPr>
              <w:pStyle w:val="TableBody"/>
              <w:autoSpaceDE w:val="0"/>
              <w:autoSpaceDN w:val="0"/>
              <w:adjustRightInd w:val="0"/>
              <w:jc w:val="right"/>
              <w:rPr>
                <w:rFonts w:cs="Calibri"/>
                <w:sz w:val="15"/>
                <w:szCs w:val="16"/>
              </w:rPr>
            </w:pPr>
            <w:r w:rsidRPr="00A46ADC">
              <w:t>−28.3</w:t>
            </w:r>
          </w:p>
        </w:tc>
      </w:tr>
      <w:tr w:rsidR="00DE4516" w:rsidRPr="00045A4A" w14:paraId="466DC4DB" w14:textId="77777777" w:rsidTr="002C718D">
        <w:trPr>
          <w:cantSplit/>
        </w:trPr>
        <w:tc>
          <w:tcPr>
            <w:tcW w:w="4106" w:type="dxa"/>
            <w:noWrap/>
            <w:vAlign w:val="center"/>
            <w:hideMark/>
          </w:tcPr>
          <w:p w14:paraId="26E8A90D" w14:textId="77777777" w:rsidR="00DE4516" w:rsidRPr="00A46ADC" w:rsidRDefault="00DE4516" w:rsidP="00DE4516">
            <w:pPr>
              <w:pStyle w:val="TableBody"/>
              <w:autoSpaceDE w:val="0"/>
              <w:autoSpaceDN w:val="0"/>
              <w:adjustRightInd w:val="0"/>
              <w:jc w:val="both"/>
              <w:rPr>
                <w:rFonts w:cs="Calibri"/>
                <w:sz w:val="15"/>
                <w:szCs w:val="16"/>
              </w:rPr>
            </w:pPr>
            <w:r w:rsidRPr="00A46ADC">
              <w:t>Domestic assets, (annual percentage change)</w:t>
            </w:r>
          </w:p>
        </w:tc>
        <w:tc>
          <w:tcPr>
            <w:tcW w:w="709" w:type="dxa"/>
            <w:noWrap/>
            <w:vAlign w:val="center"/>
            <w:hideMark/>
          </w:tcPr>
          <w:p w14:paraId="46AA280C" w14:textId="77777777" w:rsidR="00DE4516" w:rsidRPr="00A46ADC" w:rsidRDefault="00DE4516" w:rsidP="00DE4516">
            <w:pPr>
              <w:pStyle w:val="TableBody"/>
              <w:autoSpaceDE w:val="0"/>
              <w:autoSpaceDN w:val="0"/>
              <w:adjustRightInd w:val="0"/>
              <w:jc w:val="right"/>
              <w:rPr>
                <w:rFonts w:cs="Calibri"/>
                <w:sz w:val="15"/>
                <w:szCs w:val="16"/>
              </w:rPr>
            </w:pPr>
            <w:r w:rsidRPr="00A46ADC">
              <w:t>39.6</w:t>
            </w:r>
          </w:p>
        </w:tc>
        <w:tc>
          <w:tcPr>
            <w:tcW w:w="709" w:type="dxa"/>
            <w:noWrap/>
            <w:vAlign w:val="center"/>
            <w:hideMark/>
          </w:tcPr>
          <w:p w14:paraId="08CF236A" w14:textId="77777777" w:rsidR="00DE4516" w:rsidRPr="00A46ADC" w:rsidRDefault="00DE4516" w:rsidP="00DE4516">
            <w:pPr>
              <w:pStyle w:val="TableBody"/>
              <w:autoSpaceDE w:val="0"/>
              <w:autoSpaceDN w:val="0"/>
              <w:adjustRightInd w:val="0"/>
              <w:jc w:val="right"/>
              <w:rPr>
                <w:rFonts w:cs="Calibri"/>
                <w:sz w:val="15"/>
                <w:szCs w:val="16"/>
              </w:rPr>
            </w:pPr>
            <w:r w:rsidRPr="00A46ADC">
              <w:t>45.9</w:t>
            </w:r>
          </w:p>
        </w:tc>
        <w:tc>
          <w:tcPr>
            <w:tcW w:w="708" w:type="dxa"/>
            <w:noWrap/>
            <w:vAlign w:val="center"/>
            <w:hideMark/>
          </w:tcPr>
          <w:p w14:paraId="0D8E3ED3" w14:textId="77777777" w:rsidR="00DE4516" w:rsidRPr="00A46ADC" w:rsidRDefault="00DE4516" w:rsidP="00DE4516">
            <w:pPr>
              <w:pStyle w:val="TableBody"/>
              <w:autoSpaceDE w:val="0"/>
              <w:autoSpaceDN w:val="0"/>
              <w:adjustRightInd w:val="0"/>
              <w:jc w:val="right"/>
              <w:rPr>
                <w:rFonts w:cs="Calibri"/>
                <w:sz w:val="15"/>
                <w:szCs w:val="16"/>
              </w:rPr>
            </w:pPr>
            <w:r w:rsidRPr="00A46ADC">
              <w:t>3.0</w:t>
            </w:r>
          </w:p>
        </w:tc>
        <w:tc>
          <w:tcPr>
            <w:tcW w:w="709" w:type="dxa"/>
            <w:noWrap/>
            <w:vAlign w:val="center"/>
            <w:hideMark/>
          </w:tcPr>
          <w:p w14:paraId="250CE9AA" w14:textId="77777777" w:rsidR="00DE4516" w:rsidRPr="00A46ADC" w:rsidRDefault="00DE4516" w:rsidP="00DE4516">
            <w:pPr>
              <w:pStyle w:val="TableBody"/>
              <w:autoSpaceDE w:val="0"/>
              <w:autoSpaceDN w:val="0"/>
              <w:adjustRightInd w:val="0"/>
              <w:jc w:val="right"/>
              <w:rPr>
                <w:rFonts w:cs="Calibri"/>
                <w:sz w:val="15"/>
                <w:szCs w:val="16"/>
              </w:rPr>
            </w:pPr>
            <w:r w:rsidRPr="00A46ADC">
              <w:t>8.2</w:t>
            </w:r>
          </w:p>
        </w:tc>
        <w:tc>
          <w:tcPr>
            <w:tcW w:w="709" w:type="dxa"/>
            <w:noWrap/>
            <w:vAlign w:val="center"/>
            <w:hideMark/>
          </w:tcPr>
          <w:p w14:paraId="7B6CDD65" w14:textId="77777777" w:rsidR="00DE4516" w:rsidRPr="00A46ADC" w:rsidRDefault="00DE4516" w:rsidP="00DE4516">
            <w:pPr>
              <w:pStyle w:val="TableBody"/>
              <w:autoSpaceDE w:val="0"/>
              <w:autoSpaceDN w:val="0"/>
              <w:adjustRightInd w:val="0"/>
              <w:jc w:val="right"/>
              <w:rPr>
                <w:rFonts w:cs="Calibri"/>
                <w:sz w:val="15"/>
                <w:szCs w:val="16"/>
              </w:rPr>
            </w:pPr>
            <w:r w:rsidRPr="00A46ADC">
              <w:t>4.4</w:t>
            </w:r>
          </w:p>
        </w:tc>
        <w:tc>
          <w:tcPr>
            <w:tcW w:w="709" w:type="dxa"/>
            <w:noWrap/>
            <w:vAlign w:val="center"/>
            <w:hideMark/>
          </w:tcPr>
          <w:p w14:paraId="1A766634" w14:textId="77777777" w:rsidR="00DE4516" w:rsidRPr="00A46ADC" w:rsidRDefault="00DE4516" w:rsidP="00DE4516">
            <w:pPr>
              <w:pStyle w:val="TableBody"/>
              <w:autoSpaceDE w:val="0"/>
              <w:autoSpaceDN w:val="0"/>
              <w:adjustRightInd w:val="0"/>
              <w:jc w:val="right"/>
              <w:rPr>
                <w:rFonts w:cs="Calibri"/>
                <w:sz w:val="15"/>
                <w:szCs w:val="16"/>
              </w:rPr>
            </w:pPr>
            <w:r w:rsidRPr="00A46ADC">
              <w:t>4.4</w:t>
            </w:r>
          </w:p>
        </w:tc>
        <w:tc>
          <w:tcPr>
            <w:tcW w:w="662" w:type="dxa"/>
            <w:noWrap/>
            <w:vAlign w:val="center"/>
            <w:hideMark/>
          </w:tcPr>
          <w:p w14:paraId="4B3B8BC4" w14:textId="77777777" w:rsidR="00DE4516" w:rsidRPr="00A46ADC" w:rsidRDefault="00DE4516" w:rsidP="00DE4516">
            <w:pPr>
              <w:pStyle w:val="TableBody"/>
              <w:autoSpaceDE w:val="0"/>
              <w:autoSpaceDN w:val="0"/>
              <w:adjustRightInd w:val="0"/>
              <w:jc w:val="right"/>
              <w:rPr>
                <w:rFonts w:cs="Calibri"/>
                <w:sz w:val="15"/>
                <w:szCs w:val="16"/>
              </w:rPr>
            </w:pPr>
            <w:r w:rsidRPr="00A46ADC">
              <w:t>23.2</w:t>
            </w:r>
          </w:p>
        </w:tc>
      </w:tr>
      <w:tr w:rsidR="00DE4516" w:rsidRPr="00045A4A" w14:paraId="0E824F5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7C25D98D" w14:textId="77777777" w:rsidR="00DE4516" w:rsidRPr="00A46ADC" w:rsidRDefault="00DE4516" w:rsidP="00DE4516">
            <w:pPr>
              <w:pStyle w:val="TableBody"/>
              <w:autoSpaceDE w:val="0"/>
              <w:autoSpaceDN w:val="0"/>
              <w:adjustRightInd w:val="0"/>
              <w:jc w:val="both"/>
              <w:rPr>
                <w:rFonts w:cs="Calibri"/>
                <w:sz w:val="15"/>
                <w:szCs w:val="16"/>
              </w:rPr>
            </w:pPr>
            <w:r w:rsidRPr="00A46ADC">
              <w:t>Lending rate in OMR</w:t>
            </w:r>
          </w:p>
        </w:tc>
        <w:tc>
          <w:tcPr>
            <w:tcW w:w="709" w:type="dxa"/>
            <w:noWrap/>
            <w:vAlign w:val="center"/>
            <w:hideMark/>
          </w:tcPr>
          <w:p w14:paraId="5317E7D0" w14:textId="77777777" w:rsidR="00DE4516" w:rsidRPr="00A46ADC" w:rsidRDefault="00DE4516" w:rsidP="00DE4516">
            <w:pPr>
              <w:pStyle w:val="TableBody"/>
              <w:autoSpaceDE w:val="0"/>
              <w:autoSpaceDN w:val="0"/>
              <w:adjustRightInd w:val="0"/>
              <w:jc w:val="right"/>
              <w:rPr>
                <w:rFonts w:cs="Calibri"/>
                <w:sz w:val="15"/>
                <w:szCs w:val="16"/>
              </w:rPr>
            </w:pPr>
            <w:r w:rsidRPr="00A46ADC">
              <w:t>5.2</w:t>
            </w:r>
          </w:p>
        </w:tc>
        <w:tc>
          <w:tcPr>
            <w:tcW w:w="709" w:type="dxa"/>
            <w:noWrap/>
            <w:vAlign w:val="center"/>
            <w:hideMark/>
          </w:tcPr>
          <w:p w14:paraId="5724FE7D" w14:textId="77777777" w:rsidR="00DE4516" w:rsidRPr="00A46ADC" w:rsidRDefault="00DE4516" w:rsidP="00DE4516">
            <w:pPr>
              <w:pStyle w:val="TableBody"/>
              <w:autoSpaceDE w:val="0"/>
              <w:autoSpaceDN w:val="0"/>
              <w:adjustRightInd w:val="0"/>
              <w:jc w:val="right"/>
              <w:rPr>
                <w:rFonts w:cs="Calibri"/>
                <w:sz w:val="15"/>
                <w:szCs w:val="16"/>
              </w:rPr>
            </w:pPr>
            <w:r w:rsidRPr="00A46ADC">
              <w:t>4.9</w:t>
            </w:r>
          </w:p>
        </w:tc>
        <w:tc>
          <w:tcPr>
            <w:tcW w:w="708" w:type="dxa"/>
            <w:noWrap/>
            <w:vAlign w:val="center"/>
            <w:hideMark/>
          </w:tcPr>
          <w:p w14:paraId="4143D8C7" w14:textId="77777777" w:rsidR="00DE4516" w:rsidRPr="00A46ADC" w:rsidRDefault="00DE4516" w:rsidP="00DE4516">
            <w:pPr>
              <w:pStyle w:val="TableBody"/>
              <w:autoSpaceDE w:val="0"/>
              <w:autoSpaceDN w:val="0"/>
              <w:adjustRightInd w:val="0"/>
              <w:jc w:val="right"/>
              <w:rPr>
                <w:rFonts w:cs="Calibri"/>
                <w:sz w:val="15"/>
                <w:szCs w:val="16"/>
              </w:rPr>
            </w:pPr>
            <w:r w:rsidRPr="00A46ADC">
              <w:t>4.9</w:t>
            </w:r>
          </w:p>
        </w:tc>
        <w:tc>
          <w:tcPr>
            <w:tcW w:w="709" w:type="dxa"/>
            <w:noWrap/>
            <w:vAlign w:val="center"/>
            <w:hideMark/>
          </w:tcPr>
          <w:p w14:paraId="62E01C30" w14:textId="77777777" w:rsidR="00DE4516" w:rsidRPr="00A46ADC" w:rsidRDefault="00DE4516" w:rsidP="00DE4516">
            <w:pPr>
              <w:pStyle w:val="TableBody"/>
              <w:autoSpaceDE w:val="0"/>
              <w:autoSpaceDN w:val="0"/>
              <w:adjustRightInd w:val="0"/>
              <w:jc w:val="right"/>
              <w:rPr>
                <w:rFonts w:cs="Calibri"/>
                <w:sz w:val="15"/>
                <w:szCs w:val="16"/>
              </w:rPr>
            </w:pPr>
            <w:r w:rsidRPr="00A46ADC">
              <w:t>5.2</w:t>
            </w:r>
          </w:p>
        </w:tc>
        <w:tc>
          <w:tcPr>
            <w:tcW w:w="709" w:type="dxa"/>
            <w:noWrap/>
            <w:vAlign w:val="center"/>
            <w:hideMark/>
          </w:tcPr>
          <w:p w14:paraId="4AA64BBB" w14:textId="77777777" w:rsidR="00DE4516" w:rsidRPr="00A46ADC" w:rsidRDefault="00DE4516" w:rsidP="00DE4516">
            <w:pPr>
              <w:pStyle w:val="TableBody"/>
              <w:autoSpaceDE w:val="0"/>
              <w:autoSpaceDN w:val="0"/>
              <w:adjustRightInd w:val="0"/>
              <w:jc w:val="right"/>
              <w:rPr>
                <w:rFonts w:cs="Calibri"/>
                <w:sz w:val="15"/>
                <w:szCs w:val="16"/>
              </w:rPr>
            </w:pPr>
            <w:r w:rsidRPr="00A46ADC">
              <w:t>5.2</w:t>
            </w:r>
          </w:p>
        </w:tc>
        <w:tc>
          <w:tcPr>
            <w:tcW w:w="709" w:type="dxa"/>
            <w:noWrap/>
            <w:vAlign w:val="center"/>
            <w:hideMark/>
          </w:tcPr>
          <w:p w14:paraId="68B42D28" w14:textId="77777777" w:rsidR="00DE4516" w:rsidRPr="00A46ADC" w:rsidRDefault="00DE4516" w:rsidP="00DE4516">
            <w:pPr>
              <w:pStyle w:val="TableBody"/>
              <w:autoSpaceDE w:val="0"/>
              <w:autoSpaceDN w:val="0"/>
              <w:adjustRightInd w:val="0"/>
              <w:jc w:val="right"/>
              <w:rPr>
                <w:rFonts w:cs="Calibri"/>
                <w:sz w:val="15"/>
                <w:szCs w:val="16"/>
              </w:rPr>
            </w:pPr>
            <w:r w:rsidRPr="00A46ADC">
              <w:t>5.4</w:t>
            </w:r>
          </w:p>
        </w:tc>
        <w:tc>
          <w:tcPr>
            <w:tcW w:w="662" w:type="dxa"/>
            <w:noWrap/>
            <w:vAlign w:val="center"/>
            <w:hideMark/>
          </w:tcPr>
          <w:p w14:paraId="63354AC5" w14:textId="77777777" w:rsidR="00DE4516" w:rsidRPr="00A46ADC" w:rsidRDefault="00DE4516" w:rsidP="00DE4516">
            <w:pPr>
              <w:pStyle w:val="TableBody"/>
              <w:autoSpaceDE w:val="0"/>
              <w:autoSpaceDN w:val="0"/>
              <w:adjustRightInd w:val="0"/>
              <w:jc w:val="right"/>
              <w:rPr>
                <w:rFonts w:cs="Calibri"/>
                <w:sz w:val="15"/>
                <w:szCs w:val="16"/>
              </w:rPr>
            </w:pPr>
            <w:r w:rsidRPr="00A46ADC">
              <w:t>5.5</w:t>
            </w:r>
          </w:p>
        </w:tc>
      </w:tr>
      <w:tr w:rsidR="00DE4516" w:rsidRPr="00045A4A" w14:paraId="1BFEFEC7" w14:textId="77777777" w:rsidTr="002C718D">
        <w:trPr>
          <w:cantSplit/>
        </w:trPr>
        <w:tc>
          <w:tcPr>
            <w:tcW w:w="4106" w:type="dxa"/>
            <w:vAlign w:val="center"/>
            <w:hideMark/>
          </w:tcPr>
          <w:p w14:paraId="382AAC66" w14:textId="77777777" w:rsidR="00DE4516" w:rsidRPr="00A46ADC" w:rsidRDefault="00DE4516" w:rsidP="00DE4516">
            <w:pPr>
              <w:pStyle w:val="TableBody"/>
              <w:autoSpaceDE w:val="0"/>
              <w:autoSpaceDN w:val="0"/>
              <w:adjustRightInd w:val="0"/>
              <w:jc w:val="both"/>
              <w:rPr>
                <w:rFonts w:cs="Calibri"/>
                <w:sz w:val="15"/>
                <w:szCs w:val="16"/>
              </w:rPr>
            </w:pPr>
            <w:r w:rsidRPr="00A46ADC">
              <w:t>Lending rate in foreign currency</w:t>
            </w:r>
          </w:p>
        </w:tc>
        <w:tc>
          <w:tcPr>
            <w:tcW w:w="709" w:type="dxa"/>
            <w:noWrap/>
            <w:vAlign w:val="center"/>
            <w:hideMark/>
          </w:tcPr>
          <w:p w14:paraId="58249F31" w14:textId="77777777" w:rsidR="00DE4516" w:rsidRPr="00A46ADC" w:rsidRDefault="00DE4516" w:rsidP="00DE4516">
            <w:pPr>
              <w:pStyle w:val="TableBody"/>
              <w:autoSpaceDE w:val="0"/>
              <w:autoSpaceDN w:val="0"/>
              <w:adjustRightInd w:val="0"/>
              <w:jc w:val="right"/>
              <w:rPr>
                <w:rFonts w:cs="Calibri"/>
                <w:sz w:val="15"/>
                <w:szCs w:val="16"/>
              </w:rPr>
            </w:pPr>
            <w:r w:rsidRPr="00A46ADC">
              <w:t>2.4</w:t>
            </w:r>
          </w:p>
        </w:tc>
        <w:tc>
          <w:tcPr>
            <w:tcW w:w="709" w:type="dxa"/>
            <w:noWrap/>
            <w:vAlign w:val="center"/>
            <w:hideMark/>
          </w:tcPr>
          <w:p w14:paraId="0FFC0859" w14:textId="77777777" w:rsidR="00DE4516" w:rsidRPr="00A46ADC" w:rsidRDefault="00DE4516" w:rsidP="00DE4516">
            <w:pPr>
              <w:pStyle w:val="TableBody"/>
              <w:autoSpaceDE w:val="0"/>
              <w:autoSpaceDN w:val="0"/>
              <w:adjustRightInd w:val="0"/>
              <w:jc w:val="right"/>
              <w:rPr>
                <w:rFonts w:cs="Calibri"/>
                <w:sz w:val="15"/>
                <w:szCs w:val="16"/>
              </w:rPr>
            </w:pPr>
            <w:r w:rsidRPr="00A46ADC">
              <w:t>2.5</w:t>
            </w:r>
          </w:p>
        </w:tc>
        <w:tc>
          <w:tcPr>
            <w:tcW w:w="708" w:type="dxa"/>
            <w:noWrap/>
            <w:vAlign w:val="center"/>
            <w:hideMark/>
          </w:tcPr>
          <w:p w14:paraId="52D9073D" w14:textId="77777777" w:rsidR="00DE4516" w:rsidRPr="00A46ADC" w:rsidRDefault="00DE4516" w:rsidP="00DE4516">
            <w:pPr>
              <w:pStyle w:val="TableBody"/>
              <w:autoSpaceDE w:val="0"/>
              <w:autoSpaceDN w:val="0"/>
              <w:adjustRightInd w:val="0"/>
              <w:jc w:val="right"/>
              <w:rPr>
                <w:rFonts w:cs="Calibri"/>
                <w:sz w:val="15"/>
                <w:szCs w:val="16"/>
              </w:rPr>
            </w:pPr>
            <w:r w:rsidRPr="00A46ADC">
              <w:t>2.9</w:t>
            </w:r>
          </w:p>
        </w:tc>
        <w:tc>
          <w:tcPr>
            <w:tcW w:w="709" w:type="dxa"/>
            <w:noWrap/>
            <w:vAlign w:val="center"/>
            <w:hideMark/>
          </w:tcPr>
          <w:p w14:paraId="6AF77EE2" w14:textId="77777777" w:rsidR="00DE4516" w:rsidRPr="00A46ADC" w:rsidRDefault="00DE4516" w:rsidP="00DE4516">
            <w:pPr>
              <w:pStyle w:val="TableBody"/>
              <w:autoSpaceDE w:val="0"/>
              <w:autoSpaceDN w:val="0"/>
              <w:adjustRightInd w:val="0"/>
              <w:jc w:val="right"/>
              <w:rPr>
                <w:rFonts w:cs="Calibri"/>
                <w:sz w:val="15"/>
                <w:szCs w:val="16"/>
              </w:rPr>
            </w:pPr>
            <w:r w:rsidRPr="00A46ADC">
              <w:t>3.7</w:t>
            </w:r>
          </w:p>
        </w:tc>
        <w:tc>
          <w:tcPr>
            <w:tcW w:w="709" w:type="dxa"/>
            <w:noWrap/>
            <w:vAlign w:val="center"/>
            <w:hideMark/>
          </w:tcPr>
          <w:p w14:paraId="33CB8822" w14:textId="77777777" w:rsidR="00DE4516" w:rsidRPr="00A46ADC" w:rsidRDefault="00DE4516" w:rsidP="00DE4516">
            <w:pPr>
              <w:pStyle w:val="TableBody"/>
              <w:autoSpaceDE w:val="0"/>
              <w:autoSpaceDN w:val="0"/>
              <w:adjustRightInd w:val="0"/>
              <w:jc w:val="right"/>
              <w:rPr>
                <w:rFonts w:cs="Calibri"/>
                <w:sz w:val="15"/>
                <w:szCs w:val="16"/>
              </w:rPr>
            </w:pPr>
            <w:r w:rsidRPr="00A46ADC">
              <w:t>4.8</w:t>
            </w:r>
          </w:p>
        </w:tc>
        <w:tc>
          <w:tcPr>
            <w:tcW w:w="709" w:type="dxa"/>
            <w:noWrap/>
            <w:vAlign w:val="center"/>
            <w:hideMark/>
          </w:tcPr>
          <w:p w14:paraId="223246B6" w14:textId="77777777" w:rsidR="00DE4516" w:rsidRPr="00A46ADC" w:rsidRDefault="00DE4516" w:rsidP="00DE4516">
            <w:pPr>
              <w:pStyle w:val="TableBody"/>
              <w:autoSpaceDE w:val="0"/>
              <w:autoSpaceDN w:val="0"/>
              <w:adjustRightInd w:val="0"/>
              <w:jc w:val="right"/>
              <w:rPr>
                <w:rFonts w:cs="Calibri"/>
                <w:sz w:val="15"/>
                <w:szCs w:val="16"/>
              </w:rPr>
            </w:pPr>
            <w:r w:rsidRPr="00A46ADC">
              <w:t>5.1</w:t>
            </w:r>
          </w:p>
        </w:tc>
        <w:tc>
          <w:tcPr>
            <w:tcW w:w="662" w:type="dxa"/>
            <w:noWrap/>
            <w:vAlign w:val="center"/>
            <w:hideMark/>
          </w:tcPr>
          <w:p w14:paraId="7DCF7D18" w14:textId="77777777" w:rsidR="00DE4516" w:rsidRPr="00A46ADC" w:rsidRDefault="00DE4516" w:rsidP="00DE4516">
            <w:pPr>
              <w:pStyle w:val="TableBody"/>
              <w:autoSpaceDE w:val="0"/>
              <w:autoSpaceDN w:val="0"/>
              <w:adjustRightInd w:val="0"/>
              <w:jc w:val="right"/>
              <w:rPr>
                <w:rFonts w:cs="Calibri"/>
                <w:sz w:val="15"/>
                <w:szCs w:val="16"/>
              </w:rPr>
            </w:pPr>
            <w:r w:rsidRPr="00A46ADC">
              <w:t>3.9</w:t>
            </w:r>
          </w:p>
        </w:tc>
      </w:tr>
      <w:tr w:rsidR="00DE4516" w:rsidRPr="00045A4A" w14:paraId="0B37BEB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noWrap/>
            <w:vAlign w:val="center"/>
            <w:hideMark/>
          </w:tcPr>
          <w:p w14:paraId="2080D1EA" w14:textId="77777777" w:rsidR="00DE4516" w:rsidRPr="00A46ADC" w:rsidRDefault="00DE4516" w:rsidP="00DE4516">
            <w:pPr>
              <w:pStyle w:val="TableBody"/>
              <w:autoSpaceDE w:val="0"/>
              <w:autoSpaceDN w:val="0"/>
              <w:adjustRightInd w:val="0"/>
              <w:jc w:val="both"/>
              <w:rPr>
                <w:rFonts w:cs="Calibri"/>
                <w:sz w:val="15"/>
                <w:szCs w:val="16"/>
              </w:rPr>
            </w:pPr>
            <w:r w:rsidRPr="00A46ADC">
              <w:t>Private sector time deposits, OMR</w:t>
            </w:r>
          </w:p>
        </w:tc>
        <w:tc>
          <w:tcPr>
            <w:tcW w:w="709" w:type="dxa"/>
            <w:noWrap/>
            <w:vAlign w:val="center"/>
            <w:hideMark/>
          </w:tcPr>
          <w:p w14:paraId="0901CBA3" w14:textId="77777777" w:rsidR="00DE4516" w:rsidRPr="00A46ADC" w:rsidRDefault="00DE4516" w:rsidP="00DE4516">
            <w:pPr>
              <w:pStyle w:val="TableBody"/>
              <w:autoSpaceDE w:val="0"/>
              <w:autoSpaceDN w:val="0"/>
              <w:adjustRightInd w:val="0"/>
              <w:jc w:val="right"/>
              <w:rPr>
                <w:rFonts w:cs="Calibri"/>
                <w:sz w:val="15"/>
                <w:szCs w:val="16"/>
              </w:rPr>
            </w:pPr>
            <w:r w:rsidRPr="00A46ADC">
              <w:t>2.1</w:t>
            </w:r>
          </w:p>
        </w:tc>
        <w:tc>
          <w:tcPr>
            <w:tcW w:w="709" w:type="dxa"/>
            <w:noWrap/>
            <w:vAlign w:val="center"/>
            <w:hideMark/>
          </w:tcPr>
          <w:p w14:paraId="24EDE696" w14:textId="77777777" w:rsidR="00DE4516" w:rsidRPr="00A46ADC" w:rsidRDefault="00DE4516" w:rsidP="00DE4516">
            <w:pPr>
              <w:pStyle w:val="TableBody"/>
              <w:autoSpaceDE w:val="0"/>
              <w:autoSpaceDN w:val="0"/>
              <w:adjustRightInd w:val="0"/>
              <w:jc w:val="right"/>
              <w:rPr>
                <w:rFonts w:cs="Calibri"/>
                <w:sz w:val="15"/>
                <w:szCs w:val="16"/>
              </w:rPr>
            </w:pPr>
            <w:r w:rsidRPr="00A46ADC">
              <w:t>1.8</w:t>
            </w:r>
          </w:p>
        </w:tc>
        <w:tc>
          <w:tcPr>
            <w:tcW w:w="708" w:type="dxa"/>
            <w:noWrap/>
            <w:vAlign w:val="center"/>
            <w:hideMark/>
          </w:tcPr>
          <w:p w14:paraId="55B3CF13" w14:textId="77777777" w:rsidR="00DE4516" w:rsidRPr="00A46ADC" w:rsidRDefault="00DE4516" w:rsidP="00DE4516">
            <w:pPr>
              <w:pStyle w:val="TableBody"/>
              <w:autoSpaceDE w:val="0"/>
              <w:autoSpaceDN w:val="0"/>
              <w:adjustRightInd w:val="0"/>
              <w:jc w:val="right"/>
              <w:rPr>
                <w:rFonts w:cs="Calibri"/>
                <w:sz w:val="15"/>
                <w:szCs w:val="16"/>
              </w:rPr>
            </w:pPr>
            <w:r w:rsidRPr="00A46ADC">
              <w:t>2.6</w:t>
            </w:r>
          </w:p>
        </w:tc>
        <w:tc>
          <w:tcPr>
            <w:tcW w:w="709" w:type="dxa"/>
            <w:noWrap/>
            <w:vAlign w:val="center"/>
            <w:hideMark/>
          </w:tcPr>
          <w:p w14:paraId="6E1BE9C9" w14:textId="77777777" w:rsidR="00DE4516" w:rsidRPr="00A46ADC" w:rsidRDefault="00DE4516" w:rsidP="00DE4516">
            <w:pPr>
              <w:pStyle w:val="TableBody"/>
              <w:autoSpaceDE w:val="0"/>
              <w:autoSpaceDN w:val="0"/>
              <w:adjustRightInd w:val="0"/>
              <w:jc w:val="right"/>
              <w:rPr>
                <w:rFonts w:cs="Calibri"/>
                <w:sz w:val="15"/>
                <w:szCs w:val="16"/>
              </w:rPr>
            </w:pPr>
            <w:r w:rsidRPr="00A46ADC">
              <w:t>3.6</w:t>
            </w:r>
          </w:p>
        </w:tc>
        <w:tc>
          <w:tcPr>
            <w:tcW w:w="709" w:type="dxa"/>
            <w:noWrap/>
            <w:vAlign w:val="center"/>
            <w:hideMark/>
          </w:tcPr>
          <w:p w14:paraId="3FE4B4B6" w14:textId="77777777" w:rsidR="00DE4516" w:rsidRPr="00A46ADC" w:rsidRDefault="00DE4516" w:rsidP="00DE4516">
            <w:pPr>
              <w:pStyle w:val="TableBody"/>
              <w:autoSpaceDE w:val="0"/>
              <w:autoSpaceDN w:val="0"/>
              <w:adjustRightInd w:val="0"/>
              <w:jc w:val="right"/>
              <w:rPr>
                <w:rFonts w:cs="Calibri"/>
                <w:sz w:val="15"/>
                <w:szCs w:val="16"/>
              </w:rPr>
            </w:pPr>
            <w:r w:rsidRPr="00A46ADC">
              <w:t>3.6</w:t>
            </w:r>
          </w:p>
        </w:tc>
        <w:tc>
          <w:tcPr>
            <w:tcW w:w="709" w:type="dxa"/>
            <w:noWrap/>
            <w:vAlign w:val="center"/>
            <w:hideMark/>
          </w:tcPr>
          <w:p w14:paraId="43F58B26" w14:textId="77777777" w:rsidR="00DE4516" w:rsidRPr="00A46ADC" w:rsidRDefault="00DE4516" w:rsidP="00DE4516">
            <w:pPr>
              <w:pStyle w:val="TableBody"/>
              <w:autoSpaceDE w:val="0"/>
              <w:autoSpaceDN w:val="0"/>
              <w:adjustRightInd w:val="0"/>
              <w:jc w:val="right"/>
              <w:rPr>
                <w:rFonts w:cs="Calibri"/>
                <w:sz w:val="15"/>
                <w:szCs w:val="16"/>
              </w:rPr>
            </w:pPr>
            <w:r w:rsidRPr="00A46ADC">
              <w:t>3.9</w:t>
            </w:r>
          </w:p>
        </w:tc>
        <w:tc>
          <w:tcPr>
            <w:tcW w:w="662" w:type="dxa"/>
            <w:noWrap/>
            <w:vAlign w:val="center"/>
            <w:hideMark/>
          </w:tcPr>
          <w:p w14:paraId="3DE81343" w14:textId="77777777" w:rsidR="00DE4516" w:rsidRPr="00A46ADC" w:rsidRDefault="00DE4516" w:rsidP="00DE4516">
            <w:pPr>
              <w:pStyle w:val="TableBody"/>
              <w:autoSpaceDE w:val="0"/>
              <w:autoSpaceDN w:val="0"/>
              <w:adjustRightInd w:val="0"/>
              <w:jc w:val="right"/>
              <w:rPr>
                <w:rFonts w:cs="Calibri"/>
                <w:sz w:val="15"/>
                <w:szCs w:val="16"/>
              </w:rPr>
            </w:pPr>
            <w:r w:rsidRPr="00A46ADC">
              <w:t>4.1</w:t>
            </w:r>
          </w:p>
        </w:tc>
      </w:tr>
      <w:tr w:rsidR="00DE4516" w:rsidRPr="00045A4A" w14:paraId="5F08035F" w14:textId="77777777" w:rsidTr="002C718D">
        <w:trPr>
          <w:cantSplit/>
        </w:trPr>
        <w:tc>
          <w:tcPr>
            <w:tcW w:w="4106" w:type="dxa"/>
            <w:noWrap/>
            <w:vAlign w:val="center"/>
            <w:hideMark/>
          </w:tcPr>
          <w:p w14:paraId="749D4AD9" w14:textId="77777777" w:rsidR="00DE4516" w:rsidRPr="00A46ADC" w:rsidRDefault="00DE4516" w:rsidP="00DE4516">
            <w:pPr>
              <w:pStyle w:val="TableBody"/>
              <w:autoSpaceDE w:val="0"/>
              <w:autoSpaceDN w:val="0"/>
              <w:adjustRightInd w:val="0"/>
              <w:jc w:val="both"/>
              <w:rPr>
                <w:rFonts w:cs="Calibri"/>
                <w:sz w:val="15"/>
                <w:szCs w:val="16"/>
              </w:rPr>
            </w:pPr>
            <w:r w:rsidRPr="00A46ADC">
              <w:t>Private sector time deposits, foreign currency</w:t>
            </w:r>
          </w:p>
        </w:tc>
        <w:tc>
          <w:tcPr>
            <w:tcW w:w="709" w:type="dxa"/>
            <w:noWrap/>
            <w:vAlign w:val="center"/>
            <w:hideMark/>
          </w:tcPr>
          <w:p w14:paraId="514D6024" w14:textId="77777777" w:rsidR="00DE4516" w:rsidRPr="00A46ADC" w:rsidRDefault="00DE4516" w:rsidP="00DE4516">
            <w:pPr>
              <w:pStyle w:val="TableBody"/>
              <w:autoSpaceDE w:val="0"/>
              <w:autoSpaceDN w:val="0"/>
              <w:adjustRightInd w:val="0"/>
              <w:jc w:val="right"/>
              <w:rPr>
                <w:rFonts w:cs="Calibri"/>
                <w:sz w:val="15"/>
                <w:szCs w:val="16"/>
              </w:rPr>
            </w:pPr>
            <w:r w:rsidRPr="00A46ADC">
              <w:t>1.4</w:t>
            </w:r>
          </w:p>
        </w:tc>
        <w:tc>
          <w:tcPr>
            <w:tcW w:w="709" w:type="dxa"/>
            <w:noWrap/>
            <w:vAlign w:val="center"/>
            <w:hideMark/>
          </w:tcPr>
          <w:p w14:paraId="206E21EB" w14:textId="77777777" w:rsidR="00DE4516" w:rsidRPr="00A46ADC" w:rsidRDefault="00DE4516" w:rsidP="00DE4516">
            <w:pPr>
              <w:pStyle w:val="TableBody"/>
              <w:autoSpaceDE w:val="0"/>
              <w:autoSpaceDN w:val="0"/>
              <w:adjustRightInd w:val="0"/>
              <w:jc w:val="right"/>
              <w:rPr>
                <w:rFonts w:cs="Calibri"/>
                <w:sz w:val="15"/>
                <w:szCs w:val="16"/>
              </w:rPr>
            </w:pPr>
            <w:r w:rsidRPr="00A46ADC">
              <w:t>1.4</w:t>
            </w:r>
          </w:p>
        </w:tc>
        <w:tc>
          <w:tcPr>
            <w:tcW w:w="708" w:type="dxa"/>
            <w:noWrap/>
            <w:vAlign w:val="center"/>
            <w:hideMark/>
          </w:tcPr>
          <w:p w14:paraId="3C17E9DF" w14:textId="77777777" w:rsidR="00DE4516" w:rsidRPr="00A46ADC" w:rsidRDefault="00DE4516" w:rsidP="00DE4516">
            <w:pPr>
              <w:pStyle w:val="TableBody"/>
              <w:autoSpaceDE w:val="0"/>
              <w:autoSpaceDN w:val="0"/>
              <w:adjustRightInd w:val="0"/>
              <w:jc w:val="right"/>
              <w:rPr>
                <w:rFonts w:cs="Calibri"/>
                <w:sz w:val="15"/>
                <w:szCs w:val="16"/>
              </w:rPr>
            </w:pPr>
            <w:r w:rsidRPr="00A46ADC">
              <w:t>1.3</w:t>
            </w:r>
          </w:p>
        </w:tc>
        <w:tc>
          <w:tcPr>
            <w:tcW w:w="709" w:type="dxa"/>
            <w:noWrap/>
            <w:vAlign w:val="center"/>
            <w:hideMark/>
          </w:tcPr>
          <w:p w14:paraId="7C73DE02" w14:textId="77777777" w:rsidR="00DE4516" w:rsidRPr="00A46ADC" w:rsidRDefault="00DE4516" w:rsidP="00DE4516">
            <w:pPr>
              <w:pStyle w:val="TableBody"/>
              <w:autoSpaceDE w:val="0"/>
              <w:autoSpaceDN w:val="0"/>
              <w:adjustRightInd w:val="0"/>
              <w:jc w:val="right"/>
              <w:rPr>
                <w:rFonts w:cs="Calibri"/>
                <w:sz w:val="15"/>
                <w:szCs w:val="16"/>
              </w:rPr>
            </w:pPr>
            <w:r w:rsidRPr="00A46ADC">
              <w:t>1.4</w:t>
            </w:r>
          </w:p>
        </w:tc>
        <w:tc>
          <w:tcPr>
            <w:tcW w:w="709" w:type="dxa"/>
            <w:noWrap/>
            <w:vAlign w:val="center"/>
            <w:hideMark/>
          </w:tcPr>
          <w:p w14:paraId="0418F64E" w14:textId="77777777" w:rsidR="00DE4516" w:rsidRPr="00A46ADC" w:rsidRDefault="00DE4516" w:rsidP="00DE4516">
            <w:pPr>
              <w:pStyle w:val="TableBody"/>
              <w:autoSpaceDE w:val="0"/>
              <w:autoSpaceDN w:val="0"/>
              <w:adjustRightInd w:val="0"/>
              <w:jc w:val="right"/>
              <w:rPr>
                <w:rFonts w:cs="Calibri"/>
                <w:sz w:val="15"/>
                <w:szCs w:val="16"/>
              </w:rPr>
            </w:pPr>
            <w:r w:rsidRPr="00A46ADC">
              <w:t>2.1</w:t>
            </w:r>
          </w:p>
        </w:tc>
        <w:tc>
          <w:tcPr>
            <w:tcW w:w="709" w:type="dxa"/>
            <w:noWrap/>
            <w:vAlign w:val="center"/>
            <w:hideMark/>
          </w:tcPr>
          <w:p w14:paraId="4CADC050" w14:textId="77777777" w:rsidR="00DE4516" w:rsidRPr="00A46ADC" w:rsidRDefault="00DE4516" w:rsidP="00DE4516">
            <w:pPr>
              <w:pStyle w:val="TableBody"/>
              <w:autoSpaceDE w:val="0"/>
              <w:autoSpaceDN w:val="0"/>
              <w:adjustRightInd w:val="0"/>
              <w:jc w:val="right"/>
              <w:rPr>
                <w:rFonts w:cs="Calibri"/>
                <w:sz w:val="15"/>
                <w:szCs w:val="16"/>
              </w:rPr>
            </w:pPr>
            <w:r w:rsidRPr="00A46ADC">
              <w:t>2.6</w:t>
            </w:r>
          </w:p>
        </w:tc>
        <w:tc>
          <w:tcPr>
            <w:tcW w:w="662" w:type="dxa"/>
            <w:noWrap/>
            <w:vAlign w:val="center"/>
            <w:hideMark/>
          </w:tcPr>
          <w:p w14:paraId="40B79CD2" w14:textId="77777777" w:rsidR="00DE4516" w:rsidRPr="00A46ADC" w:rsidRDefault="00DE4516" w:rsidP="00DE4516">
            <w:pPr>
              <w:pStyle w:val="TableBody"/>
              <w:autoSpaceDE w:val="0"/>
              <w:autoSpaceDN w:val="0"/>
              <w:adjustRightInd w:val="0"/>
              <w:jc w:val="right"/>
              <w:rPr>
                <w:rFonts w:cs="Calibri"/>
                <w:sz w:val="15"/>
                <w:szCs w:val="16"/>
              </w:rPr>
            </w:pPr>
            <w:r w:rsidRPr="00A46ADC">
              <w:t>2.4</w:t>
            </w:r>
          </w:p>
        </w:tc>
      </w:tr>
      <w:tr w:rsidR="00DE4516" w:rsidRPr="00045A4A" w14:paraId="7F33ABE1"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noWrap/>
            <w:vAlign w:val="center"/>
            <w:hideMark/>
          </w:tcPr>
          <w:p w14:paraId="5176409B" w14:textId="77777777" w:rsidR="00DE4516" w:rsidRPr="00A46ADC" w:rsidRDefault="00DE4516" w:rsidP="00DE4516">
            <w:pPr>
              <w:pStyle w:val="TableBody"/>
              <w:autoSpaceDE w:val="0"/>
              <w:autoSpaceDN w:val="0"/>
              <w:adjustRightInd w:val="0"/>
              <w:jc w:val="both"/>
              <w:rPr>
                <w:rFonts w:cs="Calibri"/>
                <w:sz w:val="15"/>
                <w:szCs w:val="16"/>
              </w:rPr>
            </w:pPr>
            <w:r w:rsidRPr="00A46ADC">
              <w:t>Repos</w:t>
            </w:r>
          </w:p>
        </w:tc>
        <w:tc>
          <w:tcPr>
            <w:tcW w:w="709" w:type="dxa"/>
            <w:noWrap/>
            <w:vAlign w:val="center"/>
            <w:hideMark/>
          </w:tcPr>
          <w:p w14:paraId="40996621" w14:textId="77777777" w:rsidR="00DE4516" w:rsidRPr="00A46ADC" w:rsidRDefault="00DE4516" w:rsidP="00DE4516">
            <w:pPr>
              <w:pStyle w:val="TableBody"/>
              <w:autoSpaceDE w:val="0"/>
              <w:autoSpaceDN w:val="0"/>
              <w:adjustRightInd w:val="0"/>
              <w:jc w:val="right"/>
              <w:rPr>
                <w:rFonts w:cs="Calibri"/>
                <w:sz w:val="15"/>
                <w:szCs w:val="16"/>
              </w:rPr>
            </w:pPr>
            <w:r w:rsidRPr="00A46ADC">
              <w:t>1.0</w:t>
            </w:r>
          </w:p>
        </w:tc>
        <w:tc>
          <w:tcPr>
            <w:tcW w:w="709" w:type="dxa"/>
            <w:noWrap/>
            <w:vAlign w:val="center"/>
            <w:hideMark/>
          </w:tcPr>
          <w:p w14:paraId="57EFE870" w14:textId="77777777" w:rsidR="00DE4516" w:rsidRPr="00A46ADC" w:rsidRDefault="00DE4516" w:rsidP="00DE4516">
            <w:pPr>
              <w:pStyle w:val="TableBody"/>
              <w:autoSpaceDE w:val="0"/>
              <w:autoSpaceDN w:val="0"/>
              <w:adjustRightInd w:val="0"/>
              <w:jc w:val="right"/>
              <w:rPr>
                <w:rFonts w:cs="Calibri"/>
                <w:sz w:val="15"/>
                <w:szCs w:val="16"/>
              </w:rPr>
            </w:pPr>
            <w:r w:rsidRPr="00A46ADC">
              <w:t>1.0</w:t>
            </w:r>
          </w:p>
        </w:tc>
        <w:tc>
          <w:tcPr>
            <w:tcW w:w="708" w:type="dxa"/>
            <w:noWrap/>
            <w:vAlign w:val="center"/>
            <w:hideMark/>
          </w:tcPr>
          <w:p w14:paraId="29B4F278" w14:textId="77777777" w:rsidR="00DE4516" w:rsidRPr="00A46ADC" w:rsidRDefault="00DE4516" w:rsidP="00DE4516">
            <w:pPr>
              <w:pStyle w:val="TableBody"/>
              <w:autoSpaceDE w:val="0"/>
              <w:autoSpaceDN w:val="0"/>
              <w:adjustRightInd w:val="0"/>
              <w:jc w:val="right"/>
              <w:rPr>
                <w:rFonts w:cs="Calibri"/>
                <w:sz w:val="15"/>
                <w:szCs w:val="16"/>
              </w:rPr>
            </w:pPr>
            <w:r w:rsidRPr="00A46ADC">
              <w:t>1.0</w:t>
            </w:r>
          </w:p>
        </w:tc>
        <w:tc>
          <w:tcPr>
            <w:tcW w:w="709" w:type="dxa"/>
            <w:noWrap/>
            <w:vAlign w:val="center"/>
            <w:hideMark/>
          </w:tcPr>
          <w:p w14:paraId="1DC6C102" w14:textId="77777777" w:rsidR="00DE4516" w:rsidRPr="00A46ADC" w:rsidRDefault="00DE4516" w:rsidP="00DE4516">
            <w:pPr>
              <w:pStyle w:val="TableBody"/>
              <w:autoSpaceDE w:val="0"/>
              <w:autoSpaceDN w:val="0"/>
              <w:adjustRightInd w:val="0"/>
              <w:jc w:val="right"/>
              <w:rPr>
                <w:rFonts w:cs="Calibri"/>
                <w:sz w:val="15"/>
                <w:szCs w:val="16"/>
              </w:rPr>
            </w:pPr>
            <w:r w:rsidRPr="00A46ADC">
              <w:t>1.6</w:t>
            </w:r>
          </w:p>
        </w:tc>
        <w:tc>
          <w:tcPr>
            <w:tcW w:w="709" w:type="dxa"/>
            <w:noWrap/>
            <w:vAlign w:val="center"/>
            <w:hideMark/>
          </w:tcPr>
          <w:p w14:paraId="6CE73447" w14:textId="77777777" w:rsidR="00DE4516" w:rsidRPr="00A46ADC" w:rsidRDefault="00DE4516" w:rsidP="00DE4516">
            <w:pPr>
              <w:pStyle w:val="TableBody"/>
              <w:autoSpaceDE w:val="0"/>
              <w:autoSpaceDN w:val="0"/>
              <w:adjustRightInd w:val="0"/>
              <w:jc w:val="right"/>
              <w:rPr>
                <w:rFonts w:cs="Calibri"/>
                <w:sz w:val="15"/>
                <w:szCs w:val="16"/>
              </w:rPr>
            </w:pPr>
            <w:r w:rsidRPr="00A46ADC">
              <w:t>2.5</w:t>
            </w:r>
          </w:p>
        </w:tc>
        <w:tc>
          <w:tcPr>
            <w:tcW w:w="709" w:type="dxa"/>
            <w:noWrap/>
            <w:vAlign w:val="center"/>
            <w:hideMark/>
          </w:tcPr>
          <w:p w14:paraId="7CCD7DBA" w14:textId="77777777" w:rsidR="00DE4516" w:rsidRPr="00A46ADC" w:rsidRDefault="00DE4516" w:rsidP="00DE4516">
            <w:pPr>
              <w:pStyle w:val="TableBody"/>
              <w:autoSpaceDE w:val="0"/>
              <w:autoSpaceDN w:val="0"/>
              <w:adjustRightInd w:val="0"/>
              <w:jc w:val="right"/>
              <w:rPr>
                <w:rFonts w:cs="Calibri"/>
                <w:sz w:val="15"/>
                <w:szCs w:val="16"/>
              </w:rPr>
            </w:pPr>
            <w:r w:rsidRPr="00A46ADC">
              <w:t>2.7</w:t>
            </w:r>
          </w:p>
        </w:tc>
        <w:tc>
          <w:tcPr>
            <w:tcW w:w="662" w:type="dxa"/>
            <w:noWrap/>
            <w:vAlign w:val="center"/>
            <w:hideMark/>
          </w:tcPr>
          <w:p w14:paraId="725D452C" w14:textId="77777777" w:rsidR="00DE4516" w:rsidRPr="00A46ADC" w:rsidRDefault="00DE4516" w:rsidP="00DE4516">
            <w:pPr>
              <w:pStyle w:val="TableBody"/>
              <w:autoSpaceDE w:val="0"/>
              <w:autoSpaceDN w:val="0"/>
              <w:adjustRightInd w:val="0"/>
              <w:jc w:val="right"/>
              <w:rPr>
                <w:rFonts w:cs="Calibri"/>
                <w:sz w:val="15"/>
                <w:szCs w:val="16"/>
              </w:rPr>
            </w:pPr>
            <w:r w:rsidRPr="00A46ADC">
              <w:t>0.8</w:t>
            </w:r>
          </w:p>
        </w:tc>
      </w:tr>
      <w:tr w:rsidR="00DE4516" w:rsidRPr="00045A4A" w14:paraId="3946851B" w14:textId="77777777" w:rsidTr="002C718D">
        <w:trPr>
          <w:cantSplit/>
        </w:trPr>
        <w:tc>
          <w:tcPr>
            <w:tcW w:w="4106" w:type="dxa"/>
            <w:vAlign w:val="center"/>
            <w:hideMark/>
          </w:tcPr>
          <w:p w14:paraId="7C55E386" w14:textId="77777777" w:rsidR="00DE4516" w:rsidRPr="00A46ADC" w:rsidRDefault="00DE4516" w:rsidP="00DE4516">
            <w:pPr>
              <w:pStyle w:val="TableBody"/>
              <w:autoSpaceDE w:val="0"/>
              <w:autoSpaceDN w:val="0"/>
              <w:adjustRightInd w:val="0"/>
              <w:jc w:val="both"/>
              <w:rPr>
                <w:rFonts w:cs="Calibri"/>
                <w:sz w:val="15"/>
                <w:szCs w:val="16"/>
              </w:rPr>
            </w:pPr>
            <w:r w:rsidRPr="00A46ADC">
              <w:t>Overnight interbank lending rate, OMR</w:t>
            </w:r>
          </w:p>
        </w:tc>
        <w:tc>
          <w:tcPr>
            <w:tcW w:w="709" w:type="dxa"/>
            <w:noWrap/>
            <w:vAlign w:val="center"/>
            <w:hideMark/>
          </w:tcPr>
          <w:p w14:paraId="06069793" w14:textId="77777777" w:rsidR="00DE4516" w:rsidRPr="00A46ADC" w:rsidRDefault="00DE4516" w:rsidP="00DE4516">
            <w:pPr>
              <w:pStyle w:val="TableBody"/>
              <w:autoSpaceDE w:val="0"/>
              <w:autoSpaceDN w:val="0"/>
              <w:adjustRightInd w:val="0"/>
              <w:jc w:val="right"/>
              <w:rPr>
                <w:rFonts w:cs="Calibri"/>
                <w:sz w:val="15"/>
                <w:szCs w:val="16"/>
              </w:rPr>
            </w:pPr>
            <w:r w:rsidRPr="00A46ADC">
              <w:t>0.1</w:t>
            </w:r>
          </w:p>
        </w:tc>
        <w:tc>
          <w:tcPr>
            <w:tcW w:w="709" w:type="dxa"/>
            <w:noWrap/>
            <w:vAlign w:val="center"/>
            <w:hideMark/>
          </w:tcPr>
          <w:p w14:paraId="45F19AAC" w14:textId="77777777" w:rsidR="00DE4516" w:rsidRPr="00A46ADC" w:rsidRDefault="00DE4516" w:rsidP="00DE4516">
            <w:pPr>
              <w:pStyle w:val="TableBody"/>
              <w:autoSpaceDE w:val="0"/>
              <w:autoSpaceDN w:val="0"/>
              <w:adjustRightInd w:val="0"/>
              <w:jc w:val="right"/>
              <w:rPr>
                <w:rFonts w:cs="Calibri"/>
                <w:sz w:val="15"/>
                <w:szCs w:val="16"/>
              </w:rPr>
            </w:pPr>
            <w:r w:rsidRPr="00A46ADC">
              <w:t>0.2</w:t>
            </w:r>
          </w:p>
        </w:tc>
        <w:tc>
          <w:tcPr>
            <w:tcW w:w="708" w:type="dxa"/>
            <w:noWrap/>
            <w:vAlign w:val="center"/>
            <w:hideMark/>
          </w:tcPr>
          <w:p w14:paraId="60C7A222" w14:textId="77777777" w:rsidR="00DE4516" w:rsidRPr="00A46ADC" w:rsidRDefault="00DE4516" w:rsidP="00DE4516">
            <w:pPr>
              <w:pStyle w:val="TableBody"/>
              <w:autoSpaceDE w:val="0"/>
              <w:autoSpaceDN w:val="0"/>
              <w:adjustRightInd w:val="0"/>
              <w:jc w:val="right"/>
              <w:rPr>
                <w:rFonts w:cs="Calibri"/>
                <w:sz w:val="15"/>
                <w:szCs w:val="16"/>
              </w:rPr>
            </w:pPr>
            <w:r w:rsidRPr="00A46ADC">
              <w:t>0.4</w:t>
            </w:r>
          </w:p>
        </w:tc>
        <w:tc>
          <w:tcPr>
            <w:tcW w:w="709" w:type="dxa"/>
            <w:noWrap/>
            <w:vAlign w:val="center"/>
            <w:hideMark/>
          </w:tcPr>
          <w:p w14:paraId="65A3D089" w14:textId="77777777" w:rsidR="00DE4516" w:rsidRPr="00A46ADC" w:rsidRDefault="00DE4516" w:rsidP="00DE4516">
            <w:pPr>
              <w:pStyle w:val="TableBody"/>
              <w:autoSpaceDE w:val="0"/>
              <w:autoSpaceDN w:val="0"/>
              <w:adjustRightInd w:val="0"/>
              <w:jc w:val="right"/>
              <w:rPr>
                <w:rFonts w:cs="Calibri"/>
                <w:sz w:val="15"/>
                <w:szCs w:val="16"/>
              </w:rPr>
            </w:pPr>
            <w:r w:rsidRPr="00A46ADC">
              <w:t>0.9</w:t>
            </w:r>
          </w:p>
        </w:tc>
        <w:tc>
          <w:tcPr>
            <w:tcW w:w="709" w:type="dxa"/>
            <w:noWrap/>
            <w:vAlign w:val="center"/>
            <w:hideMark/>
          </w:tcPr>
          <w:p w14:paraId="5883FDF8" w14:textId="77777777" w:rsidR="00DE4516" w:rsidRPr="00A46ADC" w:rsidRDefault="00DE4516" w:rsidP="00DE4516">
            <w:pPr>
              <w:pStyle w:val="TableBody"/>
              <w:autoSpaceDE w:val="0"/>
              <w:autoSpaceDN w:val="0"/>
              <w:adjustRightInd w:val="0"/>
              <w:jc w:val="right"/>
              <w:rPr>
                <w:rFonts w:cs="Calibri"/>
                <w:sz w:val="15"/>
                <w:szCs w:val="16"/>
              </w:rPr>
            </w:pPr>
            <w:r w:rsidRPr="00A46ADC">
              <w:t>1.9</w:t>
            </w:r>
          </w:p>
        </w:tc>
        <w:tc>
          <w:tcPr>
            <w:tcW w:w="709" w:type="dxa"/>
            <w:noWrap/>
            <w:vAlign w:val="center"/>
            <w:hideMark/>
          </w:tcPr>
          <w:p w14:paraId="5AB30A01" w14:textId="77777777" w:rsidR="00DE4516" w:rsidRPr="00A46ADC" w:rsidRDefault="00DE4516" w:rsidP="00DE4516">
            <w:pPr>
              <w:pStyle w:val="TableBody"/>
              <w:autoSpaceDE w:val="0"/>
              <w:autoSpaceDN w:val="0"/>
              <w:adjustRightInd w:val="0"/>
              <w:jc w:val="right"/>
              <w:rPr>
                <w:rFonts w:cs="Calibri"/>
                <w:sz w:val="15"/>
                <w:szCs w:val="16"/>
              </w:rPr>
            </w:pPr>
            <w:r w:rsidRPr="00A46ADC">
              <w:t>2.5</w:t>
            </w:r>
          </w:p>
        </w:tc>
        <w:tc>
          <w:tcPr>
            <w:tcW w:w="662" w:type="dxa"/>
            <w:noWrap/>
            <w:vAlign w:val="center"/>
            <w:hideMark/>
          </w:tcPr>
          <w:p w14:paraId="2193AC52" w14:textId="77777777" w:rsidR="00DE4516" w:rsidRPr="00A46ADC" w:rsidRDefault="00DE4516" w:rsidP="00DE4516">
            <w:pPr>
              <w:pStyle w:val="TableBody"/>
              <w:autoSpaceDE w:val="0"/>
              <w:autoSpaceDN w:val="0"/>
              <w:adjustRightInd w:val="0"/>
              <w:jc w:val="right"/>
              <w:rPr>
                <w:rFonts w:cs="Calibri"/>
                <w:sz w:val="15"/>
                <w:szCs w:val="16"/>
              </w:rPr>
            </w:pPr>
            <w:r w:rsidRPr="00A46ADC">
              <w:t>1.3</w:t>
            </w:r>
          </w:p>
        </w:tc>
      </w:tr>
      <w:tr w:rsidR="00DE4516" w:rsidRPr="00045A4A" w14:paraId="6C1C1DF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616D22F1" w14:textId="77777777" w:rsidR="00DE4516" w:rsidRPr="00A46ADC" w:rsidRDefault="00DE4516" w:rsidP="00DE4516">
            <w:pPr>
              <w:pStyle w:val="TableBody"/>
              <w:autoSpaceDE w:val="0"/>
              <w:autoSpaceDN w:val="0"/>
              <w:adjustRightInd w:val="0"/>
              <w:jc w:val="both"/>
              <w:rPr>
                <w:rFonts w:cs="Calibri"/>
                <w:b/>
                <w:bCs/>
                <w:sz w:val="15"/>
                <w:szCs w:val="16"/>
              </w:rPr>
            </w:pPr>
            <w:r w:rsidRPr="00A46ADC">
              <w:rPr>
                <w:b/>
              </w:rPr>
              <w:t>External sector</w:t>
            </w:r>
          </w:p>
        </w:tc>
        <w:tc>
          <w:tcPr>
            <w:tcW w:w="709" w:type="dxa"/>
            <w:noWrap/>
            <w:vAlign w:val="center"/>
            <w:hideMark/>
          </w:tcPr>
          <w:p w14:paraId="32E251FE"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2F7039F7" w14:textId="77777777" w:rsidR="00DE4516" w:rsidRPr="00A46ADC" w:rsidRDefault="00DE4516" w:rsidP="00DE4516">
            <w:pPr>
              <w:pStyle w:val="TableBody"/>
              <w:autoSpaceDE w:val="0"/>
              <w:autoSpaceDN w:val="0"/>
              <w:adjustRightInd w:val="0"/>
              <w:jc w:val="right"/>
            </w:pPr>
          </w:p>
        </w:tc>
        <w:tc>
          <w:tcPr>
            <w:tcW w:w="708" w:type="dxa"/>
            <w:noWrap/>
            <w:vAlign w:val="center"/>
            <w:hideMark/>
          </w:tcPr>
          <w:p w14:paraId="7F6C9783"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03FD742E"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2D5EB84B"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25D0D5D6" w14:textId="77777777" w:rsidR="00DE4516" w:rsidRPr="00A46ADC" w:rsidRDefault="00DE4516" w:rsidP="00DE4516">
            <w:pPr>
              <w:pStyle w:val="TableBody"/>
              <w:autoSpaceDE w:val="0"/>
              <w:autoSpaceDN w:val="0"/>
              <w:adjustRightInd w:val="0"/>
              <w:jc w:val="right"/>
            </w:pPr>
          </w:p>
        </w:tc>
        <w:tc>
          <w:tcPr>
            <w:tcW w:w="662" w:type="dxa"/>
            <w:noWrap/>
            <w:vAlign w:val="center"/>
            <w:hideMark/>
          </w:tcPr>
          <w:p w14:paraId="57A83C3F" w14:textId="77777777" w:rsidR="00DE4516" w:rsidRPr="00A46ADC" w:rsidRDefault="00DE4516" w:rsidP="00DE4516">
            <w:pPr>
              <w:pStyle w:val="TableBody"/>
              <w:autoSpaceDE w:val="0"/>
              <w:autoSpaceDN w:val="0"/>
              <w:adjustRightInd w:val="0"/>
              <w:jc w:val="right"/>
            </w:pPr>
          </w:p>
        </w:tc>
      </w:tr>
      <w:tr w:rsidR="00DE4516" w:rsidRPr="00045A4A" w14:paraId="762A0488" w14:textId="77777777" w:rsidTr="002C718D">
        <w:trPr>
          <w:cantSplit/>
        </w:trPr>
        <w:tc>
          <w:tcPr>
            <w:tcW w:w="4106" w:type="dxa"/>
            <w:vAlign w:val="center"/>
            <w:hideMark/>
          </w:tcPr>
          <w:p w14:paraId="0DB782B3" w14:textId="77777777" w:rsidR="00DE4516" w:rsidRPr="00A46ADC" w:rsidRDefault="00DE4516" w:rsidP="00DE4516">
            <w:pPr>
              <w:pStyle w:val="TableBody"/>
              <w:autoSpaceDE w:val="0"/>
              <w:autoSpaceDN w:val="0"/>
              <w:adjustRightInd w:val="0"/>
              <w:jc w:val="both"/>
              <w:rPr>
                <w:rFonts w:cs="Calibri"/>
                <w:sz w:val="15"/>
                <w:szCs w:val="16"/>
              </w:rPr>
            </w:pPr>
            <w:r w:rsidRPr="00A46ADC">
              <w:t>OMR/EUR</w:t>
            </w:r>
          </w:p>
        </w:tc>
        <w:tc>
          <w:tcPr>
            <w:tcW w:w="709" w:type="dxa"/>
            <w:vAlign w:val="center"/>
            <w:hideMark/>
          </w:tcPr>
          <w:p w14:paraId="541DD662" w14:textId="77777777" w:rsidR="00DE4516" w:rsidRPr="00A46ADC" w:rsidRDefault="00DE4516" w:rsidP="00DE4516">
            <w:pPr>
              <w:pStyle w:val="TableBody"/>
              <w:autoSpaceDE w:val="0"/>
              <w:autoSpaceDN w:val="0"/>
              <w:adjustRightInd w:val="0"/>
              <w:jc w:val="right"/>
              <w:rPr>
                <w:rFonts w:cs="Calibri"/>
                <w:sz w:val="15"/>
                <w:szCs w:val="16"/>
              </w:rPr>
            </w:pPr>
            <w:r w:rsidRPr="00A46ADC">
              <w:t>0.51</w:t>
            </w:r>
          </w:p>
        </w:tc>
        <w:tc>
          <w:tcPr>
            <w:tcW w:w="709" w:type="dxa"/>
            <w:vAlign w:val="center"/>
            <w:hideMark/>
          </w:tcPr>
          <w:p w14:paraId="17B640C6" w14:textId="77777777" w:rsidR="00DE4516" w:rsidRPr="00A46ADC" w:rsidRDefault="00DE4516" w:rsidP="00DE4516">
            <w:pPr>
              <w:pStyle w:val="TableBody"/>
              <w:autoSpaceDE w:val="0"/>
              <w:autoSpaceDN w:val="0"/>
              <w:adjustRightInd w:val="0"/>
              <w:jc w:val="right"/>
              <w:rPr>
                <w:rFonts w:cs="Calibri"/>
                <w:sz w:val="15"/>
                <w:szCs w:val="16"/>
              </w:rPr>
            </w:pPr>
            <w:r w:rsidRPr="00A46ADC">
              <w:t>0.43</w:t>
            </w:r>
          </w:p>
        </w:tc>
        <w:tc>
          <w:tcPr>
            <w:tcW w:w="708" w:type="dxa"/>
            <w:vAlign w:val="center"/>
            <w:hideMark/>
          </w:tcPr>
          <w:p w14:paraId="45DFB73C" w14:textId="77777777" w:rsidR="00DE4516" w:rsidRPr="00A46ADC" w:rsidRDefault="00DE4516" w:rsidP="00DE4516">
            <w:pPr>
              <w:pStyle w:val="TableBody"/>
              <w:autoSpaceDE w:val="0"/>
              <w:autoSpaceDN w:val="0"/>
              <w:adjustRightInd w:val="0"/>
              <w:jc w:val="right"/>
              <w:rPr>
                <w:rFonts w:cs="Calibri"/>
                <w:sz w:val="15"/>
                <w:szCs w:val="16"/>
              </w:rPr>
            </w:pPr>
            <w:r w:rsidRPr="00A46ADC">
              <w:t>0.43</w:t>
            </w:r>
          </w:p>
        </w:tc>
        <w:tc>
          <w:tcPr>
            <w:tcW w:w="709" w:type="dxa"/>
            <w:vAlign w:val="center"/>
            <w:hideMark/>
          </w:tcPr>
          <w:p w14:paraId="32854154" w14:textId="77777777" w:rsidR="00DE4516" w:rsidRPr="00A46ADC" w:rsidRDefault="00DE4516" w:rsidP="00DE4516">
            <w:pPr>
              <w:pStyle w:val="TableBody"/>
              <w:autoSpaceDE w:val="0"/>
              <w:autoSpaceDN w:val="0"/>
              <w:adjustRightInd w:val="0"/>
              <w:jc w:val="right"/>
              <w:rPr>
                <w:rFonts w:cs="Calibri"/>
                <w:sz w:val="15"/>
                <w:szCs w:val="16"/>
              </w:rPr>
            </w:pPr>
            <w:r w:rsidRPr="00A46ADC">
              <w:t>0.43</w:t>
            </w:r>
          </w:p>
        </w:tc>
        <w:tc>
          <w:tcPr>
            <w:tcW w:w="709" w:type="dxa"/>
            <w:vAlign w:val="center"/>
            <w:hideMark/>
          </w:tcPr>
          <w:p w14:paraId="3D2806C3" w14:textId="77777777" w:rsidR="00DE4516" w:rsidRPr="00A46ADC" w:rsidRDefault="00DE4516" w:rsidP="00DE4516">
            <w:pPr>
              <w:pStyle w:val="TableBody"/>
              <w:autoSpaceDE w:val="0"/>
              <w:autoSpaceDN w:val="0"/>
              <w:adjustRightInd w:val="0"/>
              <w:jc w:val="right"/>
              <w:rPr>
                <w:rFonts w:cs="Calibri"/>
                <w:sz w:val="15"/>
                <w:szCs w:val="16"/>
              </w:rPr>
            </w:pPr>
            <w:r w:rsidRPr="00A46ADC">
              <w:t>0.45</w:t>
            </w:r>
          </w:p>
        </w:tc>
        <w:tc>
          <w:tcPr>
            <w:tcW w:w="709" w:type="dxa"/>
            <w:vAlign w:val="center"/>
            <w:hideMark/>
          </w:tcPr>
          <w:p w14:paraId="4398391C" w14:textId="77777777" w:rsidR="00DE4516" w:rsidRPr="00A46ADC" w:rsidRDefault="00DE4516" w:rsidP="00DE4516">
            <w:pPr>
              <w:pStyle w:val="TableBody"/>
              <w:autoSpaceDE w:val="0"/>
              <w:autoSpaceDN w:val="0"/>
              <w:adjustRightInd w:val="0"/>
              <w:jc w:val="right"/>
              <w:rPr>
                <w:rFonts w:cs="Calibri"/>
                <w:sz w:val="15"/>
                <w:szCs w:val="16"/>
              </w:rPr>
            </w:pPr>
            <w:r w:rsidRPr="00A46ADC">
              <w:t>0.43</w:t>
            </w:r>
          </w:p>
        </w:tc>
        <w:tc>
          <w:tcPr>
            <w:tcW w:w="662" w:type="dxa"/>
            <w:vAlign w:val="center"/>
            <w:hideMark/>
          </w:tcPr>
          <w:p w14:paraId="41D3D1F2" w14:textId="77777777" w:rsidR="00DE4516" w:rsidRPr="00A46ADC" w:rsidRDefault="00DE4516" w:rsidP="00DE4516">
            <w:pPr>
              <w:pStyle w:val="TableBody"/>
              <w:autoSpaceDE w:val="0"/>
              <w:autoSpaceDN w:val="0"/>
              <w:adjustRightInd w:val="0"/>
              <w:jc w:val="right"/>
              <w:rPr>
                <w:rFonts w:cs="Calibri"/>
                <w:sz w:val="15"/>
                <w:szCs w:val="16"/>
              </w:rPr>
            </w:pPr>
            <w:r w:rsidRPr="00A46ADC">
              <w:t>0.44</w:t>
            </w:r>
          </w:p>
        </w:tc>
      </w:tr>
      <w:tr w:rsidR="00DE4516" w:rsidRPr="00045A4A" w14:paraId="7025F844"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44FCCA85" w14:textId="77777777" w:rsidR="00DE4516" w:rsidRPr="00A46ADC" w:rsidRDefault="00DE4516" w:rsidP="00DE4516">
            <w:pPr>
              <w:pStyle w:val="TableBody"/>
              <w:autoSpaceDE w:val="0"/>
              <w:autoSpaceDN w:val="0"/>
              <w:adjustRightInd w:val="0"/>
              <w:jc w:val="both"/>
              <w:rPr>
                <w:rFonts w:cs="Calibri"/>
                <w:sz w:val="15"/>
                <w:szCs w:val="16"/>
              </w:rPr>
            </w:pPr>
            <w:r w:rsidRPr="00A46ADC">
              <w:t>OMR/USD</w:t>
            </w:r>
          </w:p>
        </w:tc>
        <w:tc>
          <w:tcPr>
            <w:tcW w:w="709" w:type="dxa"/>
            <w:vAlign w:val="center"/>
            <w:hideMark/>
          </w:tcPr>
          <w:p w14:paraId="30F2268F" w14:textId="77777777" w:rsidR="00DE4516" w:rsidRPr="00A46ADC" w:rsidRDefault="00DE4516" w:rsidP="00DE4516">
            <w:pPr>
              <w:pStyle w:val="TableBody"/>
              <w:autoSpaceDE w:val="0"/>
              <w:autoSpaceDN w:val="0"/>
              <w:adjustRightInd w:val="0"/>
              <w:jc w:val="right"/>
              <w:rPr>
                <w:rFonts w:cs="Calibri"/>
                <w:sz w:val="15"/>
                <w:szCs w:val="16"/>
              </w:rPr>
            </w:pPr>
            <w:r w:rsidRPr="00A46ADC">
              <w:t>0.38</w:t>
            </w:r>
          </w:p>
        </w:tc>
        <w:tc>
          <w:tcPr>
            <w:tcW w:w="709" w:type="dxa"/>
            <w:vAlign w:val="center"/>
            <w:hideMark/>
          </w:tcPr>
          <w:p w14:paraId="54BE1869" w14:textId="77777777" w:rsidR="00DE4516" w:rsidRPr="00A46ADC" w:rsidRDefault="00DE4516" w:rsidP="00DE4516">
            <w:pPr>
              <w:pStyle w:val="TableBody"/>
              <w:autoSpaceDE w:val="0"/>
              <w:autoSpaceDN w:val="0"/>
              <w:adjustRightInd w:val="0"/>
              <w:jc w:val="right"/>
              <w:rPr>
                <w:rFonts w:cs="Calibri"/>
                <w:sz w:val="15"/>
                <w:szCs w:val="16"/>
              </w:rPr>
            </w:pPr>
            <w:r w:rsidRPr="00A46ADC">
              <w:t>0.38</w:t>
            </w:r>
          </w:p>
        </w:tc>
        <w:tc>
          <w:tcPr>
            <w:tcW w:w="708" w:type="dxa"/>
            <w:vAlign w:val="center"/>
            <w:hideMark/>
          </w:tcPr>
          <w:p w14:paraId="1BBB5388" w14:textId="77777777" w:rsidR="00DE4516" w:rsidRPr="00A46ADC" w:rsidRDefault="00DE4516" w:rsidP="00DE4516">
            <w:pPr>
              <w:pStyle w:val="TableBody"/>
              <w:autoSpaceDE w:val="0"/>
              <w:autoSpaceDN w:val="0"/>
              <w:adjustRightInd w:val="0"/>
              <w:jc w:val="right"/>
              <w:rPr>
                <w:rFonts w:cs="Calibri"/>
                <w:sz w:val="15"/>
                <w:szCs w:val="16"/>
              </w:rPr>
            </w:pPr>
            <w:r w:rsidRPr="00A46ADC">
              <w:t>0.38</w:t>
            </w:r>
          </w:p>
        </w:tc>
        <w:tc>
          <w:tcPr>
            <w:tcW w:w="709" w:type="dxa"/>
            <w:vAlign w:val="center"/>
            <w:hideMark/>
          </w:tcPr>
          <w:p w14:paraId="7C8044A5" w14:textId="77777777" w:rsidR="00DE4516" w:rsidRPr="00A46ADC" w:rsidRDefault="00DE4516" w:rsidP="00DE4516">
            <w:pPr>
              <w:pStyle w:val="TableBody"/>
              <w:autoSpaceDE w:val="0"/>
              <w:autoSpaceDN w:val="0"/>
              <w:adjustRightInd w:val="0"/>
              <w:jc w:val="right"/>
              <w:rPr>
                <w:rFonts w:cs="Calibri"/>
                <w:sz w:val="15"/>
                <w:szCs w:val="16"/>
              </w:rPr>
            </w:pPr>
            <w:r w:rsidRPr="00A46ADC">
              <w:t>0.38</w:t>
            </w:r>
          </w:p>
        </w:tc>
        <w:tc>
          <w:tcPr>
            <w:tcW w:w="709" w:type="dxa"/>
            <w:vAlign w:val="center"/>
            <w:hideMark/>
          </w:tcPr>
          <w:p w14:paraId="5FD66FA4" w14:textId="77777777" w:rsidR="00DE4516" w:rsidRPr="00A46ADC" w:rsidRDefault="00DE4516" w:rsidP="00DE4516">
            <w:pPr>
              <w:pStyle w:val="TableBody"/>
              <w:autoSpaceDE w:val="0"/>
              <w:autoSpaceDN w:val="0"/>
              <w:adjustRightInd w:val="0"/>
              <w:jc w:val="right"/>
              <w:rPr>
                <w:rFonts w:cs="Calibri"/>
                <w:sz w:val="15"/>
                <w:szCs w:val="16"/>
              </w:rPr>
            </w:pPr>
            <w:r w:rsidRPr="00A46ADC">
              <w:t>0.38</w:t>
            </w:r>
          </w:p>
        </w:tc>
        <w:tc>
          <w:tcPr>
            <w:tcW w:w="709" w:type="dxa"/>
            <w:vAlign w:val="center"/>
            <w:hideMark/>
          </w:tcPr>
          <w:p w14:paraId="4085D09A" w14:textId="77777777" w:rsidR="00DE4516" w:rsidRPr="00A46ADC" w:rsidRDefault="00DE4516" w:rsidP="00DE4516">
            <w:pPr>
              <w:pStyle w:val="TableBody"/>
              <w:autoSpaceDE w:val="0"/>
              <w:autoSpaceDN w:val="0"/>
              <w:adjustRightInd w:val="0"/>
              <w:jc w:val="right"/>
              <w:rPr>
                <w:rFonts w:cs="Calibri"/>
                <w:sz w:val="15"/>
                <w:szCs w:val="16"/>
              </w:rPr>
            </w:pPr>
            <w:r w:rsidRPr="00A46ADC">
              <w:t>0.38</w:t>
            </w:r>
          </w:p>
        </w:tc>
        <w:tc>
          <w:tcPr>
            <w:tcW w:w="662" w:type="dxa"/>
            <w:vAlign w:val="center"/>
            <w:hideMark/>
          </w:tcPr>
          <w:p w14:paraId="68A07E9B" w14:textId="77777777" w:rsidR="00DE4516" w:rsidRPr="00A46ADC" w:rsidRDefault="00DE4516" w:rsidP="00DE4516">
            <w:pPr>
              <w:pStyle w:val="TableBody"/>
              <w:autoSpaceDE w:val="0"/>
              <w:autoSpaceDN w:val="0"/>
              <w:adjustRightInd w:val="0"/>
              <w:jc w:val="right"/>
              <w:rPr>
                <w:rFonts w:cs="Calibri"/>
                <w:sz w:val="15"/>
                <w:szCs w:val="16"/>
              </w:rPr>
            </w:pPr>
            <w:r w:rsidRPr="00A46ADC">
              <w:t>0.38</w:t>
            </w:r>
          </w:p>
        </w:tc>
      </w:tr>
      <w:tr w:rsidR="00DE4516" w:rsidRPr="00045A4A" w14:paraId="1C9EF7F5" w14:textId="77777777" w:rsidTr="002C718D">
        <w:trPr>
          <w:cantSplit/>
        </w:trPr>
        <w:tc>
          <w:tcPr>
            <w:tcW w:w="4106" w:type="dxa"/>
            <w:noWrap/>
            <w:vAlign w:val="center"/>
          </w:tcPr>
          <w:p w14:paraId="7BB2417C" w14:textId="77777777" w:rsidR="00DE4516" w:rsidRPr="00A46ADC" w:rsidRDefault="00DE4516" w:rsidP="00DE4516">
            <w:pPr>
              <w:pStyle w:val="TableBody"/>
              <w:autoSpaceDE w:val="0"/>
              <w:autoSpaceDN w:val="0"/>
              <w:adjustRightInd w:val="0"/>
              <w:jc w:val="both"/>
              <w:rPr>
                <w:rFonts w:cs="Calibri"/>
                <w:sz w:val="15"/>
                <w:szCs w:val="16"/>
              </w:rPr>
            </w:pPr>
            <w:r w:rsidRPr="00A46ADC">
              <w:t>Price of crude oil, average (USD/</w:t>
            </w:r>
            <w:proofErr w:type="spellStart"/>
            <w:r w:rsidRPr="00A46ADC">
              <w:t>bbl</w:t>
            </w:r>
            <w:proofErr w:type="spellEnd"/>
            <w:r w:rsidRPr="00A46ADC">
              <w:t>)</w:t>
            </w:r>
          </w:p>
        </w:tc>
        <w:tc>
          <w:tcPr>
            <w:tcW w:w="709" w:type="dxa"/>
            <w:noWrap/>
            <w:vAlign w:val="center"/>
          </w:tcPr>
          <w:p w14:paraId="00872AC3" w14:textId="77777777" w:rsidR="00DE4516" w:rsidRPr="00A46ADC" w:rsidRDefault="00DE4516" w:rsidP="00DE4516">
            <w:pPr>
              <w:pStyle w:val="TableBody"/>
              <w:autoSpaceDE w:val="0"/>
              <w:autoSpaceDN w:val="0"/>
              <w:adjustRightInd w:val="0"/>
              <w:jc w:val="right"/>
              <w:rPr>
                <w:rFonts w:cs="Calibri"/>
                <w:sz w:val="15"/>
                <w:szCs w:val="16"/>
              </w:rPr>
            </w:pPr>
            <w:r w:rsidRPr="00A46ADC">
              <w:t>96.2</w:t>
            </w:r>
          </w:p>
        </w:tc>
        <w:tc>
          <w:tcPr>
            <w:tcW w:w="709" w:type="dxa"/>
            <w:noWrap/>
            <w:vAlign w:val="center"/>
          </w:tcPr>
          <w:p w14:paraId="5C801FEE" w14:textId="77777777" w:rsidR="00DE4516" w:rsidRPr="00A46ADC" w:rsidRDefault="00DE4516" w:rsidP="00DE4516">
            <w:pPr>
              <w:pStyle w:val="TableBody"/>
              <w:autoSpaceDE w:val="0"/>
              <w:autoSpaceDN w:val="0"/>
              <w:adjustRightInd w:val="0"/>
              <w:jc w:val="right"/>
              <w:rPr>
                <w:rFonts w:cs="Calibri"/>
                <w:sz w:val="15"/>
                <w:szCs w:val="16"/>
              </w:rPr>
            </w:pPr>
            <w:r w:rsidRPr="00A46ADC">
              <w:t>50.8</w:t>
            </w:r>
          </w:p>
        </w:tc>
        <w:tc>
          <w:tcPr>
            <w:tcW w:w="708" w:type="dxa"/>
            <w:noWrap/>
            <w:vAlign w:val="center"/>
          </w:tcPr>
          <w:p w14:paraId="3A55C3EE" w14:textId="77777777" w:rsidR="00DE4516" w:rsidRPr="00A46ADC" w:rsidRDefault="00DE4516" w:rsidP="00DE4516">
            <w:pPr>
              <w:pStyle w:val="TableBody"/>
              <w:autoSpaceDE w:val="0"/>
              <w:autoSpaceDN w:val="0"/>
              <w:adjustRightInd w:val="0"/>
              <w:jc w:val="right"/>
              <w:rPr>
                <w:rFonts w:cs="Calibri"/>
                <w:sz w:val="15"/>
                <w:szCs w:val="16"/>
              </w:rPr>
            </w:pPr>
            <w:r w:rsidRPr="00A46ADC">
              <w:t>42.8</w:t>
            </w:r>
          </w:p>
        </w:tc>
        <w:tc>
          <w:tcPr>
            <w:tcW w:w="709" w:type="dxa"/>
            <w:noWrap/>
            <w:vAlign w:val="center"/>
          </w:tcPr>
          <w:p w14:paraId="074A57EF" w14:textId="77777777" w:rsidR="00DE4516" w:rsidRPr="00A46ADC" w:rsidRDefault="00DE4516" w:rsidP="00DE4516">
            <w:pPr>
              <w:pStyle w:val="TableBody"/>
              <w:autoSpaceDE w:val="0"/>
              <w:autoSpaceDN w:val="0"/>
              <w:adjustRightInd w:val="0"/>
              <w:jc w:val="right"/>
              <w:rPr>
                <w:rFonts w:cs="Calibri"/>
                <w:sz w:val="15"/>
                <w:szCs w:val="16"/>
              </w:rPr>
            </w:pPr>
            <w:r w:rsidRPr="00A46ADC">
              <w:t>52.8</w:t>
            </w:r>
          </w:p>
        </w:tc>
        <w:tc>
          <w:tcPr>
            <w:tcW w:w="709" w:type="dxa"/>
            <w:noWrap/>
            <w:vAlign w:val="center"/>
          </w:tcPr>
          <w:p w14:paraId="4A1C1077" w14:textId="77777777" w:rsidR="00DE4516" w:rsidRPr="00A46ADC" w:rsidRDefault="00DE4516" w:rsidP="00DE4516">
            <w:pPr>
              <w:pStyle w:val="TableBody"/>
              <w:autoSpaceDE w:val="0"/>
              <w:autoSpaceDN w:val="0"/>
              <w:adjustRightInd w:val="0"/>
              <w:jc w:val="right"/>
              <w:rPr>
                <w:rFonts w:cs="Calibri"/>
                <w:sz w:val="15"/>
                <w:szCs w:val="16"/>
              </w:rPr>
            </w:pPr>
            <w:r w:rsidRPr="00A46ADC">
              <w:t>68.3</w:t>
            </w:r>
          </w:p>
        </w:tc>
        <w:tc>
          <w:tcPr>
            <w:tcW w:w="709" w:type="dxa"/>
            <w:noWrap/>
            <w:vAlign w:val="center"/>
          </w:tcPr>
          <w:p w14:paraId="31B07841" w14:textId="77777777" w:rsidR="00DE4516" w:rsidRPr="00A46ADC" w:rsidRDefault="00DE4516" w:rsidP="00DE4516">
            <w:pPr>
              <w:pStyle w:val="TableBody"/>
              <w:autoSpaceDE w:val="0"/>
              <w:autoSpaceDN w:val="0"/>
              <w:adjustRightInd w:val="0"/>
              <w:jc w:val="right"/>
              <w:rPr>
                <w:rFonts w:cs="Calibri"/>
                <w:sz w:val="15"/>
                <w:szCs w:val="16"/>
              </w:rPr>
            </w:pPr>
            <w:r w:rsidRPr="00A46ADC">
              <w:t>61.4</w:t>
            </w:r>
          </w:p>
        </w:tc>
        <w:tc>
          <w:tcPr>
            <w:tcW w:w="662" w:type="dxa"/>
            <w:noWrap/>
            <w:vAlign w:val="center"/>
          </w:tcPr>
          <w:p w14:paraId="5A0212FA" w14:textId="77777777" w:rsidR="00DE4516" w:rsidRPr="00A46ADC" w:rsidRDefault="00DE4516" w:rsidP="00DE4516">
            <w:pPr>
              <w:pStyle w:val="TableBody"/>
              <w:autoSpaceDE w:val="0"/>
              <w:autoSpaceDN w:val="0"/>
              <w:adjustRightInd w:val="0"/>
              <w:jc w:val="right"/>
              <w:rPr>
                <w:rFonts w:cs="Calibri"/>
                <w:sz w:val="15"/>
                <w:szCs w:val="16"/>
              </w:rPr>
            </w:pPr>
            <w:r w:rsidRPr="00A46ADC">
              <w:t>41.3</w:t>
            </w:r>
          </w:p>
        </w:tc>
      </w:tr>
      <w:tr w:rsidR="00DE4516" w:rsidRPr="00045A4A" w14:paraId="0BA201F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199B4481" w14:textId="77777777" w:rsidR="00DE4516" w:rsidRPr="00A46ADC" w:rsidRDefault="00DE4516" w:rsidP="00DE4516">
            <w:pPr>
              <w:pStyle w:val="TableBody"/>
              <w:autoSpaceDE w:val="0"/>
              <w:autoSpaceDN w:val="0"/>
              <w:adjustRightInd w:val="0"/>
              <w:jc w:val="both"/>
              <w:rPr>
                <w:rFonts w:cs="Calibri"/>
                <w:sz w:val="15"/>
                <w:szCs w:val="16"/>
              </w:rPr>
            </w:pPr>
            <w:r w:rsidRPr="00A46ADC">
              <w:t>Nominal effective exchange rate</w:t>
            </w:r>
          </w:p>
        </w:tc>
        <w:tc>
          <w:tcPr>
            <w:tcW w:w="709" w:type="dxa"/>
            <w:noWrap/>
            <w:vAlign w:val="center"/>
          </w:tcPr>
          <w:p w14:paraId="749FBBD0" w14:textId="77777777" w:rsidR="00DE4516" w:rsidRPr="00A46ADC" w:rsidRDefault="00DE4516" w:rsidP="00DE4516">
            <w:pPr>
              <w:pStyle w:val="TableBody"/>
              <w:autoSpaceDE w:val="0"/>
              <w:autoSpaceDN w:val="0"/>
              <w:adjustRightInd w:val="0"/>
              <w:jc w:val="right"/>
              <w:rPr>
                <w:rFonts w:cs="Calibri"/>
                <w:sz w:val="15"/>
                <w:szCs w:val="16"/>
              </w:rPr>
            </w:pPr>
            <w:r w:rsidRPr="00A46ADC">
              <w:t>104</w:t>
            </w:r>
          </w:p>
        </w:tc>
        <w:tc>
          <w:tcPr>
            <w:tcW w:w="709" w:type="dxa"/>
            <w:noWrap/>
            <w:vAlign w:val="center"/>
          </w:tcPr>
          <w:p w14:paraId="2EF5082F" w14:textId="77777777" w:rsidR="00DE4516" w:rsidRPr="00A46ADC" w:rsidRDefault="00DE4516" w:rsidP="00DE4516">
            <w:pPr>
              <w:pStyle w:val="TableBody"/>
              <w:autoSpaceDE w:val="0"/>
              <w:autoSpaceDN w:val="0"/>
              <w:adjustRightInd w:val="0"/>
              <w:jc w:val="right"/>
              <w:rPr>
                <w:rFonts w:cs="Calibri"/>
                <w:sz w:val="15"/>
                <w:szCs w:val="16"/>
              </w:rPr>
            </w:pPr>
            <w:r w:rsidRPr="00A46ADC">
              <w:t>112</w:t>
            </w:r>
          </w:p>
        </w:tc>
        <w:tc>
          <w:tcPr>
            <w:tcW w:w="708" w:type="dxa"/>
            <w:noWrap/>
            <w:vAlign w:val="center"/>
          </w:tcPr>
          <w:p w14:paraId="0947C307" w14:textId="77777777" w:rsidR="00DE4516" w:rsidRPr="00A46ADC" w:rsidRDefault="00DE4516" w:rsidP="00DE4516">
            <w:pPr>
              <w:pStyle w:val="TableBody"/>
              <w:autoSpaceDE w:val="0"/>
              <w:autoSpaceDN w:val="0"/>
              <w:adjustRightInd w:val="0"/>
              <w:jc w:val="right"/>
              <w:rPr>
                <w:rFonts w:cs="Calibri"/>
                <w:sz w:val="15"/>
                <w:szCs w:val="16"/>
              </w:rPr>
            </w:pPr>
            <w:r w:rsidRPr="00A46ADC">
              <w:t>113</w:t>
            </w:r>
          </w:p>
        </w:tc>
        <w:tc>
          <w:tcPr>
            <w:tcW w:w="709" w:type="dxa"/>
            <w:noWrap/>
            <w:vAlign w:val="center"/>
          </w:tcPr>
          <w:p w14:paraId="21118FC1" w14:textId="77777777" w:rsidR="00DE4516" w:rsidRPr="00A46ADC" w:rsidRDefault="00DE4516" w:rsidP="00DE4516">
            <w:pPr>
              <w:pStyle w:val="TableBody"/>
              <w:autoSpaceDE w:val="0"/>
              <w:autoSpaceDN w:val="0"/>
              <w:adjustRightInd w:val="0"/>
              <w:jc w:val="right"/>
              <w:rPr>
                <w:rFonts w:cs="Calibri"/>
                <w:sz w:val="15"/>
                <w:szCs w:val="16"/>
              </w:rPr>
            </w:pPr>
            <w:r w:rsidRPr="00A46ADC">
              <w:t>114</w:t>
            </w:r>
          </w:p>
        </w:tc>
        <w:tc>
          <w:tcPr>
            <w:tcW w:w="709" w:type="dxa"/>
            <w:noWrap/>
            <w:vAlign w:val="center"/>
          </w:tcPr>
          <w:p w14:paraId="39C49909" w14:textId="77777777" w:rsidR="00DE4516" w:rsidRPr="00A46ADC" w:rsidRDefault="00DE4516" w:rsidP="00DE4516">
            <w:pPr>
              <w:pStyle w:val="TableBody"/>
              <w:autoSpaceDE w:val="0"/>
              <w:autoSpaceDN w:val="0"/>
              <w:adjustRightInd w:val="0"/>
              <w:jc w:val="right"/>
              <w:rPr>
                <w:rFonts w:cs="Calibri"/>
                <w:sz w:val="15"/>
                <w:szCs w:val="16"/>
              </w:rPr>
            </w:pPr>
            <w:r w:rsidRPr="00A46ADC">
              <w:t>113</w:t>
            </w:r>
          </w:p>
        </w:tc>
        <w:tc>
          <w:tcPr>
            <w:tcW w:w="709" w:type="dxa"/>
            <w:noWrap/>
            <w:vAlign w:val="center"/>
          </w:tcPr>
          <w:p w14:paraId="462FB168" w14:textId="77777777" w:rsidR="00DE4516" w:rsidRPr="00A46ADC" w:rsidRDefault="00DE4516" w:rsidP="00DE4516">
            <w:pPr>
              <w:pStyle w:val="TableBody"/>
              <w:autoSpaceDE w:val="0"/>
              <w:autoSpaceDN w:val="0"/>
              <w:adjustRightInd w:val="0"/>
              <w:jc w:val="right"/>
              <w:rPr>
                <w:rFonts w:cs="Calibri"/>
                <w:sz w:val="15"/>
                <w:szCs w:val="16"/>
              </w:rPr>
            </w:pPr>
            <w:r w:rsidRPr="00A46ADC">
              <w:t>116</w:t>
            </w:r>
          </w:p>
        </w:tc>
        <w:tc>
          <w:tcPr>
            <w:tcW w:w="662" w:type="dxa"/>
            <w:noWrap/>
            <w:vAlign w:val="center"/>
          </w:tcPr>
          <w:p w14:paraId="2EB5B308" w14:textId="77777777" w:rsidR="00DE4516" w:rsidRPr="00A46ADC" w:rsidRDefault="00DE4516" w:rsidP="00DE4516">
            <w:pPr>
              <w:pStyle w:val="TableBody"/>
              <w:autoSpaceDE w:val="0"/>
              <w:autoSpaceDN w:val="0"/>
              <w:adjustRightInd w:val="0"/>
              <w:jc w:val="right"/>
              <w:rPr>
                <w:rFonts w:cs="Calibri"/>
                <w:sz w:val="15"/>
                <w:szCs w:val="16"/>
              </w:rPr>
            </w:pPr>
            <w:r w:rsidRPr="00A46ADC">
              <w:t>117</w:t>
            </w:r>
          </w:p>
        </w:tc>
      </w:tr>
      <w:tr w:rsidR="00DE4516" w:rsidRPr="00045A4A" w14:paraId="63F8B751" w14:textId="77777777" w:rsidTr="002C718D">
        <w:trPr>
          <w:cantSplit/>
        </w:trPr>
        <w:tc>
          <w:tcPr>
            <w:tcW w:w="4106" w:type="dxa"/>
            <w:vAlign w:val="center"/>
            <w:hideMark/>
          </w:tcPr>
          <w:p w14:paraId="613316B5" w14:textId="77777777" w:rsidR="00DE4516" w:rsidRPr="00A46ADC" w:rsidRDefault="00DE4516" w:rsidP="00DE4516">
            <w:pPr>
              <w:pStyle w:val="TableBody"/>
              <w:autoSpaceDE w:val="0"/>
              <w:autoSpaceDN w:val="0"/>
              <w:adjustRightInd w:val="0"/>
              <w:jc w:val="both"/>
              <w:rPr>
                <w:rFonts w:cs="Calibri"/>
                <w:sz w:val="15"/>
                <w:szCs w:val="16"/>
              </w:rPr>
            </w:pPr>
            <w:r w:rsidRPr="00A46ADC">
              <w:t>Total reserves (USD billion)</w:t>
            </w:r>
          </w:p>
        </w:tc>
        <w:tc>
          <w:tcPr>
            <w:tcW w:w="709" w:type="dxa"/>
            <w:noWrap/>
            <w:vAlign w:val="center"/>
            <w:hideMark/>
          </w:tcPr>
          <w:p w14:paraId="7FFB08BF" w14:textId="77777777" w:rsidR="00DE4516" w:rsidRPr="00A46ADC" w:rsidRDefault="00DE4516" w:rsidP="00DE4516">
            <w:pPr>
              <w:pStyle w:val="TableBody"/>
              <w:autoSpaceDE w:val="0"/>
              <w:autoSpaceDN w:val="0"/>
              <w:adjustRightInd w:val="0"/>
              <w:jc w:val="right"/>
              <w:rPr>
                <w:rFonts w:cs="Calibri"/>
                <w:sz w:val="15"/>
                <w:szCs w:val="16"/>
              </w:rPr>
            </w:pPr>
            <w:r w:rsidRPr="00A46ADC">
              <w:t>16.3</w:t>
            </w:r>
          </w:p>
        </w:tc>
        <w:tc>
          <w:tcPr>
            <w:tcW w:w="709" w:type="dxa"/>
            <w:noWrap/>
            <w:vAlign w:val="center"/>
            <w:hideMark/>
          </w:tcPr>
          <w:p w14:paraId="5C8B9646" w14:textId="77777777" w:rsidR="00DE4516" w:rsidRPr="00A46ADC" w:rsidRDefault="00DE4516" w:rsidP="00DE4516">
            <w:pPr>
              <w:pStyle w:val="TableBody"/>
              <w:autoSpaceDE w:val="0"/>
              <w:autoSpaceDN w:val="0"/>
              <w:adjustRightInd w:val="0"/>
              <w:jc w:val="right"/>
              <w:rPr>
                <w:rFonts w:cs="Calibri"/>
                <w:sz w:val="15"/>
                <w:szCs w:val="16"/>
              </w:rPr>
            </w:pPr>
            <w:r w:rsidRPr="00A46ADC">
              <w:t>17.5</w:t>
            </w:r>
          </w:p>
        </w:tc>
        <w:tc>
          <w:tcPr>
            <w:tcW w:w="708" w:type="dxa"/>
            <w:noWrap/>
            <w:vAlign w:val="center"/>
            <w:hideMark/>
          </w:tcPr>
          <w:p w14:paraId="7210E440" w14:textId="77777777" w:rsidR="00DE4516" w:rsidRPr="00A46ADC" w:rsidRDefault="00DE4516" w:rsidP="00DE4516">
            <w:pPr>
              <w:pStyle w:val="TableBody"/>
              <w:autoSpaceDE w:val="0"/>
              <w:autoSpaceDN w:val="0"/>
              <w:adjustRightInd w:val="0"/>
              <w:jc w:val="right"/>
              <w:rPr>
                <w:rFonts w:cs="Calibri"/>
                <w:sz w:val="15"/>
                <w:szCs w:val="16"/>
              </w:rPr>
            </w:pPr>
            <w:r w:rsidRPr="00A46ADC">
              <w:t>20.3</w:t>
            </w:r>
          </w:p>
        </w:tc>
        <w:tc>
          <w:tcPr>
            <w:tcW w:w="709" w:type="dxa"/>
            <w:noWrap/>
            <w:vAlign w:val="center"/>
            <w:hideMark/>
          </w:tcPr>
          <w:p w14:paraId="0D116FE0" w14:textId="77777777" w:rsidR="00DE4516" w:rsidRPr="00A46ADC" w:rsidRDefault="00DE4516" w:rsidP="00DE4516">
            <w:pPr>
              <w:pStyle w:val="TableBody"/>
              <w:autoSpaceDE w:val="0"/>
              <w:autoSpaceDN w:val="0"/>
              <w:adjustRightInd w:val="0"/>
              <w:jc w:val="right"/>
              <w:rPr>
                <w:rFonts w:cs="Calibri"/>
                <w:sz w:val="15"/>
                <w:szCs w:val="16"/>
              </w:rPr>
            </w:pPr>
            <w:r w:rsidRPr="00A46ADC">
              <w:t>16.1</w:t>
            </w:r>
          </w:p>
        </w:tc>
        <w:tc>
          <w:tcPr>
            <w:tcW w:w="709" w:type="dxa"/>
            <w:noWrap/>
            <w:vAlign w:val="center"/>
            <w:hideMark/>
          </w:tcPr>
          <w:p w14:paraId="70FDAB54" w14:textId="77777777" w:rsidR="00DE4516" w:rsidRPr="00A46ADC" w:rsidRDefault="00DE4516" w:rsidP="00DE4516">
            <w:pPr>
              <w:pStyle w:val="TableBody"/>
              <w:autoSpaceDE w:val="0"/>
              <w:autoSpaceDN w:val="0"/>
              <w:adjustRightInd w:val="0"/>
              <w:jc w:val="right"/>
              <w:rPr>
                <w:rFonts w:cs="Calibri"/>
                <w:sz w:val="15"/>
                <w:szCs w:val="16"/>
              </w:rPr>
            </w:pPr>
            <w:r w:rsidRPr="00A46ADC">
              <w:t>17.4</w:t>
            </w:r>
          </w:p>
        </w:tc>
        <w:tc>
          <w:tcPr>
            <w:tcW w:w="709" w:type="dxa"/>
            <w:noWrap/>
            <w:vAlign w:val="center"/>
            <w:hideMark/>
          </w:tcPr>
          <w:p w14:paraId="4EA2B63E" w14:textId="77777777" w:rsidR="00DE4516" w:rsidRPr="00A46ADC" w:rsidRDefault="00DE4516" w:rsidP="00DE4516">
            <w:pPr>
              <w:pStyle w:val="TableBody"/>
              <w:autoSpaceDE w:val="0"/>
              <w:autoSpaceDN w:val="0"/>
              <w:adjustRightInd w:val="0"/>
              <w:jc w:val="right"/>
              <w:rPr>
                <w:rFonts w:cs="Calibri"/>
                <w:sz w:val="15"/>
                <w:szCs w:val="16"/>
              </w:rPr>
            </w:pPr>
            <w:r w:rsidRPr="00A46ADC">
              <w:t>16.7</w:t>
            </w:r>
          </w:p>
        </w:tc>
        <w:tc>
          <w:tcPr>
            <w:tcW w:w="662" w:type="dxa"/>
            <w:noWrap/>
            <w:vAlign w:val="center"/>
            <w:hideMark/>
          </w:tcPr>
          <w:p w14:paraId="533644C2" w14:textId="77777777" w:rsidR="00DE4516" w:rsidRPr="00A46ADC" w:rsidRDefault="00DE4516" w:rsidP="00DE4516">
            <w:pPr>
              <w:pStyle w:val="TableBody"/>
              <w:autoSpaceDE w:val="0"/>
              <w:autoSpaceDN w:val="0"/>
              <w:adjustRightInd w:val="0"/>
              <w:jc w:val="right"/>
              <w:rPr>
                <w:rFonts w:cs="Calibri"/>
                <w:sz w:val="15"/>
                <w:szCs w:val="16"/>
              </w:rPr>
            </w:pPr>
            <w:r w:rsidRPr="00A46ADC">
              <w:t>15.0</w:t>
            </w:r>
          </w:p>
        </w:tc>
      </w:tr>
      <w:tr w:rsidR="00DE4516" w:rsidRPr="00045A4A" w14:paraId="4785EA54"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579D8D65"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Total reserves in months of imports</w:t>
            </w:r>
          </w:p>
        </w:tc>
        <w:tc>
          <w:tcPr>
            <w:tcW w:w="709" w:type="dxa"/>
            <w:noWrap/>
            <w:vAlign w:val="center"/>
            <w:hideMark/>
          </w:tcPr>
          <w:p w14:paraId="524635E7" w14:textId="77777777" w:rsidR="00DE4516" w:rsidRPr="00A46ADC" w:rsidRDefault="00DE4516" w:rsidP="00DE4516">
            <w:pPr>
              <w:pStyle w:val="TableBody"/>
              <w:autoSpaceDE w:val="0"/>
              <w:autoSpaceDN w:val="0"/>
              <w:adjustRightInd w:val="0"/>
              <w:jc w:val="right"/>
              <w:rPr>
                <w:rFonts w:cs="Calibri"/>
                <w:sz w:val="15"/>
                <w:szCs w:val="16"/>
              </w:rPr>
            </w:pPr>
            <w:r w:rsidRPr="00A46ADC">
              <w:t>4.5</w:t>
            </w:r>
          </w:p>
        </w:tc>
        <w:tc>
          <w:tcPr>
            <w:tcW w:w="709" w:type="dxa"/>
            <w:noWrap/>
            <w:vAlign w:val="center"/>
            <w:hideMark/>
          </w:tcPr>
          <w:p w14:paraId="6A8ED36E" w14:textId="77777777" w:rsidR="00DE4516" w:rsidRPr="00A46ADC" w:rsidRDefault="00DE4516" w:rsidP="00DE4516">
            <w:pPr>
              <w:pStyle w:val="TableBody"/>
              <w:autoSpaceDE w:val="0"/>
              <w:autoSpaceDN w:val="0"/>
              <w:adjustRightInd w:val="0"/>
              <w:jc w:val="right"/>
              <w:rPr>
                <w:rFonts w:cs="Calibri"/>
                <w:sz w:val="15"/>
                <w:szCs w:val="16"/>
              </w:rPr>
            </w:pPr>
            <w:r w:rsidRPr="00A46ADC">
              <w:t>5.3</w:t>
            </w:r>
          </w:p>
        </w:tc>
        <w:tc>
          <w:tcPr>
            <w:tcW w:w="708" w:type="dxa"/>
            <w:noWrap/>
            <w:vAlign w:val="center"/>
            <w:hideMark/>
          </w:tcPr>
          <w:p w14:paraId="04520E1D" w14:textId="77777777" w:rsidR="00DE4516" w:rsidRPr="00A46ADC" w:rsidRDefault="00DE4516" w:rsidP="00DE4516">
            <w:pPr>
              <w:pStyle w:val="TableBody"/>
              <w:autoSpaceDE w:val="0"/>
              <w:autoSpaceDN w:val="0"/>
              <w:adjustRightInd w:val="0"/>
              <w:jc w:val="right"/>
              <w:rPr>
                <w:rFonts w:cs="Calibri"/>
                <w:sz w:val="15"/>
                <w:szCs w:val="16"/>
              </w:rPr>
            </w:pPr>
            <w:r w:rsidRPr="00A46ADC">
              <w:t>7.1</w:t>
            </w:r>
          </w:p>
        </w:tc>
        <w:tc>
          <w:tcPr>
            <w:tcW w:w="709" w:type="dxa"/>
            <w:noWrap/>
            <w:vAlign w:val="center"/>
            <w:hideMark/>
          </w:tcPr>
          <w:p w14:paraId="5AF41845" w14:textId="77777777" w:rsidR="00DE4516" w:rsidRPr="00A46ADC" w:rsidRDefault="00DE4516" w:rsidP="00DE4516">
            <w:pPr>
              <w:pStyle w:val="TableBody"/>
              <w:autoSpaceDE w:val="0"/>
              <w:autoSpaceDN w:val="0"/>
              <w:adjustRightInd w:val="0"/>
              <w:jc w:val="right"/>
              <w:rPr>
                <w:rFonts w:cs="Calibri"/>
                <w:sz w:val="15"/>
                <w:szCs w:val="16"/>
              </w:rPr>
            </w:pPr>
            <w:r w:rsidRPr="00A46ADC">
              <w:t>4.9</w:t>
            </w:r>
          </w:p>
        </w:tc>
        <w:tc>
          <w:tcPr>
            <w:tcW w:w="709" w:type="dxa"/>
            <w:noWrap/>
            <w:vAlign w:val="center"/>
            <w:hideMark/>
          </w:tcPr>
          <w:p w14:paraId="6153EF93" w14:textId="77777777" w:rsidR="00DE4516" w:rsidRPr="00A46ADC" w:rsidRDefault="00DE4516" w:rsidP="00DE4516">
            <w:pPr>
              <w:pStyle w:val="TableBody"/>
              <w:autoSpaceDE w:val="0"/>
              <w:autoSpaceDN w:val="0"/>
              <w:adjustRightInd w:val="0"/>
              <w:jc w:val="right"/>
              <w:rPr>
                <w:rFonts w:cs="Calibri"/>
                <w:sz w:val="15"/>
                <w:szCs w:val="16"/>
              </w:rPr>
            </w:pPr>
            <w:r w:rsidRPr="00A46ADC">
              <w:t>5.0</w:t>
            </w:r>
          </w:p>
        </w:tc>
        <w:tc>
          <w:tcPr>
            <w:tcW w:w="709" w:type="dxa"/>
            <w:noWrap/>
            <w:vAlign w:val="center"/>
            <w:hideMark/>
          </w:tcPr>
          <w:p w14:paraId="6C1AB271" w14:textId="77777777" w:rsidR="00DE4516" w:rsidRPr="00A46ADC" w:rsidRDefault="00DE4516" w:rsidP="00DE4516">
            <w:pPr>
              <w:pStyle w:val="TableBody"/>
              <w:autoSpaceDE w:val="0"/>
              <w:autoSpaceDN w:val="0"/>
              <w:adjustRightInd w:val="0"/>
              <w:jc w:val="right"/>
              <w:rPr>
                <w:rFonts w:cs="Calibri"/>
                <w:sz w:val="15"/>
                <w:szCs w:val="16"/>
              </w:rPr>
            </w:pPr>
            <w:r w:rsidRPr="00A46ADC">
              <w:t>5.0</w:t>
            </w:r>
          </w:p>
        </w:tc>
        <w:tc>
          <w:tcPr>
            <w:tcW w:w="662" w:type="dxa"/>
            <w:noWrap/>
            <w:vAlign w:val="center"/>
            <w:hideMark/>
          </w:tcPr>
          <w:p w14:paraId="573C834C" w14:textId="77777777" w:rsidR="00DE4516" w:rsidRPr="00A46ADC" w:rsidRDefault="00DE4516" w:rsidP="00DE4516">
            <w:pPr>
              <w:pStyle w:val="TableBody"/>
              <w:autoSpaceDE w:val="0"/>
              <w:autoSpaceDN w:val="0"/>
              <w:adjustRightInd w:val="0"/>
              <w:jc w:val="right"/>
              <w:rPr>
                <w:rFonts w:cs="Calibri"/>
                <w:sz w:val="15"/>
                <w:szCs w:val="16"/>
              </w:rPr>
            </w:pPr>
            <w:r w:rsidRPr="00A46ADC">
              <w:t>6.5</w:t>
            </w:r>
          </w:p>
        </w:tc>
      </w:tr>
      <w:tr w:rsidR="00DE4516" w:rsidRPr="00045A4A" w14:paraId="76290DE5" w14:textId="77777777" w:rsidTr="002C718D">
        <w:trPr>
          <w:cantSplit/>
        </w:trPr>
        <w:tc>
          <w:tcPr>
            <w:tcW w:w="4106" w:type="dxa"/>
            <w:noWrap/>
            <w:vAlign w:val="center"/>
            <w:hideMark/>
          </w:tcPr>
          <w:p w14:paraId="777B6BAF" w14:textId="77777777" w:rsidR="00DE4516" w:rsidRPr="00A46ADC" w:rsidRDefault="00DE4516" w:rsidP="00DE4516">
            <w:pPr>
              <w:pStyle w:val="TableBody"/>
              <w:autoSpaceDE w:val="0"/>
              <w:autoSpaceDN w:val="0"/>
              <w:adjustRightInd w:val="0"/>
              <w:jc w:val="both"/>
              <w:rPr>
                <w:rFonts w:cs="Calibri"/>
                <w:sz w:val="15"/>
                <w:szCs w:val="16"/>
              </w:rPr>
            </w:pPr>
            <w:r w:rsidRPr="00A46ADC">
              <w:lastRenderedPageBreak/>
              <w:t>Total gross external debt (% of GDP)</w:t>
            </w:r>
          </w:p>
        </w:tc>
        <w:tc>
          <w:tcPr>
            <w:tcW w:w="709" w:type="dxa"/>
            <w:noWrap/>
            <w:vAlign w:val="center"/>
            <w:hideMark/>
          </w:tcPr>
          <w:p w14:paraId="54DF0A3D" w14:textId="77777777" w:rsidR="00DE4516" w:rsidRPr="00A46ADC" w:rsidRDefault="00DE4516" w:rsidP="00DE4516">
            <w:pPr>
              <w:pStyle w:val="TableBody"/>
              <w:autoSpaceDE w:val="0"/>
              <w:autoSpaceDN w:val="0"/>
              <w:adjustRightInd w:val="0"/>
              <w:jc w:val="right"/>
              <w:rPr>
                <w:rFonts w:cs="Calibri"/>
                <w:sz w:val="15"/>
                <w:szCs w:val="16"/>
              </w:rPr>
            </w:pPr>
            <w:r w:rsidRPr="00A46ADC">
              <w:t>28.2</w:t>
            </w:r>
          </w:p>
        </w:tc>
        <w:tc>
          <w:tcPr>
            <w:tcW w:w="709" w:type="dxa"/>
            <w:noWrap/>
            <w:vAlign w:val="center"/>
            <w:hideMark/>
          </w:tcPr>
          <w:p w14:paraId="0B98B522" w14:textId="77777777" w:rsidR="00DE4516" w:rsidRPr="00A46ADC" w:rsidRDefault="00DE4516" w:rsidP="00DE4516">
            <w:pPr>
              <w:pStyle w:val="TableBody"/>
              <w:autoSpaceDE w:val="0"/>
              <w:autoSpaceDN w:val="0"/>
              <w:adjustRightInd w:val="0"/>
              <w:jc w:val="right"/>
              <w:rPr>
                <w:rFonts w:cs="Calibri"/>
                <w:sz w:val="15"/>
                <w:szCs w:val="16"/>
              </w:rPr>
            </w:pPr>
            <w:r w:rsidRPr="00A46ADC">
              <w:t>50.9</w:t>
            </w:r>
          </w:p>
        </w:tc>
        <w:tc>
          <w:tcPr>
            <w:tcW w:w="708" w:type="dxa"/>
            <w:noWrap/>
            <w:vAlign w:val="center"/>
            <w:hideMark/>
          </w:tcPr>
          <w:p w14:paraId="7C698D33" w14:textId="77777777" w:rsidR="00DE4516" w:rsidRPr="00A46ADC" w:rsidRDefault="00DE4516" w:rsidP="00DE4516">
            <w:pPr>
              <w:pStyle w:val="TableBody"/>
              <w:autoSpaceDE w:val="0"/>
              <w:autoSpaceDN w:val="0"/>
              <w:adjustRightInd w:val="0"/>
              <w:jc w:val="right"/>
              <w:rPr>
                <w:rFonts w:cs="Calibri"/>
                <w:sz w:val="15"/>
                <w:szCs w:val="16"/>
              </w:rPr>
            </w:pPr>
            <w:r w:rsidRPr="00A46ADC">
              <w:t>71.6</w:t>
            </w:r>
          </w:p>
        </w:tc>
        <w:tc>
          <w:tcPr>
            <w:tcW w:w="709" w:type="dxa"/>
            <w:noWrap/>
            <w:vAlign w:val="center"/>
            <w:hideMark/>
          </w:tcPr>
          <w:p w14:paraId="785AD20A" w14:textId="77777777" w:rsidR="00DE4516" w:rsidRPr="00A46ADC" w:rsidRDefault="00DE4516" w:rsidP="00DE4516">
            <w:pPr>
              <w:pStyle w:val="TableBody"/>
              <w:autoSpaceDE w:val="0"/>
              <w:autoSpaceDN w:val="0"/>
              <w:adjustRightInd w:val="0"/>
              <w:jc w:val="right"/>
              <w:rPr>
                <w:rFonts w:cs="Calibri"/>
                <w:sz w:val="15"/>
                <w:szCs w:val="16"/>
              </w:rPr>
            </w:pPr>
            <w:r w:rsidRPr="00A46ADC">
              <w:t>84.9</w:t>
            </w:r>
          </w:p>
        </w:tc>
        <w:tc>
          <w:tcPr>
            <w:tcW w:w="709" w:type="dxa"/>
            <w:noWrap/>
            <w:vAlign w:val="center"/>
            <w:hideMark/>
          </w:tcPr>
          <w:p w14:paraId="4F38B4DB" w14:textId="77777777" w:rsidR="00DE4516" w:rsidRPr="00A46ADC" w:rsidRDefault="00DE4516" w:rsidP="00DE4516">
            <w:pPr>
              <w:pStyle w:val="TableBody"/>
              <w:autoSpaceDE w:val="0"/>
              <w:autoSpaceDN w:val="0"/>
              <w:adjustRightInd w:val="0"/>
              <w:jc w:val="right"/>
              <w:rPr>
                <w:rFonts w:cs="Calibri"/>
                <w:sz w:val="15"/>
                <w:szCs w:val="16"/>
              </w:rPr>
            </w:pPr>
            <w:r w:rsidRPr="00A46ADC">
              <w:t>85.6</w:t>
            </w:r>
          </w:p>
        </w:tc>
        <w:tc>
          <w:tcPr>
            <w:tcW w:w="709" w:type="dxa"/>
            <w:noWrap/>
            <w:vAlign w:val="center"/>
            <w:hideMark/>
          </w:tcPr>
          <w:p w14:paraId="4D7F0CB3" w14:textId="77777777" w:rsidR="00DE4516" w:rsidRPr="00A46ADC" w:rsidRDefault="00DE4516" w:rsidP="00DE4516">
            <w:pPr>
              <w:pStyle w:val="TableBody"/>
              <w:autoSpaceDE w:val="0"/>
              <w:autoSpaceDN w:val="0"/>
              <w:adjustRightInd w:val="0"/>
              <w:jc w:val="right"/>
              <w:rPr>
                <w:rFonts w:cs="Calibri"/>
                <w:sz w:val="15"/>
                <w:szCs w:val="16"/>
              </w:rPr>
            </w:pPr>
            <w:r w:rsidRPr="00A46ADC">
              <w:t>97.7</w:t>
            </w:r>
          </w:p>
        </w:tc>
        <w:tc>
          <w:tcPr>
            <w:tcW w:w="662" w:type="dxa"/>
            <w:noWrap/>
            <w:vAlign w:val="center"/>
            <w:hideMark/>
          </w:tcPr>
          <w:p w14:paraId="1E171262" w14:textId="77777777" w:rsidR="00DE4516" w:rsidRPr="00A46ADC" w:rsidRDefault="00DE4516" w:rsidP="00DE4516">
            <w:pPr>
              <w:pStyle w:val="TableBody"/>
              <w:autoSpaceDE w:val="0"/>
              <w:autoSpaceDN w:val="0"/>
              <w:adjustRightInd w:val="0"/>
              <w:jc w:val="right"/>
              <w:rPr>
                <w:rFonts w:cs="Calibri"/>
                <w:sz w:val="15"/>
                <w:szCs w:val="16"/>
              </w:rPr>
            </w:pPr>
            <w:r w:rsidRPr="00A46ADC">
              <w:t>126.9</w:t>
            </w:r>
          </w:p>
        </w:tc>
      </w:tr>
      <w:tr w:rsidR="00DE4516" w:rsidRPr="00045A4A" w14:paraId="79C9CFA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2006F14C" w14:textId="77777777" w:rsidR="00DE4516" w:rsidRPr="00A46ADC" w:rsidRDefault="00DE4516" w:rsidP="00DE4516">
            <w:pPr>
              <w:pStyle w:val="TableBody"/>
              <w:autoSpaceDE w:val="0"/>
              <w:autoSpaceDN w:val="0"/>
              <w:adjustRightInd w:val="0"/>
              <w:jc w:val="both"/>
              <w:rPr>
                <w:rFonts w:cs="Calibri"/>
                <w:sz w:val="15"/>
                <w:szCs w:val="16"/>
              </w:rPr>
            </w:pPr>
            <w:r w:rsidRPr="00A46ADC">
              <w:t>Current account (% of GDP)</w:t>
            </w:r>
          </w:p>
        </w:tc>
        <w:tc>
          <w:tcPr>
            <w:tcW w:w="709" w:type="dxa"/>
            <w:noWrap/>
            <w:vAlign w:val="center"/>
            <w:hideMark/>
          </w:tcPr>
          <w:p w14:paraId="4563A1B0" w14:textId="77777777" w:rsidR="00DE4516" w:rsidRPr="00A46ADC" w:rsidRDefault="00DE4516" w:rsidP="00DE4516">
            <w:pPr>
              <w:pStyle w:val="TableBody"/>
              <w:autoSpaceDE w:val="0"/>
              <w:autoSpaceDN w:val="0"/>
              <w:adjustRightInd w:val="0"/>
              <w:jc w:val="right"/>
              <w:rPr>
                <w:rFonts w:cs="Calibri"/>
                <w:sz w:val="15"/>
                <w:szCs w:val="16"/>
              </w:rPr>
            </w:pPr>
            <w:r w:rsidRPr="00A46ADC">
              <w:t>5.2</w:t>
            </w:r>
          </w:p>
        </w:tc>
        <w:tc>
          <w:tcPr>
            <w:tcW w:w="709" w:type="dxa"/>
            <w:noWrap/>
            <w:vAlign w:val="center"/>
            <w:hideMark/>
          </w:tcPr>
          <w:p w14:paraId="1A3EB5CE" w14:textId="77777777" w:rsidR="00DE4516" w:rsidRPr="00A46ADC" w:rsidRDefault="00DE4516" w:rsidP="00DE4516">
            <w:pPr>
              <w:pStyle w:val="TableBody"/>
              <w:autoSpaceDE w:val="0"/>
              <w:autoSpaceDN w:val="0"/>
              <w:adjustRightInd w:val="0"/>
              <w:jc w:val="right"/>
              <w:rPr>
                <w:rFonts w:cs="Calibri"/>
                <w:sz w:val="15"/>
                <w:szCs w:val="16"/>
              </w:rPr>
            </w:pPr>
            <w:r w:rsidRPr="00A46ADC">
              <w:t>−16.0</w:t>
            </w:r>
          </w:p>
        </w:tc>
        <w:tc>
          <w:tcPr>
            <w:tcW w:w="708" w:type="dxa"/>
            <w:noWrap/>
            <w:vAlign w:val="center"/>
            <w:hideMark/>
          </w:tcPr>
          <w:p w14:paraId="72D163A5" w14:textId="77777777" w:rsidR="00DE4516" w:rsidRPr="00A46ADC" w:rsidRDefault="00DE4516" w:rsidP="00DE4516">
            <w:pPr>
              <w:pStyle w:val="TableBody"/>
              <w:autoSpaceDE w:val="0"/>
              <w:autoSpaceDN w:val="0"/>
              <w:adjustRightInd w:val="0"/>
              <w:jc w:val="right"/>
              <w:rPr>
                <w:rFonts w:cs="Calibri"/>
                <w:sz w:val="15"/>
                <w:szCs w:val="16"/>
              </w:rPr>
            </w:pPr>
            <w:r w:rsidRPr="00A46ADC">
              <w:t>−19.2</w:t>
            </w:r>
          </w:p>
        </w:tc>
        <w:tc>
          <w:tcPr>
            <w:tcW w:w="709" w:type="dxa"/>
            <w:noWrap/>
            <w:vAlign w:val="center"/>
            <w:hideMark/>
          </w:tcPr>
          <w:p w14:paraId="65E8998A" w14:textId="77777777" w:rsidR="00DE4516" w:rsidRPr="00A46ADC" w:rsidRDefault="00DE4516" w:rsidP="00DE4516">
            <w:pPr>
              <w:pStyle w:val="TableBody"/>
              <w:autoSpaceDE w:val="0"/>
              <w:autoSpaceDN w:val="0"/>
              <w:adjustRightInd w:val="0"/>
              <w:jc w:val="right"/>
              <w:rPr>
                <w:rFonts w:cs="Calibri"/>
                <w:sz w:val="15"/>
                <w:szCs w:val="16"/>
              </w:rPr>
            </w:pPr>
            <w:r w:rsidRPr="00A46ADC">
              <w:t>−15.6</w:t>
            </w:r>
          </w:p>
        </w:tc>
        <w:tc>
          <w:tcPr>
            <w:tcW w:w="709" w:type="dxa"/>
            <w:noWrap/>
            <w:vAlign w:val="center"/>
            <w:hideMark/>
          </w:tcPr>
          <w:p w14:paraId="275732DA" w14:textId="77777777" w:rsidR="00DE4516" w:rsidRPr="00A46ADC" w:rsidRDefault="00DE4516" w:rsidP="00DE4516">
            <w:pPr>
              <w:pStyle w:val="TableBody"/>
              <w:autoSpaceDE w:val="0"/>
              <w:autoSpaceDN w:val="0"/>
              <w:adjustRightInd w:val="0"/>
              <w:jc w:val="right"/>
              <w:rPr>
                <w:rFonts w:cs="Calibri"/>
                <w:sz w:val="15"/>
                <w:szCs w:val="16"/>
              </w:rPr>
            </w:pPr>
            <w:r w:rsidRPr="00A46ADC">
              <w:t>−5.4</w:t>
            </w:r>
          </w:p>
        </w:tc>
        <w:tc>
          <w:tcPr>
            <w:tcW w:w="709" w:type="dxa"/>
            <w:noWrap/>
            <w:vAlign w:val="center"/>
            <w:hideMark/>
          </w:tcPr>
          <w:p w14:paraId="5746A85D" w14:textId="77777777" w:rsidR="00DE4516" w:rsidRPr="00A46ADC" w:rsidRDefault="00DE4516" w:rsidP="00DE4516">
            <w:pPr>
              <w:pStyle w:val="TableBody"/>
              <w:autoSpaceDE w:val="0"/>
              <w:autoSpaceDN w:val="0"/>
              <w:adjustRightInd w:val="0"/>
              <w:jc w:val="right"/>
              <w:rPr>
                <w:rFonts w:cs="Calibri"/>
                <w:sz w:val="15"/>
                <w:szCs w:val="16"/>
              </w:rPr>
            </w:pPr>
            <w:r w:rsidRPr="00A46ADC">
              <w:t>−5.4</w:t>
            </w:r>
          </w:p>
        </w:tc>
        <w:tc>
          <w:tcPr>
            <w:tcW w:w="662" w:type="dxa"/>
            <w:noWrap/>
            <w:vAlign w:val="center"/>
            <w:hideMark/>
          </w:tcPr>
          <w:p w14:paraId="4CB5E973" w14:textId="77777777" w:rsidR="00DE4516" w:rsidRPr="00A46ADC" w:rsidRDefault="00DE4516" w:rsidP="00DE4516">
            <w:pPr>
              <w:pStyle w:val="TableBody"/>
              <w:autoSpaceDE w:val="0"/>
              <w:autoSpaceDN w:val="0"/>
              <w:adjustRightInd w:val="0"/>
              <w:jc w:val="right"/>
              <w:rPr>
                <w:rFonts w:cs="Calibri"/>
                <w:sz w:val="15"/>
                <w:szCs w:val="16"/>
              </w:rPr>
            </w:pPr>
            <w:r w:rsidRPr="00A46ADC">
              <w:t>−12.0</w:t>
            </w:r>
          </w:p>
        </w:tc>
      </w:tr>
      <w:tr w:rsidR="00DE4516" w:rsidRPr="00045A4A" w14:paraId="3D0F2214" w14:textId="77777777" w:rsidTr="002C718D">
        <w:trPr>
          <w:cantSplit/>
        </w:trPr>
        <w:tc>
          <w:tcPr>
            <w:tcW w:w="4106" w:type="dxa"/>
            <w:vAlign w:val="center"/>
            <w:hideMark/>
          </w:tcPr>
          <w:p w14:paraId="4E30CCBB" w14:textId="77777777" w:rsidR="00DE4516" w:rsidRPr="00A46ADC" w:rsidRDefault="00DE4516" w:rsidP="00DE4516">
            <w:pPr>
              <w:pStyle w:val="TableBody"/>
              <w:autoSpaceDE w:val="0"/>
              <w:autoSpaceDN w:val="0"/>
              <w:adjustRightInd w:val="0"/>
              <w:jc w:val="both"/>
              <w:rPr>
                <w:rFonts w:cs="Calibri"/>
                <w:sz w:val="15"/>
                <w:szCs w:val="16"/>
              </w:rPr>
            </w:pPr>
            <w:r w:rsidRPr="00A46ADC">
              <w:t xml:space="preserve">Trade in goods and services (% of GDP, </w:t>
            </w:r>
            <w:proofErr w:type="spellStart"/>
            <w:r w:rsidRPr="00A46ADC">
              <w:t>BoP</w:t>
            </w:r>
            <w:proofErr w:type="spellEnd"/>
            <w:r w:rsidRPr="00A46ADC">
              <w:t xml:space="preserve"> basis)</w:t>
            </w:r>
          </w:p>
        </w:tc>
        <w:tc>
          <w:tcPr>
            <w:tcW w:w="709" w:type="dxa"/>
            <w:noWrap/>
            <w:vAlign w:val="center"/>
            <w:hideMark/>
          </w:tcPr>
          <w:p w14:paraId="412AF448" w14:textId="77777777" w:rsidR="00DE4516" w:rsidRPr="00A46ADC" w:rsidRDefault="00DE4516" w:rsidP="00DE4516">
            <w:pPr>
              <w:pStyle w:val="TableBody"/>
              <w:autoSpaceDE w:val="0"/>
              <w:autoSpaceDN w:val="0"/>
              <w:adjustRightInd w:val="0"/>
              <w:jc w:val="right"/>
              <w:rPr>
                <w:rFonts w:cs="Calibri"/>
                <w:sz w:val="15"/>
                <w:szCs w:val="16"/>
              </w:rPr>
            </w:pPr>
            <w:r w:rsidRPr="00A46ADC">
              <w:t>117.2</w:t>
            </w:r>
          </w:p>
        </w:tc>
        <w:tc>
          <w:tcPr>
            <w:tcW w:w="709" w:type="dxa"/>
            <w:noWrap/>
            <w:vAlign w:val="center"/>
            <w:hideMark/>
          </w:tcPr>
          <w:p w14:paraId="27EA3989" w14:textId="77777777" w:rsidR="00DE4516" w:rsidRPr="00A46ADC" w:rsidRDefault="00DE4516" w:rsidP="00DE4516">
            <w:pPr>
              <w:pStyle w:val="TableBody"/>
              <w:autoSpaceDE w:val="0"/>
              <w:autoSpaceDN w:val="0"/>
              <w:adjustRightInd w:val="0"/>
              <w:jc w:val="right"/>
              <w:rPr>
                <w:rFonts w:cs="Calibri"/>
                <w:sz w:val="15"/>
                <w:szCs w:val="16"/>
              </w:rPr>
            </w:pPr>
            <w:r w:rsidRPr="00A46ADC">
              <w:t>110.9</w:t>
            </w:r>
          </w:p>
        </w:tc>
        <w:tc>
          <w:tcPr>
            <w:tcW w:w="708" w:type="dxa"/>
            <w:noWrap/>
            <w:vAlign w:val="center"/>
            <w:hideMark/>
          </w:tcPr>
          <w:p w14:paraId="5FAE0C44" w14:textId="77777777" w:rsidR="00DE4516" w:rsidRPr="00A46ADC" w:rsidRDefault="00DE4516" w:rsidP="00DE4516">
            <w:pPr>
              <w:pStyle w:val="TableBody"/>
              <w:autoSpaceDE w:val="0"/>
              <w:autoSpaceDN w:val="0"/>
              <w:adjustRightInd w:val="0"/>
              <w:jc w:val="right"/>
              <w:rPr>
                <w:rFonts w:cs="Calibri"/>
                <w:sz w:val="15"/>
                <w:szCs w:val="16"/>
              </w:rPr>
            </w:pPr>
            <w:r w:rsidRPr="00A46ADC">
              <w:t>95.1</w:t>
            </w:r>
          </w:p>
        </w:tc>
        <w:tc>
          <w:tcPr>
            <w:tcW w:w="709" w:type="dxa"/>
            <w:noWrap/>
            <w:vAlign w:val="center"/>
            <w:hideMark/>
          </w:tcPr>
          <w:p w14:paraId="33198231" w14:textId="77777777" w:rsidR="00DE4516" w:rsidRPr="00A46ADC" w:rsidRDefault="00DE4516" w:rsidP="00DE4516">
            <w:pPr>
              <w:pStyle w:val="TableBody"/>
              <w:autoSpaceDE w:val="0"/>
              <w:autoSpaceDN w:val="0"/>
              <w:adjustRightInd w:val="0"/>
              <w:jc w:val="right"/>
              <w:rPr>
                <w:rFonts w:cs="Calibri"/>
                <w:sz w:val="15"/>
                <w:szCs w:val="16"/>
              </w:rPr>
            </w:pPr>
            <w:r w:rsidRPr="00A46ADC">
              <w:t>101.8</w:t>
            </w:r>
          </w:p>
        </w:tc>
        <w:tc>
          <w:tcPr>
            <w:tcW w:w="709" w:type="dxa"/>
            <w:noWrap/>
            <w:vAlign w:val="center"/>
            <w:hideMark/>
          </w:tcPr>
          <w:p w14:paraId="74A46472" w14:textId="77777777" w:rsidR="00DE4516" w:rsidRPr="00A46ADC" w:rsidRDefault="00DE4516" w:rsidP="00DE4516">
            <w:pPr>
              <w:pStyle w:val="TableBody"/>
              <w:autoSpaceDE w:val="0"/>
              <w:autoSpaceDN w:val="0"/>
              <w:adjustRightInd w:val="0"/>
              <w:jc w:val="right"/>
              <w:rPr>
                <w:rFonts w:cs="Calibri"/>
                <w:sz w:val="15"/>
                <w:szCs w:val="16"/>
              </w:rPr>
            </w:pPr>
            <w:r w:rsidRPr="00A46ADC">
              <w:t>102.4</w:t>
            </w:r>
          </w:p>
        </w:tc>
        <w:tc>
          <w:tcPr>
            <w:tcW w:w="709" w:type="dxa"/>
            <w:noWrap/>
            <w:vAlign w:val="center"/>
            <w:hideMark/>
          </w:tcPr>
          <w:p w14:paraId="61AE50AA" w14:textId="77777777" w:rsidR="00DE4516" w:rsidRPr="00A46ADC" w:rsidRDefault="00DE4516" w:rsidP="00DE4516">
            <w:pPr>
              <w:pStyle w:val="TableBody"/>
              <w:autoSpaceDE w:val="0"/>
              <w:autoSpaceDN w:val="0"/>
              <w:adjustRightInd w:val="0"/>
              <w:jc w:val="right"/>
              <w:rPr>
                <w:rFonts w:cs="Calibri"/>
                <w:sz w:val="15"/>
                <w:szCs w:val="16"/>
              </w:rPr>
            </w:pPr>
            <w:r w:rsidRPr="00A46ADC">
              <w:t>99.9</w:t>
            </w:r>
          </w:p>
        </w:tc>
        <w:tc>
          <w:tcPr>
            <w:tcW w:w="662" w:type="dxa"/>
            <w:noWrap/>
            <w:vAlign w:val="center"/>
            <w:hideMark/>
          </w:tcPr>
          <w:p w14:paraId="77596F48" w14:textId="77777777" w:rsidR="00DE4516" w:rsidRPr="00A46ADC" w:rsidRDefault="00DE4516" w:rsidP="00DE4516">
            <w:pPr>
              <w:pStyle w:val="TableBody"/>
              <w:autoSpaceDE w:val="0"/>
              <w:autoSpaceDN w:val="0"/>
              <w:adjustRightInd w:val="0"/>
              <w:jc w:val="right"/>
              <w:rPr>
                <w:rFonts w:cs="Calibri"/>
                <w:sz w:val="15"/>
                <w:szCs w:val="16"/>
              </w:rPr>
            </w:pPr>
            <w:r w:rsidRPr="00A46ADC">
              <w:t>83.2</w:t>
            </w:r>
          </w:p>
        </w:tc>
      </w:tr>
      <w:tr w:rsidR="00DE4516" w:rsidRPr="00045A4A" w14:paraId="3FB3682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vAlign w:val="center"/>
            <w:hideMark/>
          </w:tcPr>
          <w:p w14:paraId="089B3C1A" w14:textId="77777777" w:rsidR="00DE4516" w:rsidRPr="00A46ADC" w:rsidRDefault="00DE4516" w:rsidP="00DE4516">
            <w:pPr>
              <w:pStyle w:val="TableBody"/>
              <w:autoSpaceDE w:val="0"/>
              <w:autoSpaceDN w:val="0"/>
              <w:adjustRightInd w:val="0"/>
              <w:jc w:val="both"/>
              <w:rPr>
                <w:rFonts w:cs="Calibri"/>
                <w:sz w:val="15"/>
                <w:szCs w:val="16"/>
              </w:rPr>
            </w:pPr>
            <w:r w:rsidRPr="00A46ADC">
              <w:t>Workers' remittance outflows (USD billion)</w:t>
            </w:r>
          </w:p>
        </w:tc>
        <w:tc>
          <w:tcPr>
            <w:tcW w:w="709" w:type="dxa"/>
            <w:noWrap/>
            <w:vAlign w:val="center"/>
            <w:hideMark/>
          </w:tcPr>
          <w:p w14:paraId="465D54F6" w14:textId="77777777" w:rsidR="00DE4516" w:rsidRPr="00A46ADC" w:rsidRDefault="00DE4516" w:rsidP="00DE4516">
            <w:pPr>
              <w:pStyle w:val="TableBody"/>
              <w:autoSpaceDE w:val="0"/>
              <w:autoSpaceDN w:val="0"/>
              <w:adjustRightInd w:val="0"/>
              <w:jc w:val="right"/>
              <w:rPr>
                <w:rFonts w:cs="Calibri"/>
                <w:sz w:val="15"/>
                <w:szCs w:val="16"/>
              </w:rPr>
            </w:pPr>
            <w:r w:rsidRPr="00A46ADC">
              <w:t>10.3</w:t>
            </w:r>
          </w:p>
        </w:tc>
        <w:tc>
          <w:tcPr>
            <w:tcW w:w="709" w:type="dxa"/>
            <w:noWrap/>
            <w:vAlign w:val="center"/>
            <w:hideMark/>
          </w:tcPr>
          <w:p w14:paraId="05913EF5" w14:textId="77777777" w:rsidR="00DE4516" w:rsidRPr="00A46ADC" w:rsidRDefault="00DE4516" w:rsidP="00DE4516">
            <w:pPr>
              <w:pStyle w:val="TableBody"/>
              <w:autoSpaceDE w:val="0"/>
              <w:autoSpaceDN w:val="0"/>
              <w:adjustRightInd w:val="0"/>
              <w:jc w:val="right"/>
              <w:rPr>
                <w:rFonts w:cs="Calibri"/>
                <w:sz w:val="15"/>
                <w:szCs w:val="16"/>
              </w:rPr>
            </w:pPr>
            <w:r w:rsidRPr="00A46ADC">
              <w:t>11.0</w:t>
            </w:r>
          </w:p>
        </w:tc>
        <w:tc>
          <w:tcPr>
            <w:tcW w:w="708" w:type="dxa"/>
            <w:noWrap/>
            <w:vAlign w:val="center"/>
            <w:hideMark/>
          </w:tcPr>
          <w:p w14:paraId="3028EB76" w14:textId="77777777" w:rsidR="00DE4516" w:rsidRPr="00A46ADC" w:rsidRDefault="00DE4516" w:rsidP="00DE4516">
            <w:pPr>
              <w:pStyle w:val="TableBody"/>
              <w:autoSpaceDE w:val="0"/>
              <w:autoSpaceDN w:val="0"/>
              <w:adjustRightInd w:val="0"/>
              <w:jc w:val="right"/>
              <w:rPr>
                <w:rFonts w:cs="Calibri"/>
                <w:sz w:val="15"/>
                <w:szCs w:val="16"/>
              </w:rPr>
            </w:pPr>
            <w:r w:rsidRPr="00A46ADC">
              <w:t>10.3</w:t>
            </w:r>
          </w:p>
        </w:tc>
        <w:tc>
          <w:tcPr>
            <w:tcW w:w="709" w:type="dxa"/>
            <w:noWrap/>
            <w:vAlign w:val="center"/>
            <w:hideMark/>
          </w:tcPr>
          <w:p w14:paraId="2CDDD906" w14:textId="77777777" w:rsidR="00DE4516" w:rsidRPr="00A46ADC" w:rsidRDefault="00DE4516" w:rsidP="00DE4516">
            <w:pPr>
              <w:pStyle w:val="TableBody"/>
              <w:autoSpaceDE w:val="0"/>
              <w:autoSpaceDN w:val="0"/>
              <w:adjustRightInd w:val="0"/>
              <w:jc w:val="right"/>
              <w:rPr>
                <w:rFonts w:cs="Calibri"/>
                <w:sz w:val="15"/>
                <w:szCs w:val="16"/>
              </w:rPr>
            </w:pPr>
            <w:r w:rsidRPr="00A46ADC">
              <w:t>9.8</w:t>
            </w:r>
          </w:p>
        </w:tc>
        <w:tc>
          <w:tcPr>
            <w:tcW w:w="709" w:type="dxa"/>
            <w:noWrap/>
            <w:vAlign w:val="center"/>
            <w:hideMark/>
          </w:tcPr>
          <w:p w14:paraId="55DB75C6" w14:textId="77777777" w:rsidR="00DE4516" w:rsidRPr="00A46ADC" w:rsidRDefault="00DE4516" w:rsidP="00DE4516">
            <w:pPr>
              <w:pStyle w:val="TableBody"/>
              <w:autoSpaceDE w:val="0"/>
              <w:autoSpaceDN w:val="0"/>
              <w:adjustRightInd w:val="0"/>
              <w:jc w:val="right"/>
              <w:rPr>
                <w:rFonts w:cs="Calibri"/>
                <w:sz w:val="15"/>
                <w:szCs w:val="16"/>
              </w:rPr>
            </w:pPr>
            <w:r w:rsidRPr="00A46ADC">
              <w:t>10.0</w:t>
            </w:r>
          </w:p>
        </w:tc>
        <w:tc>
          <w:tcPr>
            <w:tcW w:w="709" w:type="dxa"/>
            <w:noWrap/>
            <w:vAlign w:val="center"/>
            <w:hideMark/>
          </w:tcPr>
          <w:p w14:paraId="5F42086A" w14:textId="77777777" w:rsidR="00DE4516" w:rsidRPr="00A46ADC" w:rsidRDefault="00DE4516" w:rsidP="00DE4516">
            <w:pPr>
              <w:pStyle w:val="TableBody"/>
              <w:autoSpaceDE w:val="0"/>
              <w:autoSpaceDN w:val="0"/>
              <w:adjustRightInd w:val="0"/>
              <w:jc w:val="right"/>
              <w:rPr>
                <w:rFonts w:cs="Calibri"/>
                <w:sz w:val="15"/>
                <w:szCs w:val="16"/>
              </w:rPr>
            </w:pPr>
            <w:r w:rsidRPr="00A46ADC">
              <w:t>9.1</w:t>
            </w:r>
          </w:p>
        </w:tc>
        <w:tc>
          <w:tcPr>
            <w:tcW w:w="662" w:type="dxa"/>
            <w:noWrap/>
            <w:vAlign w:val="center"/>
            <w:hideMark/>
          </w:tcPr>
          <w:p w14:paraId="0349C266" w14:textId="77777777" w:rsidR="00DE4516" w:rsidRPr="00A46ADC" w:rsidRDefault="00DE4516" w:rsidP="00DE4516">
            <w:pPr>
              <w:pStyle w:val="TableBody"/>
              <w:autoSpaceDE w:val="0"/>
              <w:autoSpaceDN w:val="0"/>
              <w:adjustRightInd w:val="0"/>
              <w:jc w:val="right"/>
              <w:rPr>
                <w:rFonts w:cs="Calibri"/>
                <w:sz w:val="15"/>
                <w:szCs w:val="16"/>
              </w:rPr>
            </w:pPr>
            <w:r w:rsidRPr="00A46ADC">
              <w:t>8.8</w:t>
            </w:r>
          </w:p>
        </w:tc>
      </w:tr>
      <w:tr w:rsidR="00DE4516" w:rsidRPr="00045A4A" w14:paraId="3F374966" w14:textId="77777777" w:rsidTr="002C718D">
        <w:trPr>
          <w:cantSplit/>
        </w:trPr>
        <w:tc>
          <w:tcPr>
            <w:tcW w:w="4106" w:type="dxa"/>
            <w:noWrap/>
            <w:vAlign w:val="center"/>
            <w:hideMark/>
          </w:tcPr>
          <w:p w14:paraId="60AF29E9" w14:textId="77777777" w:rsidR="00DE4516" w:rsidRPr="00A46ADC" w:rsidRDefault="00DE4516" w:rsidP="00DE4516">
            <w:pPr>
              <w:pStyle w:val="TableBody"/>
              <w:autoSpaceDE w:val="0"/>
              <w:autoSpaceDN w:val="0"/>
              <w:adjustRightInd w:val="0"/>
              <w:jc w:val="both"/>
              <w:rPr>
                <w:rFonts w:cs="Calibri"/>
                <w:sz w:val="15"/>
                <w:szCs w:val="16"/>
              </w:rPr>
            </w:pPr>
            <w:r w:rsidRPr="00A46ADC">
              <w:t>FDI flows (USD billion)</w:t>
            </w:r>
          </w:p>
        </w:tc>
        <w:tc>
          <w:tcPr>
            <w:tcW w:w="709" w:type="dxa"/>
            <w:noWrap/>
            <w:vAlign w:val="center"/>
            <w:hideMark/>
          </w:tcPr>
          <w:p w14:paraId="3AE7B1A7"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65971D9F" w14:textId="77777777" w:rsidR="00DE4516" w:rsidRPr="00A46ADC" w:rsidRDefault="00DE4516" w:rsidP="00DE4516">
            <w:pPr>
              <w:pStyle w:val="TableBody"/>
              <w:autoSpaceDE w:val="0"/>
              <w:autoSpaceDN w:val="0"/>
              <w:adjustRightInd w:val="0"/>
              <w:jc w:val="right"/>
            </w:pPr>
          </w:p>
        </w:tc>
        <w:tc>
          <w:tcPr>
            <w:tcW w:w="708" w:type="dxa"/>
            <w:noWrap/>
            <w:vAlign w:val="center"/>
            <w:hideMark/>
          </w:tcPr>
          <w:p w14:paraId="71584150"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61CE911F"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4CA2443A" w14:textId="77777777" w:rsidR="00DE4516" w:rsidRPr="00A46ADC" w:rsidRDefault="00DE4516" w:rsidP="00DE4516">
            <w:pPr>
              <w:pStyle w:val="TableBody"/>
              <w:autoSpaceDE w:val="0"/>
              <w:autoSpaceDN w:val="0"/>
              <w:adjustRightInd w:val="0"/>
              <w:jc w:val="right"/>
            </w:pPr>
          </w:p>
        </w:tc>
        <w:tc>
          <w:tcPr>
            <w:tcW w:w="709" w:type="dxa"/>
            <w:noWrap/>
            <w:vAlign w:val="center"/>
            <w:hideMark/>
          </w:tcPr>
          <w:p w14:paraId="0820497A" w14:textId="77777777" w:rsidR="00DE4516" w:rsidRPr="00A46ADC" w:rsidRDefault="00DE4516" w:rsidP="00DE4516">
            <w:pPr>
              <w:pStyle w:val="TableBody"/>
              <w:autoSpaceDE w:val="0"/>
              <w:autoSpaceDN w:val="0"/>
              <w:adjustRightInd w:val="0"/>
              <w:jc w:val="right"/>
            </w:pPr>
          </w:p>
        </w:tc>
        <w:tc>
          <w:tcPr>
            <w:tcW w:w="662" w:type="dxa"/>
            <w:noWrap/>
            <w:vAlign w:val="center"/>
            <w:hideMark/>
          </w:tcPr>
          <w:p w14:paraId="59AF9015" w14:textId="77777777" w:rsidR="00DE4516" w:rsidRPr="00A46ADC" w:rsidRDefault="00DE4516" w:rsidP="00DE4516">
            <w:pPr>
              <w:pStyle w:val="TableBody"/>
              <w:autoSpaceDE w:val="0"/>
              <w:autoSpaceDN w:val="0"/>
              <w:adjustRightInd w:val="0"/>
              <w:jc w:val="right"/>
            </w:pPr>
          </w:p>
        </w:tc>
      </w:tr>
      <w:tr w:rsidR="00DE4516" w:rsidRPr="00045A4A" w14:paraId="46EBAFC3"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106" w:type="dxa"/>
            <w:noWrap/>
            <w:vAlign w:val="center"/>
            <w:hideMark/>
          </w:tcPr>
          <w:p w14:paraId="4707AABE"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In Oman</w:t>
            </w:r>
          </w:p>
        </w:tc>
        <w:tc>
          <w:tcPr>
            <w:tcW w:w="709" w:type="dxa"/>
            <w:noWrap/>
            <w:vAlign w:val="center"/>
            <w:hideMark/>
          </w:tcPr>
          <w:p w14:paraId="0C2E08F4" w14:textId="77777777" w:rsidR="00DE4516" w:rsidRPr="00A46ADC" w:rsidRDefault="00DE4516" w:rsidP="00DE4516">
            <w:pPr>
              <w:pStyle w:val="TableBody"/>
              <w:autoSpaceDE w:val="0"/>
              <w:autoSpaceDN w:val="0"/>
              <w:adjustRightInd w:val="0"/>
              <w:jc w:val="right"/>
              <w:rPr>
                <w:rFonts w:cs="Calibri"/>
                <w:sz w:val="15"/>
                <w:szCs w:val="16"/>
              </w:rPr>
            </w:pPr>
            <w:r w:rsidRPr="00A46ADC">
              <w:t>1.3</w:t>
            </w:r>
          </w:p>
        </w:tc>
        <w:tc>
          <w:tcPr>
            <w:tcW w:w="709" w:type="dxa"/>
            <w:noWrap/>
            <w:vAlign w:val="center"/>
            <w:hideMark/>
          </w:tcPr>
          <w:p w14:paraId="5D1A2885" w14:textId="77777777" w:rsidR="00DE4516" w:rsidRPr="00A46ADC" w:rsidRDefault="00DE4516" w:rsidP="00DE4516">
            <w:pPr>
              <w:pStyle w:val="TableBody"/>
              <w:autoSpaceDE w:val="0"/>
              <w:autoSpaceDN w:val="0"/>
              <w:adjustRightInd w:val="0"/>
              <w:jc w:val="right"/>
              <w:rPr>
                <w:rFonts w:cs="Calibri"/>
                <w:sz w:val="15"/>
                <w:szCs w:val="16"/>
              </w:rPr>
            </w:pPr>
            <w:r w:rsidRPr="00A46ADC">
              <w:t>−2.2</w:t>
            </w:r>
          </w:p>
        </w:tc>
        <w:tc>
          <w:tcPr>
            <w:tcW w:w="708" w:type="dxa"/>
            <w:noWrap/>
            <w:vAlign w:val="center"/>
            <w:hideMark/>
          </w:tcPr>
          <w:p w14:paraId="4F9152C7" w14:textId="77777777" w:rsidR="00DE4516" w:rsidRPr="00A46ADC" w:rsidRDefault="00DE4516" w:rsidP="00DE4516">
            <w:pPr>
              <w:pStyle w:val="TableBody"/>
              <w:autoSpaceDE w:val="0"/>
              <w:autoSpaceDN w:val="0"/>
              <w:adjustRightInd w:val="0"/>
              <w:jc w:val="right"/>
              <w:rPr>
                <w:rFonts w:cs="Calibri"/>
                <w:sz w:val="15"/>
                <w:szCs w:val="16"/>
              </w:rPr>
            </w:pPr>
            <w:r w:rsidRPr="00A46ADC">
              <w:t>2.3</w:t>
            </w:r>
          </w:p>
        </w:tc>
        <w:tc>
          <w:tcPr>
            <w:tcW w:w="709" w:type="dxa"/>
            <w:noWrap/>
            <w:vAlign w:val="center"/>
            <w:hideMark/>
          </w:tcPr>
          <w:p w14:paraId="15217BAE" w14:textId="77777777" w:rsidR="00DE4516" w:rsidRPr="00A46ADC" w:rsidRDefault="00DE4516" w:rsidP="00DE4516">
            <w:pPr>
              <w:pStyle w:val="TableBody"/>
              <w:autoSpaceDE w:val="0"/>
              <w:autoSpaceDN w:val="0"/>
              <w:adjustRightInd w:val="0"/>
              <w:jc w:val="right"/>
              <w:rPr>
                <w:rFonts w:cs="Calibri"/>
                <w:sz w:val="15"/>
                <w:szCs w:val="16"/>
              </w:rPr>
            </w:pPr>
            <w:r w:rsidRPr="00A46ADC">
              <w:t>2.9</w:t>
            </w:r>
          </w:p>
        </w:tc>
        <w:tc>
          <w:tcPr>
            <w:tcW w:w="709" w:type="dxa"/>
            <w:noWrap/>
            <w:vAlign w:val="center"/>
            <w:hideMark/>
          </w:tcPr>
          <w:p w14:paraId="40927E74" w14:textId="77777777" w:rsidR="00DE4516" w:rsidRPr="00A46ADC" w:rsidRDefault="00DE4516" w:rsidP="00DE4516">
            <w:pPr>
              <w:pStyle w:val="TableBody"/>
              <w:autoSpaceDE w:val="0"/>
              <w:autoSpaceDN w:val="0"/>
              <w:adjustRightInd w:val="0"/>
              <w:jc w:val="right"/>
              <w:rPr>
                <w:rFonts w:cs="Calibri"/>
                <w:sz w:val="15"/>
                <w:szCs w:val="16"/>
              </w:rPr>
            </w:pPr>
            <w:r w:rsidRPr="00A46ADC">
              <w:t>4.2</w:t>
            </w:r>
          </w:p>
        </w:tc>
        <w:tc>
          <w:tcPr>
            <w:tcW w:w="709" w:type="dxa"/>
            <w:noWrap/>
            <w:vAlign w:val="center"/>
            <w:hideMark/>
          </w:tcPr>
          <w:p w14:paraId="4F0A037A" w14:textId="77777777" w:rsidR="00DE4516" w:rsidRPr="00A46ADC" w:rsidRDefault="00DE4516" w:rsidP="00DE4516">
            <w:pPr>
              <w:pStyle w:val="TableBody"/>
              <w:autoSpaceDE w:val="0"/>
              <w:autoSpaceDN w:val="0"/>
              <w:adjustRightInd w:val="0"/>
              <w:jc w:val="right"/>
              <w:rPr>
                <w:rFonts w:cs="Calibri"/>
                <w:sz w:val="15"/>
                <w:szCs w:val="16"/>
              </w:rPr>
            </w:pPr>
            <w:r w:rsidRPr="00A46ADC">
              <w:t>3.1</w:t>
            </w:r>
          </w:p>
        </w:tc>
        <w:tc>
          <w:tcPr>
            <w:tcW w:w="662" w:type="dxa"/>
            <w:noWrap/>
            <w:vAlign w:val="center"/>
            <w:hideMark/>
          </w:tcPr>
          <w:p w14:paraId="4E344945" w14:textId="77777777" w:rsidR="00DE4516" w:rsidRPr="00A46ADC" w:rsidRDefault="00DE4516" w:rsidP="00DE4516">
            <w:pPr>
              <w:pStyle w:val="TableBody"/>
              <w:autoSpaceDE w:val="0"/>
              <w:autoSpaceDN w:val="0"/>
              <w:adjustRightInd w:val="0"/>
              <w:jc w:val="right"/>
              <w:rPr>
                <w:rFonts w:cs="Calibri"/>
                <w:sz w:val="15"/>
                <w:szCs w:val="16"/>
              </w:rPr>
            </w:pPr>
            <w:r w:rsidRPr="00A46ADC">
              <w:t>4.1</w:t>
            </w:r>
          </w:p>
        </w:tc>
      </w:tr>
      <w:tr w:rsidR="00DE4516" w:rsidRPr="00045A4A" w14:paraId="2CDE37A0" w14:textId="77777777" w:rsidTr="002C718D">
        <w:trPr>
          <w:cantSplit/>
        </w:trPr>
        <w:tc>
          <w:tcPr>
            <w:tcW w:w="4106" w:type="dxa"/>
            <w:tcBorders>
              <w:bottom w:val="single" w:sz="4" w:space="0" w:color="auto"/>
            </w:tcBorders>
            <w:noWrap/>
            <w:vAlign w:val="center"/>
            <w:hideMark/>
          </w:tcPr>
          <w:p w14:paraId="5AC2A18E" w14:textId="77777777" w:rsidR="00DE4516" w:rsidRPr="00A46ADC" w:rsidRDefault="00DE4516" w:rsidP="00DE4516">
            <w:pPr>
              <w:pStyle w:val="TableBody"/>
              <w:autoSpaceDE w:val="0"/>
              <w:autoSpaceDN w:val="0"/>
              <w:adjustRightInd w:val="0"/>
              <w:ind w:left="159"/>
              <w:jc w:val="both"/>
              <w:rPr>
                <w:rFonts w:cs="Calibri"/>
                <w:sz w:val="15"/>
                <w:szCs w:val="16"/>
              </w:rPr>
            </w:pPr>
            <w:r w:rsidRPr="00A46ADC">
              <w:t>Abroad</w:t>
            </w:r>
          </w:p>
        </w:tc>
        <w:tc>
          <w:tcPr>
            <w:tcW w:w="709" w:type="dxa"/>
            <w:tcBorders>
              <w:bottom w:val="single" w:sz="4" w:space="0" w:color="auto"/>
            </w:tcBorders>
            <w:noWrap/>
            <w:vAlign w:val="center"/>
            <w:hideMark/>
          </w:tcPr>
          <w:p w14:paraId="77BCBCFE" w14:textId="77777777" w:rsidR="00DE4516" w:rsidRPr="00A46ADC" w:rsidRDefault="00DE4516" w:rsidP="00DE4516">
            <w:pPr>
              <w:pStyle w:val="TableBody"/>
              <w:autoSpaceDE w:val="0"/>
              <w:autoSpaceDN w:val="0"/>
              <w:adjustRightInd w:val="0"/>
              <w:jc w:val="right"/>
              <w:rPr>
                <w:rFonts w:cs="Calibri"/>
                <w:sz w:val="15"/>
                <w:szCs w:val="16"/>
              </w:rPr>
            </w:pPr>
            <w:r w:rsidRPr="00A46ADC">
              <w:t>1.4</w:t>
            </w:r>
          </w:p>
        </w:tc>
        <w:tc>
          <w:tcPr>
            <w:tcW w:w="709" w:type="dxa"/>
            <w:tcBorders>
              <w:bottom w:val="single" w:sz="4" w:space="0" w:color="auto"/>
            </w:tcBorders>
            <w:noWrap/>
            <w:vAlign w:val="center"/>
            <w:hideMark/>
          </w:tcPr>
          <w:p w14:paraId="1EAB5882" w14:textId="77777777" w:rsidR="00DE4516" w:rsidRPr="00A46ADC" w:rsidRDefault="00DE4516" w:rsidP="00DE4516">
            <w:pPr>
              <w:pStyle w:val="TableBody"/>
              <w:autoSpaceDE w:val="0"/>
              <w:autoSpaceDN w:val="0"/>
              <w:adjustRightInd w:val="0"/>
              <w:jc w:val="right"/>
              <w:rPr>
                <w:rFonts w:cs="Calibri"/>
                <w:sz w:val="15"/>
                <w:szCs w:val="16"/>
              </w:rPr>
            </w:pPr>
            <w:r w:rsidRPr="00A46ADC">
              <w:t>0.3</w:t>
            </w:r>
          </w:p>
        </w:tc>
        <w:tc>
          <w:tcPr>
            <w:tcW w:w="708" w:type="dxa"/>
            <w:tcBorders>
              <w:bottom w:val="single" w:sz="4" w:space="0" w:color="auto"/>
            </w:tcBorders>
            <w:noWrap/>
            <w:vAlign w:val="center"/>
            <w:hideMark/>
          </w:tcPr>
          <w:p w14:paraId="2E6F2CFF" w14:textId="77777777" w:rsidR="00DE4516" w:rsidRPr="00A46ADC" w:rsidRDefault="00DE4516" w:rsidP="00DE4516">
            <w:pPr>
              <w:pStyle w:val="TableBody"/>
              <w:autoSpaceDE w:val="0"/>
              <w:autoSpaceDN w:val="0"/>
              <w:adjustRightInd w:val="0"/>
              <w:jc w:val="right"/>
              <w:rPr>
                <w:rFonts w:cs="Calibri"/>
                <w:sz w:val="15"/>
                <w:szCs w:val="16"/>
              </w:rPr>
            </w:pPr>
            <w:r w:rsidRPr="00A46ADC">
              <w:t>0.4</w:t>
            </w:r>
          </w:p>
        </w:tc>
        <w:tc>
          <w:tcPr>
            <w:tcW w:w="709" w:type="dxa"/>
            <w:tcBorders>
              <w:bottom w:val="single" w:sz="4" w:space="0" w:color="auto"/>
            </w:tcBorders>
            <w:noWrap/>
            <w:vAlign w:val="center"/>
            <w:hideMark/>
          </w:tcPr>
          <w:p w14:paraId="7A1E0E32" w14:textId="77777777" w:rsidR="00DE4516" w:rsidRPr="00A46ADC" w:rsidRDefault="00DE4516" w:rsidP="00DE4516">
            <w:pPr>
              <w:pStyle w:val="TableBody"/>
              <w:autoSpaceDE w:val="0"/>
              <w:autoSpaceDN w:val="0"/>
              <w:adjustRightInd w:val="0"/>
              <w:jc w:val="right"/>
              <w:rPr>
                <w:rFonts w:cs="Calibri"/>
                <w:sz w:val="15"/>
                <w:szCs w:val="16"/>
              </w:rPr>
            </w:pPr>
            <w:r w:rsidRPr="00A46ADC">
              <w:t>2.4</w:t>
            </w:r>
          </w:p>
        </w:tc>
        <w:tc>
          <w:tcPr>
            <w:tcW w:w="709" w:type="dxa"/>
            <w:tcBorders>
              <w:bottom w:val="single" w:sz="4" w:space="0" w:color="auto"/>
            </w:tcBorders>
            <w:noWrap/>
            <w:vAlign w:val="center"/>
            <w:hideMark/>
          </w:tcPr>
          <w:p w14:paraId="6E139304" w14:textId="77777777" w:rsidR="00DE4516" w:rsidRPr="00A46ADC" w:rsidRDefault="00DE4516" w:rsidP="00DE4516">
            <w:pPr>
              <w:pStyle w:val="TableBody"/>
              <w:autoSpaceDE w:val="0"/>
              <w:autoSpaceDN w:val="0"/>
              <w:adjustRightInd w:val="0"/>
              <w:jc w:val="right"/>
              <w:rPr>
                <w:rFonts w:cs="Calibri"/>
                <w:sz w:val="15"/>
                <w:szCs w:val="16"/>
              </w:rPr>
            </w:pPr>
            <w:r w:rsidRPr="00A46ADC">
              <w:t>0.6</w:t>
            </w:r>
          </w:p>
        </w:tc>
        <w:tc>
          <w:tcPr>
            <w:tcW w:w="709" w:type="dxa"/>
            <w:tcBorders>
              <w:bottom w:val="single" w:sz="4" w:space="0" w:color="auto"/>
            </w:tcBorders>
            <w:noWrap/>
            <w:vAlign w:val="center"/>
            <w:hideMark/>
          </w:tcPr>
          <w:p w14:paraId="7FFBEE38" w14:textId="77777777" w:rsidR="00DE4516" w:rsidRPr="00A46ADC" w:rsidRDefault="00DE4516" w:rsidP="00DE4516">
            <w:pPr>
              <w:pStyle w:val="TableBody"/>
              <w:autoSpaceDE w:val="0"/>
              <w:autoSpaceDN w:val="0"/>
              <w:adjustRightInd w:val="0"/>
              <w:jc w:val="right"/>
              <w:rPr>
                <w:rFonts w:cs="Calibri"/>
                <w:sz w:val="15"/>
                <w:szCs w:val="16"/>
              </w:rPr>
            </w:pPr>
            <w:r w:rsidRPr="00A46ADC">
              <w:t>1.1</w:t>
            </w:r>
          </w:p>
        </w:tc>
        <w:tc>
          <w:tcPr>
            <w:tcW w:w="662" w:type="dxa"/>
            <w:tcBorders>
              <w:bottom w:val="single" w:sz="4" w:space="0" w:color="auto"/>
            </w:tcBorders>
            <w:noWrap/>
            <w:vAlign w:val="center"/>
            <w:hideMark/>
          </w:tcPr>
          <w:p w14:paraId="7EEEDE97" w14:textId="77777777" w:rsidR="00DE4516" w:rsidRPr="00A46ADC" w:rsidRDefault="00DE4516" w:rsidP="00DE4516">
            <w:pPr>
              <w:pStyle w:val="TableBody"/>
              <w:autoSpaceDE w:val="0"/>
              <w:autoSpaceDN w:val="0"/>
              <w:adjustRightInd w:val="0"/>
              <w:jc w:val="right"/>
              <w:rPr>
                <w:rFonts w:cs="Calibri"/>
                <w:sz w:val="15"/>
                <w:szCs w:val="16"/>
              </w:rPr>
            </w:pPr>
            <w:r w:rsidRPr="00A46ADC">
              <w:t>1.3</w:t>
            </w:r>
          </w:p>
        </w:tc>
      </w:tr>
    </w:tbl>
    <w:p w14:paraId="3D5B150C" w14:textId="26355C65" w:rsidR="00DE4516" w:rsidRDefault="00DE4516">
      <w:pPr>
        <w:pStyle w:val="TableNote"/>
        <w:autoSpaceDE w:val="0"/>
        <w:autoSpaceDN w:val="0"/>
        <w:adjustRightInd w:val="0"/>
        <w:contextualSpacing w:val="0"/>
      </w:pPr>
      <w:r>
        <w:t>..</w:t>
      </w:r>
      <w:r>
        <w:tab/>
        <w:t>Not available.</w:t>
      </w:r>
    </w:p>
    <w:p w14:paraId="6A433703" w14:textId="77777777" w:rsidR="00DE4516" w:rsidRDefault="00DE4516">
      <w:pPr>
        <w:pStyle w:val="TableSource"/>
        <w:autoSpaceDE w:val="0"/>
        <w:autoSpaceDN w:val="0"/>
        <w:adjustRightInd w:val="0"/>
        <w:rPr>
          <w:szCs w:val="24"/>
        </w:rPr>
      </w:pPr>
      <w:r>
        <w:rPr>
          <w:szCs w:val="24"/>
        </w:rPr>
        <w:t>Source:</w:t>
      </w:r>
      <w:r>
        <w:rPr>
          <w:szCs w:val="24"/>
        </w:rPr>
        <w:tab/>
        <w:t xml:space="preserve">National Centre for Statistics and Information, Data Portal. Viewed at: </w:t>
      </w:r>
      <w:hyperlink r:id="rId15" w:history="1">
        <w:r w:rsidRPr="00D5600E">
          <w:rPr>
            <w:color w:val="0000FF"/>
            <w:szCs w:val="24"/>
            <w:u w:val="single"/>
          </w:rPr>
          <w:t>https://data.gov.om/</w:t>
        </w:r>
      </w:hyperlink>
      <w:r>
        <w:rPr>
          <w:szCs w:val="24"/>
        </w:rPr>
        <w:t xml:space="preserve">; Central Bank of Oman (CBO), </w:t>
      </w:r>
      <w:r>
        <w:rPr>
          <w:i/>
          <w:szCs w:val="24"/>
        </w:rPr>
        <w:t>Annual Reports</w:t>
      </w:r>
      <w:r>
        <w:rPr>
          <w:szCs w:val="24"/>
        </w:rPr>
        <w:t xml:space="preserve"> 2018 and 2019 and </w:t>
      </w:r>
      <w:r>
        <w:rPr>
          <w:i/>
          <w:szCs w:val="24"/>
        </w:rPr>
        <w:t>Quarterly Statistical Bulletin</w:t>
      </w:r>
      <w:r>
        <w:rPr>
          <w:szCs w:val="24"/>
        </w:rPr>
        <w:t xml:space="preserve">, December 2020; World Bank, </w:t>
      </w:r>
      <w:r>
        <w:rPr>
          <w:i/>
          <w:szCs w:val="24"/>
        </w:rPr>
        <w:t>Commodity Markets</w:t>
      </w:r>
      <w:r>
        <w:rPr>
          <w:szCs w:val="24"/>
        </w:rPr>
        <w:t xml:space="preserve">. Viewed at: </w:t>
      </w:r>
      <w:hyperlink r:id="rId16" w:history="1">
        <w:r w:rsidRPr="00D5600E">
          <w:rPr>
            <w:color w:val="0000FF"/>
            <w:szCs w:val="24"/>
            <w:u w:val="single"/>
          </w:rPr>
          <w:t>https://www.worldbank.org/en/research/commodity-markets</w:t>
        </w:r>
      </w:hyperlink>
      <w:r>
        <w:rPr>
          <w:szCs w:val="24"/>
        </w:rPr>
        <w:t xml:space="preserve">; IMF data. Viewed at: </w:t>
      </w:r>
      <w:hyperlink r:id="rId17" w:history="1">
        <w:r w:rsidRPr="00D5600E">
          <w:rPr>
            <w:color w:val="0000FF"/>
            <w:szCs w:val="24"/>
            <w:u w:val="single"/>
          </w:rPr>
          <w:t>https://data.imf.org/</w:t>
        </w:r>
      </w:hyperlink>
      <w:r>
        <w:rPr>
          <w:szCs w:val="24"/>
        </w:rPr>
        <w:t xml:space="preserve">; and UNCTAD Stat. Viewed at: </w:t>
      </w:r>
      <w:hyperlink r:id="rId18" w:history="1">
        <w:r w:rsidRPr="00D5600E">
          <w:rPr>
            <w:color w:val="0000FF"/>
            <w:szCs w:val="24"/>
            <w:u w:val="single"/>
          </w:rPr>
          <w:t>https://unctadstat.unctad.org/EN/</w:t>
        </w:r>
      </w:hyperlink>
      <w:r>
        <w:rPr>
          <w:szCs w:val="24"/>
        </w:rPr>
        <w:t>.</w:t>
      </w:r>
    </w:p>
    <w:p w14:paraId="2FA25D23" w14:textId="77777777" w:rsidR="00DE4516" w:rsidRDefault="00DE4516">
      <w:pPr>
        <w:pStyle w:val="BodyText0"/>
        <w:autoSpaceDE w:val="0"/>
        <w:autoSpaceDN w:val="0"/>
        <w:adjustRightInd w:val="0"/>
        <w:rPr>
          <w:szCs w:val="24"/>
        </w:rPr>
      </w:pPr>
      <w:r>
        <w:rPr>
          <w:szCs w:val="24"/>
        </w:rPr>
        <w:t>Net exports of goods and services were the main driver for economic growth during the review period (</w:t>
      </w:r>
      <w:r>
        <w:rPr>
          <w:rStyle w:val="citefig"/>
          <w:szCs w:val="24"/>
        </w:rPr>
        <w:t>Chart 1.1</w:t>
      </w:r>
      <w:r>
        <w:rPr>
          <w:szCs w:val="24"/>
        </w:rPr>
        <w:t>). In the first half of the review period, the economic expansion can also be attributed to the non</w:t>
      </w:r>
      <w:r>
        <w:rPr>
          <w:szCs w:val="24"/>
        </w:rPr>
        <w:noBreakHyphen/>
        <w:t>oil sector, especially to infrastructure investment resulted from implementing the National Programme for Enhancing Economic Diversification (</w:t>
      </w:r>
      <w:proofErr w:type="spellStart"/>
      <w:r>
        <w:rPr>
          <w:szCs w:val="24"/>
        </w:rPr>
        <w:t>Tanfeedh</w:t>
      </w:r>
      <w:proofErr w:type="spellEnd"/>
      <w:r>
        <w:rPr>
          <w:szCs w:val="24"/>
        </w:rPr>
        <w:t xml:space="preserve"> programme).</w:t>
      </w:r>
    </w:p>
    <w:p w14:paraId="02DBC28A" w14:textId="77777777" w:rsidR="00DE4516" w:rsidRDefault="00DE4516">
      <w:pPr>
        <w:pStyle w:val="FigureCaption"/>
        <w:autoSpaceDE w:val="0"/>
        <w:autoSpaceDN w:val="0"/>
        <w:adjustRightInd w:val="0"/>
      </w:pPr>
      <w:r>
        <w:t>Chart 1.1 Expenditure component contributions to GDP growth, 2014-19</w:t>
      </w:r>
    </w:p>
    <w:p w14:paraId="43C2CBCC" w14:textId="77777777" w:rsidR="00DE4516" w:rsidRDefault="00DE4516">
      <w:pPr>
        <w:pStyle w:val="Non-XMLText"/>
        <w:autoSpaceDE w:val="0"/>
        <w:autoSpaceDN w:val="0"/>
        <w:adjustRightInd w:val="0"/>
      </w:pPr>
      <w:r>
        <w:t>[INSERT FIGURE 001]</w:t>
      </w:r>
    </w:p>
    <w:p w14:paraId="23113CA3" w14:textId="77777777" w:rsidR="00DE4516" w:rsidRDefault="00DE4516">
      <w:pPr>
        <w:pStyle w:val="FigureSource"/>
        <w:autoSpaceDE w:val="0"/>
        <w:autoSpaceDN w:val="0"/>
        <w:adjustRightInd w:val="0"/>
        <w:rPr>
          <w:szCs w:val="24"/>
        </w:rPr>
      </w:pPr>
      <w:r>
        <w:rPr>
          <w:szCs w:val="24"/>
        </w:rPr>
        <w:t>Source:</w:t>
      </w:r>
      <w:r>
        <w:rPr>
          <w:szCs w:val="24"/>
        </w:rPr>
        <w:tab/>
        <w:t>WTO Secretariat estimates, based on data from the National Centre for Statistics and Information.</w:t>
      </w:r>
    </w:p>
    <w:p w14:paraId="674FF66E" w14:textId="77777777" w:rsidR="00DE4516" w:rsidRDefault="00DE4516">
      <w:pPr>
        <w:pStyle w:val="BodyText0"/>
        <w:autoSpaceDE w:val="0"/>
        <w:autoSpaceDN w:val="0"/>
        <w:adjustRightInd w:val="0"/>
        <w:rPr>
          <w:szCs w:val="24"/>
        </w:rPr>
      </w:pPr>
      <w:r>
        <w:rPr>
          <w:szCs w:val="24"/>
        </w:rPr>
        <w:t>Oman faces a double challenge from low oil prices and the COVID</w:t>
      </w:r>
      <w:r>
        <w:rPr>
          <w:szCs w:val="24"/>
        </w:rPr>
        <w:noBreakHyphen/>
        <w:t>19 pandemic. Since onset of the oil price shock in 2014, the oil sector's GDP has contracted by 1.6% on a year-on-year basis (</w:t>
      </w:r>
      <w:r>
        <w:rPr>
          <w:rStyle w:val="citetbl"/>
          <w:szCs w:val="24"/>
        </w:rPr>
        <w:t>Table 1.1</w:t>
      </w:r>
      <w:r>
        <w:rPr>
          <w:szCs w:val="24"/>
        </w:rPr>
        <w:t>). The contraction was cushioned by the expansion of crude oil production, with average daily output rising from 943,500 barrels per day (bpd) in 2014 to a peak at slightly over 1 million bpd in 2016 (</w:t>
      </w:r>
      <w:r>
        <w:rPr>
          <w:rStyle w:val="citetbl"/>
          <w:szCs w:val="24"/>
        </w:rPr>
        <w:t>Table 4.5</w:t>
      </w:r>
      <w:r>
        <w:rPr>
          <w:szCs w:val="24"/>
        </w:rPr>
        <w:t xml:space="preserve">). Since then, production has declined, </w:t>
      </w:r>
      <w:proofErr w:type="gramStart"/>
      <w:r>
        <w:rPr>
          <w:szCs w:val="24"/>
        </w:rPr>
        <w:t>as a result of</w:t>
      </w:r>
      <w:proofErr w:type="gramEnd"/>
      <w:r>
        <w:rPr>
          <w:szCs w:val="24"/>
        </w:rPr>
        <w:t xml:space="preserve"> the OPEC+ agreement that initially took effect in November 2017</w:t>
      </w:r>
      <w:r w:rsidRPr="00DE4516">
        <w:rPr>
          <w:rStyle w:val="FootnoteReference"/>
        </w:rPr>
        <w:footnoteReference w:id="6"/>
      </w:r>
      <w:r>
        <w:rPr>
          <w:szCs w:val="24"/>
        </w:rPr>
        <w:t>; as of July 2020, production was cut to 760,000 bpd.</w:t>
      </w:r>
      <w:r w:rsidRPr="00DE4516">
        <w:rPr>
          <w:rStyle w:val="FootnoteReference"/>
        </w:rPr>
        <w:footnoteReference w:id="7"/>
      </w:r>
    </w:p>
    <w:p w14:paraId="01ADC32A" w14:textId="77777777" w:rsidR="00DE4516" w:rsidRDefault="00DE4516">
      <w:pPr>
        <w:pStyle w:val="BodyText0"/>
        <w:autoSpaceDE w:val="0"/>
        <w:autoSpaceDN w:val="0"/>
        <w:adjustRightInd w:val="0"/>
        <w:rPr>
          <w:szCs w:val="24"/>
        </w:rPr>
      </w:pPr>
      <w:r>
        <w:rPr>
          <w:szCs w:val="24"/>
        </w:rPr>
        <w:t>The outbreak of the COVID</w:t>
      </w:r>
      <w:r>
        <w:rPr>
          <w:szCs w:val="24"/>
        </w:rPr>
        <w:noBreakHyphen/>
        <w:t>19 pandemic in early 2020 caused a sharp contraction in global activity and abrupt decline in travel and transportation, which resulted in an unprecedented decline in global oil demand, as lockdowns halted many petroleum-intensive economic activities. According to the International Energy Agency (IEA), global oil demand fell from 100 million bpd in the last quarter of 2019 to 83 million bpd in mid-2020. As lockdowns were eased and economic activity restarted, oil demand began to recover in the third quarter of 2020 and is expected to reach 97 million bpd by end-2021 (still below the 2019 level).</w:t>
      </w:r>
      <w:r w:rsidRPr="00DE4516">
        <w:rPr>
          <w:rStyle w:val="FootnoteReference"/>
        </w:rPr>
        <w:footnoteReference w:id="8"/>
      </w:r>
      <w:r>
        <w:rPr>
          <w:szCs w:val="24"/>
        </w:rPr>
        <w:t xml:space="preserve"> Consequently, despite the production cuts, spot and futures prices remained below the pre</w:t>
      </w:r>
      <w:r>
        <w:rPr>
          <w:szCs w:val="24"/>
        </w:rPr>
        <w:noBreakHyphen/>
        <w:t xml:space="preserve">pandemic level, and global oil demand remains </w:t>
      </w:r>
      <w:r>
        <w:rPr>
          <w:szCs w:val="24"/>
        </w:rPr>
        <w:lastRenderedPageBreak/>
        <w:t>susceptible to weaker economic activity that could result from the resurgence of infections.</w:t>
      </w:r>
      <w:r w:rsidRPr="00DE4516">
        <w:rPr>
          <w:rStyle w:val="FootnoteReference"/>
        </w:rPr>
        <w:footnoteReference w:id="9"/>
      </w:r>
      <w:r>
        <w:rPr>
          <w:szCs w:val="24"/>
        </w:rPr>
        <w:t xml:space="preserve"> Real oil GDP contracted by 2.4% in 2020; the decline was shallower compared to those of its GCC neighbours, due to strong oil condensate production that is not covered by the OPEC+ agreement.</w:t>
      </w:r>
    </w:p>
    <w:p w14:paraId="0224D6A3" w14:textId="77777777" w:rsidR="00DE4516" w:rsidRDefault="00DE4516">
      <w:pPr>
        <w:pStyle w:val="BodyText0"/>
        <w:autoSpaceDE w:val="0"/>
        <w:autoSpaceDN w:val="0"/>
        <w:adjustRightInd w:val="0"/>
        <w:rPr>
          <w:szCs w:val="24"/>
        </w:rPr>
      </w:pPr>
      <w:r>
        <w:rPr>
          <w:szCs w:val="24"/>
        </w:rPr>
        <w:t>Oman will benefit from the continued growth in demand for natural gas, which accounts for 25% of hydrocarbon revenues.</w:t>
      </w:r>
    </w:p>
    <w:p w14:paraId="5A4ADD6B" w14:textId="77777777" w:rsidR="00DE4516" w:rsidRDefault="00DE4516">
      <w:pPr>
        <w:pStyle w:val="BodyText0"/>
        <w:autoSpaceDE w:val="0"/>
        <w:autoSpaceDN w:val="0"/>
        <w:adjustRightInd w:val="0"/>
        <w:rPr>
          <w:szCs w:val="24"/>
        </w:rPr>
      </w:pPr>
      <w:r>
        <w:rPr>
          <w:szCs w:val="24"/>
        </w:rPr>
        <w:t>The authorities responded rapidly to contain the spread of COVID</w:t>
      </w:r>
      <w:r>
        <w:rPr>
          <w:szCs w:val="24"/>
        </w:rPr>
        <w:noBreakHyphen/>
        <w:t>19 infections. Measures included a ban on non</w:t>
      </w:r>
      <w:r>
        <w:rPr>
          <w:szCs w:val="24"/>
        </w:rPr>
        <w:noBreakHyphen/>
        <w:t>essential businesses, social distancing requirements, and border restrictions, while increasing health and medical support and social assistance to the population. The swift and well-coordinated response effectively limited the spread of COVID</w:t>
      </w:r>
      <w:r>
        <w:rPr>
          <w:szCs w:val="24"/>
        </w:rPr>
        <w:noBreakHyphen/>
        <w:t>19 in the latter part of 2020, but social distancing and other restrictions weighed heavily on economic activity, and the construction, hospitality, and wholesale and retail trade sectors were particularly hard-hit. According to preliminary data, non</w:t>
      </w:r>
      <w:r>
        <w:rPr>
          <w:szCs w:val="24"/>
        </w:rPr>
        <w:noBreakHyphen/>
        <w:t>hydrocarbon GDP in 2020 contracted by 10% (</w:t>
      </w:r>
      <w:r>
        <w:rPr>
          <w:rStyle w:val="citetbl"/>
          <w:szCs w:val="24"/>
        </w:rPr>
        <w:t>Table 1.3</w:t>
      </w:r>
      <w:r>
        <w:rPr>
          <w:szCs w:val="24"/>
        </w:rPr>
        <w:t>).</w:t>
      </w:r>
    </w:p>
    <w:p w14:paraId="051D372C" w14:textId="77777777" w:rsidR="00DE4516" w:rsidRDefault="00DE4516">
      <w:pPr>
        <w:pStyle w:val="BodyText0"/>
        <w:autoSpaceDE w:val="0"/>
        <w:autoSpaceDN w:val="0"/>
        <w:adjustRightInd w:val="0"/>
        <w:rPr>
          <w:szCs w:val="24"/>
        </w:rPr>
      </w:pPr>
      <w:r>
        <w:rPr>
          <w:szCs w:val="24"/>
        </w:rPr>
        <w:t>Since the oil price shock in 2014, Oman's revenues from oil shrank by 66%, from OMR 10.2 billion in 2014 to OMR 3.4 billion in 2020. Thus, its fiscal and current accounts ran into deficit, which pushed government and external debt up and reduced external buffers (</w:t>
      </w:r>
      <w:r>
        <w:rPr>
          <w:rStyle w:val="citefig"/>
          <w:szCs w:val="24"/>
        </w:rPr>
        <w:t>Chart 1.2</w:t>
      </w:r>
      <w:r>
        <w:rPr>
          <w:szCs w:val="24"/>
        </w:rPr>
        <w:t>). As a result, the authorities have implemented a series of fiscal reforms since 2015, aiming to shift the budget on to a more sustainable trajectory.</w:t>
      </w:r>
    </w:p>
    <w:p w14:paraId="4CDA54FF" w14:textId="77777777" w:rsidR="00DE4516" w:rsidRDefault="00DE4516">
      <w:pPr>
        <w:pStyle w:val="BodyText0"/>
        <w:autoSpaceDE w:val="0"/>
        <w:autoSpaceDN w:val="0"/>
        <w:adjustRightInd w:val="0"/>
        <w:rPr>
          <w:szCs w:val="24"/>
        </w:rPr>
      </w:pPr>
      <w:r>
        <w:rPr>
          <w:szCs w:val="24"/>
        </w:rPr>
        <w:t>On the revenue front, new taxes and other collection enhancement measures were introduced. The corporate income tax was raised from 12% to 15% in 2017, and the exemption allowance of OMR 30,000 (USD 77,900) was abolished. Also, the authorities in 2017 broadened the scope of a 10% withholding tax, which applies to certain payments to foreign individuals. Excise taxes were introduced in June 2019, with a rate of 50% on carbonated drinks, alcohol, and sugar-sweetened drinks, and 100% on tobacco, energy drinks, and pork. The value added tax (VAT), with a standard rate of 5%, was introduced in April 2021; VAT exemptions may be applied to export products, oil, gas, and certain services, such as health, education, local transport, property sales, and financial services.</w:t>
      </w:r>
    </w:p>
    <w:p w14:paraId="6EFB9573" w14:textId="77777777" w:rsidR="00DE4516" w:rsidRDefault="00DE4516">
      <w:pPr>
        <w:pStyle w:val="BodyText0"/>
        <w:autoSpaceDE w:val="0"/>
        <w:autoSpaceDN w:val="0"/>
        <w:adjustRightInd w:val="0"/>
        <w:rPr>
          <w:szCs w:val="24"/>
        </w:rPr>
      </w:pPr>
      <w:r>
        <w:rPr>
          <w:szCs w:val="24"/>
        </w:rPr>
        <w:t>The contribution from customs duties to total government revenue is small, accounting for 2.6% of total revenue on average during the review period. Given the economic structure, the revenues from the VAT and excise tax are collected mostly from imports, although the authorities note that the VAT and excise tax are equally applied to imports and domestically produced products. In 2020, Oman collected OMR 72 million in excise tax revenue.</w:t>
      </w:r>
    </w:p>
    <w:p w14:paraId="44A13C50" w14:textId="77777777" w:rsidR="00DE4516" w:rsidRDefault="00DE4516">
      <w:pPr>
        <w:pStyle w:val="FigureCaption"/>
        <w:autoSpaceDE w:val="0"/>
        <w:autoSpaceDN w:val="0"/>
        <w:adjustRightInd w:val="0"/>
      </w:pPr>
      <w:r>
        <w:t>Chart 1.2 Oil prices, revenues, and fiscal and current account deficits, 2014-20</w:t>
      </w:r>
    </w:p>
    <w:p w14:paraId="78939350" w14:textId="77777777" w:rsidR="00DE4516" w:rsidRDefault="00DE4516">
      <w:pPr>
        <w:pStyle w:val="Non-XMLText"/>
        <w:autoSpaceDE w:val="0"/>
        <w:autoSpaceDN w:val="0"/>
        <w:adjustRightInd w:val="0"/>
      </w:pPr>
      <w:r>
        <w:t>[INSERT FIGURE 002]</w:t>
      </w:r>
    </w:p>
    <w:p w14:paraId="5087647D" w14:textId="77777777" w:rsidR="00DE4516" w:rsidRDefault="00DE4516">
      <w:pPr>
        <w:pStyle w:val="FigureSource"/>
        <w:autoSpaceDE w:val="0"/>
        <w:autoSpaceDN w:val="0"/>
        <w:adjustRightInd w:val="0"/>
        <w:rPr>
          <w:szCs w:val="24"/>
        </w:rPr>
      </w:pPr>
      <w:r>
        <w:rPr>
          <w:szCs w:val="24"/>
        </w:rPr>
        <w:t>Source:</w:t>
      </w:r>
      <w:r>
        <w:rPr>
          <w:szCs w:val="24"/>
        </w:rPr>
        <w:tab/>
        <w:t xml:space="preserve">National Centre for Statistics and Information, Data Portal. Viewed at: </w:t>
      </w:r>
      <w:hyperlink r:id="rId19" w:history="1">
        <w:r w:rsidRPr="00D5600E">
          <w:rPr>
            <w:color w:val="0000FF"/>
            <w:szCs w:val="24"/>
            <w:u w:val="single"/>
          </w:rPr>
          <w:t>https://data.gov.om/</w:t>
        </w:r>
      </w:hyperlink>
      <w:r>
        <w:rPr>
          <w:szCs w:val="24"/>
        </w:rPr>
        <w:t xml:space="preserve">; and World Bank, </w:t>
      </w:r>
      <w:r>
        <w:rPr>
          <w:i/>
          <w:szCs w:val="24"/>
        </w:rPr>
        <w:t>Commodity Markets</w:t>
      </w:r>
      <w:r>
        <w:rPr>
          <w:szCs w:val="24"/>
        </w:rPr>
        <w:t xml:space="preserve">. Viewed at: </w:t>
      </w:r>
      <w:hyperlink r:id="rId20" w:history="1">
        <w:r w:rsidRPr="00D5600E">
          <w:rPr>
            <w:color w:val="0000FF"/>
            <w:szCs w:val="24"/>
            <w:u w:val="single"/>
          </w:rPr>
          <w:t>https://www.worldbank.org/en/research/commodity-markets</w:t>
        </w:r>
      </w:hyperlink>
      <w:r>
        <w:rPr>
          <w:szCs w:val="24"/>
        </w:rPr>
        <w:t>.</w:t>
      </w:r>
    </w:p>
    <w:p w14:paraId="7526F622" w14:textId="77777777" w:rsidR="00DE4516" w:rsidRDefault="00DE4516">
      <w:pPr>
        <w:pStyle w:val="BodyText0"/>
        <w:autoSpaceDE w:val="0"/>
        <w:autoSpaceDN w:val="0"/>
        <w:adjustRightInd w:val="0"/>
        <w:rPr>
          <w:szCs w:val="24"/>
        </w:rPr>
      </w:pPr>
      <w:r>
        <w:rPr>
          <w:szCs w:val="24"/>
        </w:rPr>
        <w:t xml:space="preserve">Although the authorities have made efforts to constrain expenditure, such as reducing subsidies on fuel in 2016 and on electricity for companies in 2017, government expenditure remained rigid during the review period. The Government maintained its commitments to infrastructure investment, as set forth in the </w:t>
      </w:r>
      <w:proofErr w:type="spellStart"/>
      <w:r>
        <w:rPr>
          <w:szCs w:val="24"/>
        </w:rPr>
        <w:t>Tanfeedh</w:t>
      </w:r>
      <w:proofErr w:type="spellEnd"/>
      <w:r>
        <w:rPr>
          <w:szCs w:val="24"/>
        </w:rPr>
        <w:t xml:space="preserve"> programme; during the review period, investment expenditure accounted for 10% of GDP, on average, each year (</w:t>
      </w:r>
      <w:r>
        <w:rPr>
          <w:rStyle w:val="citetbl"/>
          <w:szCs w:val="24"/>
        </w:rPr>
        <w:t>Table 1.3</w:t>
      </w:r>
      <w:r>
        <w:rPr>
          <w:szCs w:val="24"/>
        </w:rPr>
        <w:t>). While phasing out subsidies, the authorities simultaneously introduced schemes to support low-income households so that they are not unduly burdened by the cuts.</w:t>
      </w:r>
    </w:p>
    <w:p w14:paraId="72BD77AD" w14:textId="77777777" w:rsidR="00DE4516" w:rsidRDefault="00DE4516">
      <w:pPr>
        <w:pStyle w:val="BodyText0"/>
        <w:autoSpaceDE w:val="0"/>
        <w:autoSpaceDN w:val="0"/>
        <w:adjustRightInd w:val="0"/>
        <w:rPr>
          <w:szCs w:val="24"/>
        </w:rPr>
      </w:pPr>
      <w:r>
        <w:rPr>
          <w:szCs w:val="24"/>
        </w:rPr>
        <w:t>Facing the COVID</w:t>
      </w:r>
      <w:r>
        <w:rPr>
          <w:szCs w:val="24"/>
        </w:rPr>
        <w:noBreakHyphen/>
        <w:t xml:space="preserve">19 pandemic, the authorities implemented a series of measures to mitigate the impact of the shock. Fiscal measures to support the economy included interest-free emergency loans, </w:t>
      </w:r>
      <w:proofErr w:type="gramStart"/>
      <w:r>
        <w:rPr>
          <w:szCs w:val="24"/>
        </w:rPr>
        <w:t>waiving</w:t>
      </w:r>
      <w:proofErr w:type="gramEnd"/>
      <w:r>
        <w:rPr>
          <w:szCs w:val="24"/>
        </w:rPr>
        <w:t xml:space="preserve"> or reducing selected taxes and fees, flexibility to pay taxes in instalments, and </w:t>
      </w:r>
      <w:r>
        <w:rPr>
          <w:szCs w:val="24"/>
        </w:rPr>
        <w:lastRenderedPageBreak/>
        <w:t>establishing the Job Security Fund to support citizens who lost their jobs.</w:t>
      </w:r>
      <w:r w:rsidRPr="00DE4516">
        <w:rPr>
          <w:rStyle w:val="FootnoteReference"/>
        </w:rPr>
        <w:footnoteReference w:id="10"/>
      </w:r>
      <w:r>
        <w:rPr>
          <w:szCs w:val="24"/>
        </w:rPr>
        <w:t xml:space="preserve"> It is estimated that the scale of these measures is equivalent to 5% of GDP (OMR 1.2 billion).</w:t>
      </w:r>
      <w:r w:rsidRPr="00DE4516">
        <w:rPr>
          <w:rStyle w:val="FootnoteReference"/>
        </w:rPr>
        <w:footnoteReference w:id="11"/>
      </w:r>
    </w:p>
    <w:p w14:paraId="69A51577" w14:textId="77777777" w:rsidR="00DE4516" w:rsidRDefault="00DE4516">
      <w:pPr>
        <w:pStyle w:val="BodyText0"/>
        <w:autoSpaceDE w:val="0"/>
        <w:autoSpaceDN w:val="0"/>
        <w:adjustRightInd w:val="0"/>
        <w:rPr>
          <w:szCs w:val="24"/>
        </w:rPr>
      </w:pPr>
      <w:r>
        <w:rPr>
          <w:szCs w:val="24"/>
        </w:rPr>
        <w:t>Although the efforts of fiscal consolidations managed to stop the rising trend in current spending, they have yet to fully offset the decline in oil revenue. The sharp decline in nominal GDP implied a rise in the debt-to-GDP ratio: In 2020, government gross debt was equivalent to 81% of GDP, up from 60% in 2019 and 5.4% in 2014 (</w:t>
      </w:r>
      <w:r>
        <w:rPr>
          <w:rStyle w:val="citetbl"/>
          <w:szCs w:val="24"/>
        </w:rPr>
        <w:t>Table 1.3</w:t>
      </w:r>
      <w:r>
        <w:rPr>
          <w:szCs w:val="24"/>
        </w:rPr>
        <w:t>). The deficit was financed by external bond issuance, drawdown of central bank and sovereign wealth fund assets, and privatization proceeds.</w:t>
      </w:r>
    </w:p>
    <w:p w14:paraId="7D356C8A" w14:textId="77777777" w:rsidR="00DE4516" w:rsidRDefault="00DE4516">
      <w:pPr>
        <w:pStyle w:val="BodyText0"/>
        <w:autoSpaceDE w:val="0"/>
        <w:autoSpaceDN w:val="0"/>
        <w:adjustRightInd w:val="0"/>
        <w:rPr>
          <w:szCs w:val="24"/>
        </w:rPr>
      </w:pPr>
      <w:r>
        <w:rPr>
          <w:szCs w:val="24"/>
        </w:rPr>
        <w:t>Oman operates a pegged exchange rate regime, fixing the exchange rate of OMR 0.38 per US dollar. The exchange rate peg delivered monetary policy credibility with low and stable inflation</w:t>
      </w:r>
      <w:r w:rsidRPr="00DE4516">
        <w:rPr>
          <w:rStyle w:val="FootnoteReference"/>
        </w:rPr>
        <w:footnoteReference w:id="12"/>
      </w:r>
      <w:r>
        <w:rPr>
          <w:szCs w:val="24"/>
        </w:rPr>
        <w:t xml:space="preserve"> (</w:t>
      </w:r>
      <w:r>
        <w:rPr>
          <w:rStyle w:val="citetbl"/>
          <w:szCs w:val="24"/>
        </w:rPr>
        <w:t>Table 1.3</w:t>
      </w:r>
      <w:r>
        <w:rPr>
          <w:szCs w:val="24"/>
        </w:rPr>
        <w:t>). Under the exchange rate pegging, the Central Bank of Oman (CBO) conducts its monetary policy consistent with the policy by the United States Federal Reserve. The domestic policy rates evolve in line with the movement of US monetary policy target rates.</w:t>
      </w:r>
      <w:r w:rsidRPr="00DE4516">
        <w:rPr>
          <w:rStyle w:val="FootnoteReference"/>
        </w:rPr>
        <w:footnoteReference w:id="13"/>
      </w:r>
      <w:r>
        <w:rPr>
          <w:szCs w:val="24"/>
        </w:rPr>
        <w:t xml:space="preserve"> Currently, the CBO's policy interest rate is 0.5%.</w:t>
      </w:r>
      <w:r w:rsidRPr="00DE4516">
        <w:rPr>
          <w:rStyle w:val="FootnoteReference"/>
        </w:rPr>
        <w:footnoteReference w:id="14"/>
      </w:r>
    </w:p>
    <w:p w14:paraId="0591E312" w14:textId="77777777" w:rsidR="00DE4516" w:rsidRDefault="00DE4516">
      <w:pPr>
        <w:pStyle w:val="BodyText0"/>
        <w:autoSpaceDE w:val="0"/>
        <w:autoSpaceDN w:val="0"/>
        <w:adjustRightInd w:val="0"/>
        <w:rPr>
          <w:szCs w:val="24"/>
        </w:rPr>
      </w:pPr>
      <w:r>
        <w:rPr>
          <w:szCs w:val="24"/>
        </w:rPr>
        <w:t>However, the liquidity in the domestic monetary market is highly associated with oil prices: when oil prices are high, the liquidity increases, hence the interbank rate and lending rates decline; when oil prices are low the reverse occurs. Therefore, oil price-driven liquidity fluctuations can generate an undesired divergence with policy rates and impede monetary policy transmission.</w:t>
      </w:r>
      <w:r w:rsidRPr="00DE4516">
        <w:rPr>
          <w:rStyle w:val="FootnoteReference"/>
        </w:rPr>
        <w:footnoteReference w:id="15"/>
      </w:r>
      <w:r>
        <w:rPr>
          <w:szCs w:val="24"/>
        </w:rPr>
        <w:t xml:space="preserve"> During the review period, the spread between the CBO's policy rate and the market lending rate widened (</w:t>
      </w:r>
      <w:r>
        <w:rPr>
          <w:rStyle w:val="citefig"/>
          <w:szCs w:val="24"/>
        </w:rPr>
        <w:t>Chart 1.3</w:t>
      </w:r>
      <w:r>
        <w:rPr>
          <w:szCs w:val="24"/>
        </w:rPr>
        <w:t>). Under the expectation of persistent low oil prices, Oman's diversification effort through non</w:t>
      </w:r>
      <w:r>
        <w:rPr>
          <w:szCs w:val="24"/>
        </w:rPr>
        <w:noBreakHyphen/>
        <w:t>oil sector growth may be further complicated by external monetary shocks.</w:t>
      </w:r>
    </w:p>
    <w:p w14:paraId="48C0E39C" w14:textId="77777777" w:rsidR="00DE4516" w:rsidRDefault="00DE4516">
      <w:pPr>
        <w:pStyle w:val="FigureCaption"/>
        <w:autoSpaceDE w:val="0"/>
        <w:autoSpaceDN w:val="0"/>
        <w:adjustRightInd w:val="0"/>
      </w:pPr>
      <w:r>
        <w:t>Chart 1.3 Interbank rates and CBO policy rates, 2014Q1-2021Q1</w:t>
      </w:r>
    </w:p>
    <w:p w14:paraId="2AE8A8BF" w14:textId="77777777" w:rsidR="00DE4516" w:rsidRDefault="00DE4516">
      <w:pPr>
        <w:pStyle w:val="Non-XMLText"/>
        <w:autoSpaceDE w:val="0"/>
        <w:autoSpaceDN w:val="0"/>
        <w:adjustRightInd w:val="0"/>
      </w:pPr>
      <w:r>
        <w:t>[INSERT FIGURE 003]</w:t>
      </w:r>
    </w:p>
    <w:p w14:paraId="3A9E6F65" w14:textId="77777777" w:rsidR="00DE4516" w:rsidRDefault="00DE4516">
      <w:pPr>
        <w:pStyle w:val="FigureSource"/>
        <w:autoSpaceDE w:val="0"/>
        <w:autoSpaceDN w:val="0"/>
        <w:adjustRightInd w:val="0"/>
        <w:rPr>
          <w:szCs w:val="24"/>
        </w:rPr>
      </w:pPr>
      <w:r>
        <w:rPr>
          <w:szCs w:val="24"/>
        </w:rPr>
        <w:t>Source:</w:t>
      </w:r>
      <w:r>
        <w:rPr>
          <w:szCs w:val="24"/>
        </w:rPr>
        <w:tab/>
        <w:t>Information provided by the authorities.</w:t>
      </w:r>
    </w:p>
    <w:p w14:paraId="6B243E85" w14:textId="77777777" w:rsidR="00DE4516" w:rsidRDefault="00DE4516">
      <w:pPr>
        <w:pStyle w:val="BodyText0"/>
        <w:autoSpaceDE w:val="0"/>
        <w:autoSpaceDN w:val="0"/>
        <w:adjustRightInd w:val="0"/>
        <w:rPr>
          <w:szCs w:val="24"/>
        </w:rPr>
      </w:pPr>
      <w:r>
        <w:rPr>
          <w:szCs w:val="24"/>
        </w:rPr>
        <w:t>Facing the difficulties caused by COVID</w:t>
      </w:r>
      <w:r>
        <w:rPr>
          <w:szCs w:val="24"/>
        </w:rPr>
        <w:noBreakHyphen/>
        <w:t>19, the CBO eased financial conditions through lower interest rates and liquidity injections, deferred loan instalment payments, and relaxed macro prudential requirements on capital buffers and liquidity ratios.</w:t>
      </w:r>
    </w:p>
    <w:p w14:paraId="687F636F" w14:textId="77777777" w:rsidR="00DE4516" w:rsidRDefault="00DE4516">
      <w:pPr>
        <w:pStyle w:val="BodyText0"/>
        <w:autoSpaceDE w:val="0"/>
        <w:autoSpaceDN w:val="0"/>
        <w:adjustRightInd w:val="0"/>
        <w:rPr>
          <w:szCs w:val="24"/>
        </w:rPr>
      </w:pPr>
      <w:r>
        <w:rPr>
          <w:szCs w:val="24"/>
        </w:rPr>
        <w:t>To maintain fiscal sustainability and support the exchange rate peg over the medium- to long-term, further gradual fiscal adjustment is needed.</w:t>
      </w:r>
      <w:r w:rsidRPr="00DE4516">
        <w:rPr>
          <w:rStyle w:val="FootnoteReference"/>
        </w:rPr>
        <w:footnoteReference w:id="16"/>
      </w:r>
      <w:r>
        <w:rPr>
          <w:szCs w:val="24"/>
        </w:rPr>
        <w:t xml:space="preserve"> Further fiscal reform would also reduce borrowing costs and support higher growth. In this regard, the Fiscal Adjustment Plan (also known as </w:t>
      </w:r>
      <w:proofErr w:type="spellStart"/>
      <w:r>
        <w:rPr>
          <w:szCs w:val="24"/>
        </w:rPr>
        <w:t>Tawazun</w:t>
      </w:r>
      <w:proofErr w:type="spellEnd"/>
      <w:r>
        <w:rPr>
          <w:szCs w:val="24"/>
        </w:rPr>
        <w:t>) was announced in September 2019. Reflecting the challenges by COVID</w:t>
      </w:r>
      <w:r>
        <w:rPr>
          <w:szCs w:val="24"/>
        </w:rPr>
        <w:noBreakHyphen/>
        <w:t>19, the Medium-Term Fiscal Plan was issued in November 2020. Both plans aim to significantly reduce the fiscal deficit and national debt over the period of 2021-25. In addition to the attempt to boost non</w:t>
      </w:r>
      <w:r>
        <w:rPr>
          <w:szCs w:val="24"/>
        </w:rPr>
        <w:noBreakHyphen/>
        <w:t>oil revenues, the plans set forth some key expenditure measures for a broader range of structural reforms, including civil service, energy subsidies, public investment, and expenditure efficiency. According to the IMF, these fiscal adjustments would be key to bringing the external position more in line with fundamentals, bolstering external sustainability, and supporting the currency peg.</w:t>
      </w:r>
    </w:p>
    <w:p w14:paraId="7A16818C" w14:textId="77777777" w:rsidR="00DE4516" w:rsidRDefault="00DE4516">
      <w:pPr>
        <w:pStyle w:val="BodyText0"/>
        <w:autoSpaceDE w:val="0"/>
        <w:autoSpaceDN w:val="0"/>
        <w:adjustRightInd w:val="0"/>
        <w:rPr>
          <w:szCs w:val="24"/>
        </w:rPr>
      </w:pPr>
      <w:r>
        <w:rPr>
          <w:szCs w:val="24"/>
        </w:rPr>
        <w:t>Though the value of merchandise imports declined by about 25% during the review period, merchandise export value dropped by about 28% – mostly owing to low hydrocarbon exports (</w:t>
      </w:r>
      <w:r>
        <w:rPr>
          <w:rStyle w:val="citetbl"/>
          <w:szCs w:val="24"/>
        </w:rPr>
        <w:t>Table 1.4</w:t>
      </w:r>
      <w:r>
        <w:rPr>
          <w:szCs w:val="24"/>
        </w:rPr>
        <w:t xml:space="preserve"> and </w:t>
      </w:r>
      <w:r>
        <w:rPr>
          <w:rStyle w:val="citefig"/>
          <w:szCs w:val="24"/>
        </w:rPr>
        <w:t>Chart 1.2</w:t>
      </w:r>
      <w:r>
        <w:rPr>
          <w:szCs w:val="24"/>
        </w:rPr>
        <w:t xml:space="preserve">). Consequently, the current account has been in deficit since 2015, and is </w:t>
      </w:r>
      <w:r>
        <w:rPr>
          <w:szCs w:val="24"/>
        </w:rPr>
        <w:lastRenderedPageBreak/>
        <w:t>estimated to have widened from 5.4% of GDP in 2019 to 10% in 2020 (</w:t>
      </w:r>
      <w:r>
        <w:rPr>
          <w:rStyle w:val="citetbl"/>
          <w:szCs w:val="24"/>
        </w:rPr>
        <w:t>Table 1.3</w:t>
      </w:r>
      <w:r>
        <w:rPr>
          <w:szCs w:val="24"/>
        </w:rPr>
        <w:t>). International reserves declined slightly to around USD 15 billion (6.5 months of imports), reflecting stable foreign direct investment (FDI) inflows and a bond issuance (</w:t>
      </w:r>
      <w:r>
        <w:rPr>
          <w:rStyle w:val="citetbl"/>
          <w:szCs w:val="24"/>
        </w:rPr>
        <w:t>Table 1.4</w:t>
      </w:r>
      <w:r>
        <w:rPr>
          <w:szCs w:val="24"/>
        </w:rPr>
        <w:t>).</w:t>
      </w:r>
    </w:p>
    <w:p w14:paraId="4C74CB19" w14:textId="77777777" w:rsidR="00DE4516" w:rsidRDefault="00DE4516">
      <w:pPr>
        <w:pStyle w:val="TableTitle"/>
        <w:autoSpaceDE w:val="0"/>
        <w:autoSpaceDN w:val="0"/>
        <w:adjustRightInd w:val="0"/>
      </w:pPr>
      <w:r>
        <w:t>Table 1.4 Balance of payments, 2014-20</w:t>
      </w:r>
    </w:p>
    <w:p w14:paraId="37A06602" w14:textId="77777777" w:rsidR="00DE4516" w:rsidRDefault="00DE4516">
      <w:pPr>
        <w:pStyle w:val="TableTitleCont"/>
        <w:autoSpaceDE w:val="0"/>
        <w:autoSpaceDN w:val="0"/>
        <w:adjustRightInd w:val="0"/>
        <w:rPr>
          <w:b/>
          <w:color w:val="006283"/>
        </w:rPr>
      </w:pPr>
      <w:r>
        <w:rPr>
          <w:b/>
          <w:color w:val="006283"/>
        </w:rPr>
        <w:t>(USD million)</w:t>
      </w:r>
    </w:p>
    <w:tbl>
      <w:tblPr>
        <w:tblStyle w:val="WTOTable1"/>
        <w:tblW w:w="0" w:type="auto"/>
        <w:tblLayout w:type="fixed"/>
        <w:tblLook w:val="05E0" w:firstRow="1" w:lastRow="1" w:firstColumn="1" w:lastColumn="1" w:noHBand="0" w:noVBand="1"/>
      </w:tblPr>
      <w:tblGrid>
        <w:gridCol w:w="2122"/>
        <w:gridCol w:w="969"/>
        <w:gridCol w:w="969"/>
        <w:gridCol w:w="970"/>
        <w:gridCol w:w="969"/>
        <w:gridCol w:w="970"/>
        <w:gridCol w:w="969"/>
        <w:gridCol w:w="970"/>
      </w:tblGrid>
      <w:tr w:rsidR="007F015E" w:rsidRPr="007F015E" w14:paraId="26B23307" w14:textId="77777777" w:rsidTr="002C718D">
        <w:trPr>
          <w:cnfStyle w:val="100000000000" w:firstRow="1" w:lastRow="0" w:firstColumn="0" w:lastColumn="0" w:oddVBand="0" w:evenVBand="0" w:oddHBand="0" w:evenHBand="0" w:firstRowFirstColumn="0" w:firstRowLastColumn="0" w:lastRowFirstColumn="0" w:lastRowLastColumn="0"/>
          <w:cantSplit/>
        </w:trPr>
        <w:tc>
          <w:tcPr>
            <w:tcW w:w="2122" w:type="dxa"/>
            <w:tcBorders>
              <w:top w:val="single" w:sz="4" w:space="0" w:color="auto"/>
            </w:tcBorders>
            <w:noWrap/>
            <w:vAlign w:val="center"/>
            <w:hideMark/>
          </w:tcPr>
          <w:p w14:paraId="146C949E" w14:textId="77777777" w:rsidR="00DE4516" w:rsidRPr="007F015E" w:rsidRDefault="00DE4516" w:rsidP="00DE4516">
            <w:pPr>
              <w:pStyle w:val="TableHead"/>
              <w:autoSpaceDE w:val="0"/>
              <w:autoSpaceDN w:val="0"/>
              <w:adjustRightInd w:val="0"/>
              <w:rPr>
                <w:b/>
              </w:rPr>
            </w:pPr>
          </w:p>
        </w:tc>
        <w:tc>
          <w:tcPr>
            <w:tcW w:w="969" w:type="dxa"/>
            <w:tcBorders>
              <w:top w:val="single" w:sz="4" w:space="0" w:color="auto"/>
            </w:tcBorders>
            <w:noWrap/>
            <w:vAlign w:val="center"/>
            <w:hideMark/>
          </w:tcPr>
          <w:p w14:paraId="248E3955" w14:textId="77777777" w:rsidR="00DE4516" w:rsidRPr="007F015E" w:rsidRDefault="00DE4516" w:rsidP="00DE4516">
            <w:pPr>
              <w:pStyle w:val="TableHead"/>
              <w:autoSpaceDE w:val="0"/>
              <w:autoSpaceDN w:val="0"/>
              <w:adjustRightInd w:val="0"/>
              <w:jc w:val="right"/>
              <w:rPr>
                <w:rFonts w:cs="Calibri"/>
                <w:b/>
                <w:sz w:val="14"/>
                <w:szCs w:val="14"/>
              </w:rPr>
            </w:pPr>
            <w:r w:rsidRPr="007F015E">
              <w:rPr>
                <w:b/>
              </w:rPr>
              <w:t>2014</w:t>
            </w:r>
          </w:p>
        </w:tc>
        <w:tc>
          <w:tcPr>
            <w:tcW w:w="969" w:type="dxa"/>
            <w:tcBorders>
              <w:top w:val="single" w:sz="4" w:space="0" w:color="auto"/>
            </w:tcBorders>
            <w:noWrap/>
            <w:vAlign w:val="center"/>
            <w:hideMark/>
          </w:tcPr>
          <w:p w14:paraId="7F3A33BD" w14:textId="77777777" w:rsidR="00DE4516" w:rsidRPr="007F015E" w:rsidRDefault="00DE4516" w:rsidP="00DE4516">
            <w:pPr>
              <w:pStyle w:val="TableHead"/>
              <w:autoSpaceDE w:val="0"/>
              <w:autoSpaceDN w:val="0"/>
              <w:adjustRightInd w:val="0"/>
              <w:jc w:val="right"/>
              <w:rPr>
                <w:rFonts w:cs="Calibri"/>
                <w:b/>
                <w:sz w:val="14"/>
                <w:szCs w:val="14"/>
              </w:rPr>
            </w:pPr>
            <w:r w:rsidRPr="007F015E">
              <w:rPr>
                <w:b/>
              </w:rPr>
              <w:t>2015</w:t>
            </w:r>
          </w:p>
        </w:tc>
        <w:tc>
          <w:tcPr>
            <w:tcW w:w="970" w:type="dxa"/>
            <w:tcBorders>
              <w:top w:val="single" w:sz="4" w:space="0" w:color="auto"/>
            </w:tcBorders>
            <w:noWrap/>
            <w:vAlign w:val="center"/>
            <w:hideMark/>
          </w:tcPr>
          <w:p w14:paraId="76DFCCE6" w14:textId="77777777" w:rsidR="00DE4516" w:rsidRPr="007F015E" w:rsidRDefault="00DE4516" w:rsidP="00DE4516">
            <w:pPr>
              <w:pStyle w:val="TableHead"/>
              <w:autoSpaceDE w:val="0"/>
              <w:autoSpaceDN w:val="0"/>
              <w:adjustRightInd w:val="0"/>
              <w:jc w:val="right"/>
              <w:rPr>
                <w:rFonts w:cs="Calibri"/>
                <w:b/>
                <w:sz w:val="14"/>
                <w:szCs w:val="14"/>
              </w:rPr>
            </w:pPr>
            <w:r w:rsidRPr="007F015E">
              <w:rPr>
                <w:b/>
              </w:rPr>
              <w:t>2016</w:t>
            </w:r>
          </w:p>
        </w:tc>
        <w:tc>
          <w:tcPr>
            <w:tcW w:w="969" w:type="dxa"/>
            <w:tcBorders>
              <w:top w:val="single" w:sz="4" w:space="0" w:color="auto"/>
            </w:tcBorders>
            <w:noWrap/>
            <w:vAlign w:val="center"/>
            <w:hideMark/>
          </w:tcPr>
          <w:p w14:paraId="02C47B7C" w14:textId="77777777" w:rsidR="00DE4516" w:rsidRPr="007F015E" w:rsidRDefault="00DE4516" w:rsidP="00DE4516">
            <w:pPr>
              <w:pStyle w:val="TableHead"/>
              <w:autoSpaceDE w:val="0"/>
              <w:autoSpaceDN w:val="0"/>
              <w:adjustRightInd w:val="0"/>
              <w:jc w:val="right"/>
              <w:rPr>
                <w:rFonts w:cs="Calibri"/>
                <w:b/>
                <w:sz w:val="14"/>
                <w:szCs w:val="14"/>
              </w:rPr>
            </w:pPr>
            <w:r w:rsidRPr="007F015E">
              <w:rPr>
                <w:b/>
              </w:rPr>
              <w:t>2017</w:t>
            </w:r>
          </w:p>
        </w:tc>
        <w:tc>
          <w:tcPr>
            <w:tcW w:w="970" w:type="dxa"/>
            <w:tcBorders>
              <w:top w:val="single" w:sz="4" w:space="0" w:color="auto"/>
            </w:tcBorders>
            <w:noWrap/>
            <w:vAlign w:val="center"/>
            <w:hideMark/>
          </w:tcPr>
          <w:p w14:paraId="46C1F520" w14:textId="77777777" w:rsidR="00DE4516" w:rsidRPr="007F015E" w:rsidRDefault="00DE4516" w:rsidP="00DE4516">
            <w:pPr>
              <w:pStyle w:val="TableHead"/>
              <w:autoSpaceDE w:val="0"/>
              <w:autoSpaceDN w:val="0"/>
              <w:adjustRightInd w:val="0"/>
              <w:jc w:val="right"/>
              <w:rPr>
                <w:rFonts w:cs="Calibri"/>
                <w:b/>
                <w:sz w:val="14"/>
                <w:szCs w:val="14"/>
              </w:rPr>
            </w:pPr>
            <w:r w:rsidRPr="007F015E">
              <w:rPr>
                <w:b/>
              </w:rPr>
              <w:t>2018</w:t>
            </w:r>
          </w:p>
        </w:tc>
        <w:tc>
          <w:tcPr>
            <w:tcW w:w="969" w:type="dxa"/>
            <w:tcBorders>
              <w:top w:val="single" w:sz="4" w:space="0" w:color="auto"/>
            </w:tcBorders>
            <w:noWrap/>
            <w:vAlign w:val="center"/>
            <w:hideMark/>
          </w:tcPr>
          <w:p w14:paraId="19E5A57F" w14:textId="77777777" w:rsidR="00DE4516" w:rsidRPr="007F015E" w:rsidRDefault="00DE4516" w:rsidP="00DE4516">
            <w:pPr>
              <w:pStyle w:val="TableHead"/>
              <w:autoSpaceDE w:val="0"/>
              <w:autoSpaceDN w:val="0"/>
              <w:adjustRightInd w:val="0"/>
              <w:jc w:val="right"/>
              <w:rPr>
                <w:rFonts w:cs="Calibri"/>
                <w:b/>
                <w:sz w:val="14"/>
                <w:szCs w:val="14"/>
              </w:rPr>
            </w:pPr>
            <w:r w:rsidRPr="007F015E">
              <w:rPr>
                <w:b/>
              </w:rPr>
              <w:t>2019</w:t>
            </w:r>
          </w:p>
        </w:tc>
        <w:tc>
          <w:tcPr>
            <w:tcW w:w="970" w:type="dxa"/>
            <w:tcBorders>
              <w:top w:val="single" w:sz="4" w:space="0" w:color="auto"/>
            </w:tcBorders>
            <w:noWrap/>
            <w:vAlign w:val="center"/>
            <w:hideMark/>
          </w:tcPr>
          <w:p w14:paraId="1A0AAD97" w14:textId="77777777" w:rsidR="00DE4516" w:rsidRPr="007F015E" w:rsidRDefault="00DE4516" w:rsidP="00DE4516">
            <w:pPr>
              <w:pStyle w:val="TableHead"/>
              <w:autoSpaceDE w:val="0"/>
              <w:autoSpaceDN w:val="0"/>
              <w:adjustRightInd w:val="0"/>
              <w:jc w:val="right"/>
              <w:rPr>
                <w:rFonts w:cs="Calibri"/>
                <w:b/>
                <w:sz w:val="14"/>
                <w:szCs w:val="14"/>
              </w:rPr>
            </w:pPr>
            <w:r w:rsidRPr="007F015E">
              <w:rPr>
                <w:b/>
              </w:rPr>
              <w:t>2020</w:t>
            </w:r>
          </w:p>
        </w:tc>
      </w:tr>
      <w:tr w:rsidR="007F015E" w:rsidRPr="00045A4A" w14:paraId="50F70D33" w14:textId="77777777" w:rsidTr="002C718D">
        <w:trPr>
          <w:cantSplit/>
        </w:trPr>
        <w:tc>
          <w:tcPr>
            <w:tcW w:w="2122" w:type="dxa"/>
            <w:vAlign w:val="center"/>
            <w:hideMark/>
          </w:tcPr>
          <w:p w14:paraId="1D5C5DB9"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Current account</w:t>
            </w:r>
          </w:p>
        </w:tc>
        <w:tc>
          <w:tcPr>
            <w:tcW w:w="969" w:type="dxa"/>
            <w:noWrap/>
            <w:vAlign w:val="center"/>
            <w:hideMark/>
          </w:tcPr>
          <w:p w14:paraId="7B84554D"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4,206.3</w:t>
            </w:r>
          </w:p>
        </w:tc>
        <w:tc>
          <w:tcPr>
            <w:tcW w:w="969" w:type="dxa"/>
            <w:noWrap/>
            <w:vAlign w:val="center"/>
            <w:hideMark/>
          </w:tcPr>
          <w:p w14:paraId="1EC955AC"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-10,939.0</w:t>
            </w:r>
          </w:p>
        </w:tc>
        <w:tc>
          <w:tcPr>
            <w:tcW w:w="970" w:type="dxa"/>
            <w:noWrap/>
            <w:vAlign w:val="center"/>
            <w:hideMark/>
          </w:tcPr>
          <w:p w14:paraId="2CE87423"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-12,539.5</w:t>
            </w:r>
          </w:p>
        </w:tc>
        <w:tc>
          <w:tcPr>
            <w:tcW w:w="969" w:type="dxa"/>
            <w:noWrap/>
            <w:vAlign w:val="center"/>
            <w:hideMark/>
          </w:tcPr>
          <w:p w14:paraId="6CBC3595"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-10,980.0</w:t>
            </w:r>
          </w:p>
        </w:tc>
        <w:tc>
          <w:tcPr>
            <w:tcW w:w="970" w:type="dxa"/>
            <w:noWrap/>
            <w:vAlign w:val="center"/>
            <w:hideMark/>
          </w:tcPr>
          <w:p w14:paraId="0B60914A"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-4,287.3</w:t>
            </w:r>
          </w:p>
        </w:tc>
        <w:tc>
          <w:tcPr>
            <w:tcW w:w="969" w:type="dxa"/>
            <w:noWrap/>
            <w:vAlign w:val="center"/>
            <w:hideMark/>
          </w:tcPr>
          <w:p w14:paraId="12B2769D"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-4,140.3</w:t>
            </w:r>
          </w:p>
        </w:tc>
        <w:tc>
          <w:tcPr>
            <w:tcW w:w="970" w:type="dxa"/>
            <w:noWrap/>
            <w:vAlign w:val="center"/>
          </w:tcPr>
          <w:p w14:paraId="637D1763"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-8,659.8</w:t>
            </w:r>
          </w:p>
        </w:tc>
      </w:tr>
      <w:tr w:rsidR="007F015E" w:rsidRPr="00045A4A" w14:paraId="3E45C43D"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30C24E5F"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Goods</w:t>
            </w:r>
          </w:p>
        </w:tc>
        <w:tc>
          <w:tcPr>
            <w:tcW w:w="969" w:type="dxa"/>
            <w:noWrap/>
            <w:vAlign w:val="center"/>
            <w:hideMark/>
          </w:tcPr>
          <w:p w14:paraId="29455B1E"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25,676.9</w:t>
            </w:r>
          </w:p>
        </w:tc>
        <w:tc>
          <w:tcPr>
            <w:tcW w:w="969" w:type="dxa"/>
            <w:noWrap/>
            <w:vAlign w:val="center"/>
            <w:hideMark/>
          </w:tcPr>
          <w:p w14:paraId="64C5681C"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9,118.6</w:t>
            </w:r>
          </w:p>
        </w:tc>
        <w:tc>
          <w:tcPr>
            <w:tcW w:w="970" w:type="dxa"/>
            <w:noWrap/>
            <w:vAlign w:val="center"/>
            <w:hideMark/>
          </w:tcPr>
          <w:p w14:paraId="0437EEB0"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6,259.2</w:t>
            </w:r>
          </w:p>
        </w:tc>
        <w:tc>
          <w:tcPr>
            <w:tcW w:w="969" w:type="dxa"/>
            <w:noWrap/>
            <w:vAlign w:val="center"/>
            <w:hideMark/>
          </w:tcPr>
          <w:p w14:paraId="70CC9AB8"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8,764.5</w:t>
            </w:r>
          </w:p>
        </w:tc>
        <w:tc>
          <w:tcPr>
            <w:tcW w:w="970" w:type="dxa"/>
            <w:noWrap/>
            <w:vAlign w:val="center"/>
            <w:hideMark/>
          </w:tcPr>
          <w:p w14:paraId="74587B4D"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18,084.3</w:t>
            </w:r>
          </w:p>
        </w:tc>
        <w:tc>
          <w:tcPr>
            <w:tcW w:w="969" w:type="dxa"/>
            <w:noWrap/>
            <w:vAlign w:val="center"/>
            <w:hideMark/>
          </w:tcPr>
          <w:p w14:paraId="017F3FEC"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18,229.1</w:t>
            </w:r>
          </w:p>
        </w:tc>
        <w:tc>
          <w:tcPr>
            <w:tcW w:w="970" w:type="dxa"/>
            <w:noWrap/>
            <w:vAlign w:val="center"/>
          </w:tcPr>
          <w:p w14:paraId="09C3F975"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11,615.2</w:t>
            </w:r>
          </w:p>
        </w:tc>
      </w:tr>
      <w:tr w:rsidR="007F015E" w:rsidRPr="00045A4A" w14:paraId="3227ADD8" w14:textId="77777777" w:rsidTr="002C718D">
        <w:trPr>
          <w:cantSplit/>
        </w:trPr>
        <w:tc>
          <w:tcPr>
            <w:tcW w:w="2122" w:type="dxa"/>
            <w:vAlign w:val="center"/>
            <w:hideMark/>
          </w:tcPr>
          <w:p w14:paraId="15862920" w14:textId="77777777" w:rsidR="00DE4516" w:rsidRPr="00A46ADC" w:rsidRDefault="00DE4516" w:rsidP="00DE4516">
            <w:pPr>
              <w:pStyle w:val="TableBody"/>
              <w:autoSpaceDE w:val="0"/>
              <w:autoSpaceDN w:val="0"/>
              <w:adjustRightInd w:val="0"/>
              <w:ind w:left="159"/>
              <w:jc w:val="both"/>
              <w:rPr>
                <w:rFonts w:cs="Calibri"/>
                <w:color w:val="000000"/>
                <w:sz w:val="14"/>
                <w:szCs w:val="14"/>
              </w:rPr>
            </w:pPr>
            <w:r w:rsidRPr="00A46ADC">
              <w:t>Exports (f.o.b.)</w:t>
            </w:r>
          </w:p>
        </w:tc>
        <w:tc>
          <w:tcPr>
            <w:tcW w:w="969" w:type="dxa"/>
            <w:noWrap/>
            <w:vAlign w:val="center"/>
            <w:hideMark/>
          </w:tcPr>
          <w:p w14:paraId="56E45B0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53,566.0</w:t>
            </w:r>
          </w:p>
        </w:tc>
        <w:tc>
          <w:tcPr>
            <w:tcW w:w="969" w:type="dxa"/>
            <w:noWrap/>
            <w:vAlign w:val="center"/>
            <w:hideMark/>
          </w:tcPr>
          <w:p w14:paraId="11853AC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35,682.3</w:t>
            </w:r>
          </w:p>
        </w:tc>
        <w:tc>
          <w:tcPr>
            <w:tcW w:w="970" w:type="dxa"/>
            <w:noWrap/>
            <w:vAlign w:val="center"/>
            <w:hideMark/>
          </w:tcPr>
          <w:p w14:paraId="3F2C4A8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27,545.7</w:t>
            </w:r>
          </w:p>
        </w:tc>
        <w:tc>
          <w:tcPr>
            <w:tcW w:w="969" w:type="dxa"/>
            <w:noWrap/>
            <w:vAlign w:val="center"/>
            <w:hideMark/>
          </w:tcPr>
          <w:p w14:paraId="21339793"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32,885.8</w:t>
            </w:r>
          </w:p>
        </w:tc>
        <w:tc>
          <w:tcPr>
            <w:tcW w:w="970" w:type="dxa"/>
            <w:noWrap/>
            <w:vAlign w:val="center"/>
            <w:hideMark/>
          </w:tcPr>
          <w:p w14:paraId="534AB24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41,730.1</w:t>
            </w:r>
          </w:p>
        </w:tc>
        <w:tc>
          <w:tcPr>
            <w:tcW w:w="969" w:type="dxa"/>
            <w:noWrap/>
            <w:vAlign w:val="center"/>
            <w:hideMark/>
          </w:tcPr>
          <w:p w14:paraId="73A6196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38,685.9</w:t>
            </w:r>
          </w:p>
        </w:tc>
        <w:tc>
          <w:tcPr>
            <w:tcW w:w="970" w:type="dxa"/>
            <w:noWrap/>
            <w:vAlign w:val="center"/>
          </w:tcPr>
          <w:p w14:paraId="46291C1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30,506.3</w:t>
            </w:r>
          </w:p>
        </w:tc>
      </w:tr>
      <w:tr w:rsidR="007F015E" w:rsidRPr="00045A4A" w14:paraId="5727997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37450B3D"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t>Oil</w:t>
            </w:r>
          </w:p>
        </w:tc>
        <w:tc>
          <w:tcPr>
            <w:tcW w:w="969" w:type="dxa"/>
            <w:noWrap/>
            <w:vAlign w:val="center"/>
            <w:hideMark/>
          </w:tcPr>
          <w:p w14:paraId="6ECCFFD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30,951.4</w:t>
            </w:r>
          </w:p>
        </w:tc>
        <w:tc>
          <w:tcPr>
            <w:tcW w:w="969" w:type="dxa"/>
            <w:noWrap/>
            <w:vAlign w:val="center"/>
            <w:hideMark/>
          </w:tcPr>
          <w:p w14:paraId="497FF5C2"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17,853.6</w:t>
            </w:r>
          </w:p>
        </w:tc>
        <w:tc>
          <w:tcPr>
            <w:tcW w:w="970" w:type="dxa"/>
            <w:noWrap/>
            <w:vAlign w:val="center"/>
            <w:hideMark/>
          </w:tcPr>
          <w:p w14:paraId="4D03E9B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13,324.8</w:t>
            </w:r>
          </w:p>
        </w:tc>
        <w:tc>
          <w:tcPr>
            <w:tcW w:w="969" w:type="dxa"/>
            <w:noWrap/>
            <w:vAlign w:val="center"/>
            <w:hideMark/>
          </w:tcPr>
          <w:p w14:paraId="2A2A144F"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16,124.8</w:t>
            </w:r>
          </w:p>
        </w:tc>
        <w:tc>
          <w:tcPr>
            <w:tcW w:w="970" w:type="dxa"/>
            <w:noWrap/>
            <w:vAlign w:val="center"/>
            <w:hideMark/>
          </w:tcPr>
          <w:p w14:paraId="2B59D3B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22,809.2</w:t>
            </w:r>
          </w:p>
        </w:tc>
        <w:tc>
          <w:tcPr>
            <w:tcW w:w="969" w:type="dxa"/>
            <w:noWrap/>
            <w:vAlign w:val="center"/>
            <w:hideMark/>
          </w:tcPr>
          <w:p w14:paraId="301C1C73"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22,068.3</w:t>
            </w:r>
          </w:p>
        </w:tc>
        <w:tc>
          <w:tcPr>
            <w:tcW w:w="970" w:type="dxa"/>
            <w:noWrap/>
            <w:vAlign w:val="center"/>
          </w:tcPr>
          <w:p w14:paraId="417C431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14,785.2</w:t>
            </w:r>
          </w:p>
        </w:tc>
      </w:tr>
      <w:tr w:rsidR="007F015E" w:rsidRPr="00045A4A" w14:paraId="71C01CE8" w14:textId="77777777" w:rsidTr="002C718D">
        <w:trPr>
          <w:cantSplit/>
        </w:trPr>
        <w:tc>
          <w:tcPr>
            <w:tcW w:w="2122" w:type="dxa"/>
            <w:vAlign w:val="center"/>
            <w:hideMark/>
          </w:tcPr>
          <w:p w14:paraId="2537FDBE"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t>Natural gas</w:t>
            </w:r>
          </w:p>
        </w:tc>
        <w:tc>
          <w:tcPr>
            <w:tcW w:w="969" w:type="dxa"/>
            <w:noWrap/>
            <w:vAlign w:val="center"/>
            <w:hideMark/>
          </w:tcPr>
          <w:p w14:paraId="700E37B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4,228.1</w:t>
            </w:r>
          </w:p>
        </w:tc>
        <w:tc>
          <w:tcPr>
            <w:tcW w:w="969" w:type="dxa"/>
            <w:noWrap/>
            <w:vAlign w:val="center"/>
            <w:hideMark/>
          </w:tcPr>
          <w:p w14:paraId="6C7D4611"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3,328.4</w:t>
            </w:r>
          </w:p>
        </w:tc>
        <w:tc>
          <w:tcPr>
            <w:tcW w:w="970" w:type="dxa"/>
            <w:noWrap/>
            <w:vAlign w:val="center"/>
            <w:hideMark/>
          </w:tcPr>
          <w:p w14:paraId="1CF5F67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2,634.4</w:t>
            </w:r>
          </w:p>
        </w:tc>
        <w:tc>
          <w:tcPr>
            <w:tcW w:w="969" w:type="dxa"/>
            <w:noWrap/>
            <w:vAlign w:val="center"/>
            <w:hideMark/>
          </w:tcPr>
          <w:p w14:paraId="22FDB3B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3,032.5</w:t>
            </w:r>
          </w:p>
        </w:tc>
        <w:tc>
          <w:tcPr>
            <w:tcW w:w="970" w:type="dxa"/>
            <w:noWrap/>
            <w:vAlign w:val="center"/>
            <w:hideMark/>
          </w:tcPr>
          <w:p w14:paraId="79E41D9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4,464.4</w:t>
            </w:r>
          </w:p>
        </w:tc>
        <w:tc>
          <w:tcPr>
            <w:tcW w:w="969" w:type="dxa"/>
            <w:noWrap/>
            <w:vAlign w:val="center"/>
            <w:hideMark/>
          </w:tcPr>
          <w:p w14:paraId="3F5006D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4,447.7</w:t>
            </w:r>
          </w:p>
        </w:tc>
        <w:tc>
          <w:tcPr>
            <w:tcW w:w="970" w:type="dxa"/>
            <w:noWrap/>
            <w:vAlign w:val="center"/>
          </w:tcPr>
          <w:p w14:paraId="7C234FF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3,420.6</w:t>
            </w:r>
          </w:p>
        </w:tc>
      </w:tr>
      <w:tr w:rsidR="007F015E" w:rsidRPr="00045A4A" w14:paraId="3D8EEF6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7221F07B"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t>Other exports</w:t>
            </w:r>
          </w:p>
        </w:tc>
        <w:tc>
          <w:tcPr>
            <w:tcW w:w="969" w:type="dxa"/>
            <w:noWrap/>
            <w:vAlign w:val="center"/>
            <w:hideMark/>
          </w:tcPr>
          <w:p w14:paraId="1B1396C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10,729.5</w:t>
            </w:r>
          </w:p>
        </w:tc>
        <w:tc>
          <w:tcPr>
            <w:tcW w:w="969" w:type="dxa"/>
            <w:noWrap/>
            <w:vAlign w:val="center"/>
            <w:hideMark/>
          </w:tcPr>
          <w:p w14:paraId="598CCA2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7,812.5</w:t>
            </w:r>
          </w:p>
        </w:tc>
        <w:tc>
          <w:tcPr>
            <w:tcW w:w="970" w:type="dxa"/>
            <w:noWrap/>
            <w:vAlign w:val="center"/>
            <w:hideMark/>
          </w:tcPr>
          <w:p w14:paraId="093517C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6,238.5</w:t>
            </w:r>
          </w:p>
        </w:tc>
        <w:tc>
          <w:tcPr>
            <w:tcW w:w="969" w:type="dxa"/>
            <w:noWrap/>
            <w:vAlign w:val="center"/>
            <w:hideMark/>
          </w:tcPr>
          <w:p w14:paraId="54DE420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8,260.1</w:t>
            </w:r>
          </w:p>
        </w:tc>
        <w:tc>
          <w:tcPr>
            <w:tcW w:w="970" w:type="dxa"/>
            <w:noWrap/>
            <w:vAlign w:val="center"/>
            <w:hideMark/>
          </w:tcPr>
          <w:p w14:paraId="6D97CF5F"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9,693.2</w:t>
            </w:r>
          </w:p>
        </w:tc>
        <w:tc>
          <w:tcPr>
            <w:tcW w:w="969" w:type="dxa"/>
            <w:noWrap/>
            <w:vAlign w:val="center"/>
            <w:hideMark/>
          </w:tcPr>
          <w:p w14:paraId="73FB5EA1"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8,402.0</w:t>
            </w:r>
          </w:p>
        </w:tc>
        <w:tc>
          <w:tcPr>
            <w:tcW w:w="970" w:type="dxa"/>
            <w:noWrap/>
            <w:vAlign w:val="center"/>
          </w:tcPr>
          <w:p w14:paraId="0D6A2EB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7,880.9</w:t>
            </w:r>
          </w:p>
        </w:tc>
      </w:tr>
      <w:tr w:rsidR="007F015E" w:rsidRPr="00045A4A" w14:paraId="6218D6F1" w14:textId="77777777" w:rsidTr="002C718D">
        <w:trPr>
          <w:cantSplit/>
        </w:trPr>
        <w:tc>
          <w:tcPr>
            <w:tcW w:w="2122" w:type="dxa"/>
            <w:vAlign w:val="center"/>
            <w:hideMark/>
          </w:tcPr>
          <w:p w14:paraId="2F843DB5"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t>Re-export</w:t>
            </w:r>
          </w:p>
        </w:tc>
        <w:tc>
          <w:tcPr>
            <w:tcW w:w="969" w:type="dxa"/>
            <w:noWrap/>
            <w:vAlign w:val="center"/>
            <w:hideMark/>
          </w:tcPr>
          <w:p w14:paraId="7F400E0F"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7,657.0</w:t>
            </w:r>
          </w:p>
        </w:tc>
        <w:tc>
          <w:tcPr>
            <w:tcW w:w="969" w:type="dxa"/>
            <w:noWrap/>
            <w:vAlign w:val="center"/>
            <w:hideMark/>
          </w:tcPr>
          <w:p w14:paraId="57685653"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6,687.9</w:t>
            </w:r>
          </w:p>
        </w:tc>
        <w:tc>
          <w:tcPr>
            <w:tcW w:w="970" w:type="dxa"/>
            <w:noWrap/>
            <w:vAlign w:val="center"/>
            <w:hideMark/>
          </w:tcPr>
          <w:p w14:paraId="58C4982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5,348.0</w:t>
            </w:r>
          </w:p>
        </w:tc>
        <w:tc>
          <w:tcPr>
            <w:tcW w:w="969" w:type="dxa"/>
            <w:noWrap/>
            <w:vAlign w:val="center"/>
            <w:hideMark/>
          </w:tcPr>
          <w:p w14:paraId="090ED104"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5,467.9</w:t>
            </w:r>
          </w:p>
        </w:tc>
        <w:tc>
          <w:tcPr>
            <w:tcW w:w="970" w:type="dxa"/>
            <w:noWrap/>
            <w:vAlign w:val="center"/>
            <w:hideMark/>
          </w:tcPr>
          <w:p w14:paraId="187531B1"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4,763.2</w:t>
            </w:r>
          </w:p>
        </w:tc>
        <w:tc>
          <w:tcPr>
            <w:tcW w:w="969" w:type="dxa"/>
            <w:noWrap/>
            <w:vAlign w:val="center"/>
            <w:hideMark/>
          </w:tcPr>
          <w:p w14:paraId="62FFFF5B"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3,768.0</w:t>
            </w:r>
          </w:p>
        </w:tc>
        <w:tc>
          <w:tcPr>
            <w:tcW w:w="970" w:type="dxa"/>
            <w:noWrap/>
            <w:vAlign w:val="center"/>
          </w:tcPr>
          <w:p w14:paraId="11F43EC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4,419.5</w:t>
            </w:r>
          </w:p>
        </w:tc>
      </w:tr>
      <w:tr w:rsidR="007F015E" w:rsidRPr="00045A4A" w14:paraId="653EF0B3"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6DFAD169" w14:textId="77777777" w:rsidR="00DE4516" w:rsidRPr="00A46ADC" w:rsidRDefault="00DE4516" w:rsidP="00DE4516">
            <w:pPr>
              <w:pStyle w:val="TableBody"/>
              <w:autoSpaceDE w:val="0"/>
              <w:autoSpaceDN w:val="0"/>
              <w:adjustRightInd w:val="0"/>
              <w:ind w:left="159"/>
              <w:jc w:val="both"/>
              <w:rPr>
                <w:rFonts w:cs="Calibri"/>
                <w:color w:val="000000"/>
                <w:sz w:val="14"/>
                <w:szCs w:val="14"/>
              </w:rPr>
            </w:pPr>
            <w:r w:rsidRPr="00A46ADC">
              <w:t>Imports (f.o.b.)</w:t>
            </w:r>
          </w:p>
        </w:tc>
        <w:tc>
          <w:tcPr>
            <w:tcW w:w="969" w:type="dxa"/>
            <w:noWrap/>
            <w:vAlign w:val="center"/>
            <w:hideMark/>
          </w:tcPr>
          <w:p w14:paraId="4A409EA2"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−27,889.1</w:t>
            </w:r>
          </w:p>
        </w:tc>
        <w:tc>
          <w:tcPr>
            <w:tcW w:w="969" w:type="dxa"/>
            <w:noWrap/>
            <w:vAlign w:val="center"/>
            <w:hideMark/>
          </w:tcPr>
          <w:p w14:paraId="2C127F80"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−26,563.7</w:t>
            </w:r>
          </w:p>
        </w:tc>
        <w:tc>
          <w:tcPr>
            <w:tcW w:w="970" w:type="dxa"/>
            <w:noWrap/>
            <w:vAlign w:val="center"/>
            <w:hideMark/>
          </w:tcPr>
          <w:p w14:paraId="5CB21263"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−21,286.6</w:t>
            </w:r>
          </w:p>
        </w:tc>
        <w:tc>
          <w:tcPr>
            <w:tcW w:w="969" w:type="dxa"/>
            <w:noWrap/>
            <w:vAlign w:val="center"/>
            <w:hideMark/>
          </w:tcPr>
          <w:p w14:paraId="3678455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−24,122.2</w:t>
            </w:r>
          </w:p>
        </w:tc>
        <w:tc>
          <w:tcPr>
            <w:tcW w:w="970" w:type="dxa"/>
            <w:noWrap/>
            <w:vAlign w:val="center"/>
            <w:hideMark/>
          </w:tcPr>
          <w:p w14:paraId="3F09119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−23,645.8</w:t>
            </w:r>
          </w:p>
        </w:tc>
        <w:tc>
          <w:tcPr>
            <w:tcW w:w="969" w:type="dxa"/>
            <w:noWrap/>
            <w:vAlign w:val="center"/>
            <w:hideMark/>
          </w:tcPr>
          <w:p w14:paraId="59F4B8C7"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−20,456.8</w:t>
            </w:r>
          </w:p>
        </w:tc>
        <w:tc>
          <w:tcPr>
            <w:tcW w:w="970" w:type="dxa"/>
            <w:noWrap/>
            <w:vAlign w:val="center"/>
          </w:tcPr>
          <w:p w14:paraId="1C618BD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−18,891.0</w:t>
            </w:r>
          </w:p>
        </w:tc>
      </w:tr>
      <w:tr w:rsidR="007F015E" w:rsidRPr="00045A4A" w14:paraId="1F8B49A8" w14:textId="77777777" w:rsidTr="002C718D">
        <w:trPr>
          <w:cantSplit/>
        </w:trPr>
        <w:tc>
          <w:tcPr>
            <w:tcW w:w="2122" w:type="dxa"/>
            <w:vAlign w:val="center"/>
            <w:hideMark/>
          </w:tcPr>
          <w:p w14:paraId="3AA5004F"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Services</w:t>
            </w:r>
          </w:p>
        </w:tc>
        <w:tc>
          <w:tcPr>
            <w:tcW w:w="969" w:type="dxa"/>
            <w:noWrap/>
            <w:vAlign w:val="center"/>
            <w:hideMark/>
          </w:tcPr>
          <w:p w14:paraId="6709A526"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-6,883.3</w:t>
            </w:r>
          </w:p>
        </w:tc>
        <w:tc>
          <w:tcPr>
            <w:tcW w:w="969" w:type="dxa"/>
            <w:noWrap/>
            <w:vAlign w:val="center"/>
            <w:hideMark/>
          </w:tcPr>
          <w:p w14:paraId="78118376"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-6,818.9</w:t>
            </w:r>
          </w:p>
        </w:tc>
        <w:tc>
          <w:tcPr>
            <w:tcW w:w="970" w:type="dxa"/>
            <w:noWrap/>
            <w:vAlign w:val="center"/>
            <w:hideMark/>
          </w:tcPr>
          <w:p w14:paraId="52ED2BD8"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-6,420.1</w:t>
            </w:r>
          </w:p>
        </w:tc>
        <w:tc>
          <w:tcPr>
            <w:tcW w:w="969" w:type="dxa"/>
            <w:noWrap/>
            <w:vAlign w:val="center"/>
            <w:hideMark/>
          </w:tcPr>
          <w:p w14:paraId="6FB7DF8C"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-6,761.1</w:t>
            </w:r>
          </w:p>
        </w:tc>
        <w:tc>
          <w:tcPr>
            <w:tcW w:w="970" w:type="dxa"/>
            <w:noWrap/>
            <w:vAlign w:val="center"/>
            <w:hideMark/>
          </w:tcPr>
          <w:p w14:paraId="7C07F524"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-7,138.0</w:t>
            </w:r>
          </w:p>
        </w:tc>
        <w:tc>
          <w:tcPr>
            <w:tcW w:w="969" w:type="dxa"/>
            <w:noWrap/>
            <w:vAlign w:val="center"/>
            <w:hideMark/>
          </w:tcPr>
          <w:p w14:paraId="58546CDF"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-7,092.3</w:t>
            </w:r>
          </w:p>
        </w:tc>
        <w:tc>
          <w:tcPr>
            <w:tcW w:w="970" w:type="dxa"/>
            <w:noWrap/>
            <w:vAlign w:val="center"/>
          </w:tcPr>
          <w:p w14:paraId="39E19E86"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-6110.8</w:t>
            </w:r>
          </w:p>
        </w:tc>
      </w:tr>
      <w:tr w:rsidR="007F015E" w:rsidRPr="00045A4A" w14:paraId="259A10F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3D9576BE" w14:textId="77777777" w:rsidR="00DE4516" w:rsidRPr="00A46ADC" w:rsidRDefault="00DE4516" w:rsidP="00DE4516">
            <w:pPr>
              <w:pStyle w:val="TableBody"/>
              <w:autoSpaceDE w:val="0"/>
              <w:autoSpaceDN w:val="0"/>
              <w:adjustRightInd w:val="0"/>
              <w:ind w:left="159"/>
              <w:jc w:val="both"/>
              <w:rPr>
                <w:rFonts w:cs="Calibri"/>
                <w:color w:val="000000"/>
                <w:sz w:val="14"/>
                <w:szCs w:val="14"/>
              </w:rPr>
            </w:pPr>
            <w:r w:rsidRPr="00A46ADC">
              <w:t>Credit</w:t>
            </w:r>
          </w:p>
        </w:tc>
        <w:tc>
          <w:tcPr>
            <w:tcW w:w="969" w:type="dxa"/>
            <w:noWrap/>
            <w:vAlign w:val="center"/>
            <w:hideMark/>
          </w:tcPr>
          <w:p w14:paraId="29F9202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3,130.4</w:t>
            </w:r>
          </w:p>
        </w:tc>
        <w:tc>
          <w:tcPr>
            <w:tcW w:w="969" w:type="dxa"/>
            <w:noWrap/>
            <w:vAlign w:val="center"/>
            <w:hideMark/>
          </w:tcPr>
          <w:p w14:paraId="55535CC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3,394.6</w:t>
            </w:r>
          </w:p>
        </w:tc>
        <w:tc>
          <w:tcPr>
            <w:tcW w:w="970" w:type="dxa"/>
            <w:noWrap/>
            <w:vAlign w:val="center"/>
            <w:hideMark/>
          </w:tcPr>
          <w:p w14:paraId="7A1BD5C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3,503.1</w:t>
            </w:r>
          </w:p>
        </w:tc>
        <w:tc>
          <w:tcPr>
            <w:tcW w:w="969" w:type="dxa"/>
            <w:noWrap/>
            <w:vAlign w:val="center"/>
            <w:hideMark/>
          </w:tcPr>
          <w:p w14:paraId="18E4FAB4"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4,010.4</w:t>
            </w:r>
          </w:p>
        </w:tc>
        <w:tc>
          <w:tcPr>
            <w:tcW w:w="970" w:type="dxa"/>
            <w:noWrap/>
            <w:vAlign w:val="center"/>
            <w:hideMark/>
          </w:tcPr>
          <w:p w14:paraId="237282E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4,591.3</w:t>
            </w:r>
          </w:p>
        </w:tc>
        <w:tc>
          <w:tcPr>
            <w:tcW w:w="969" w:type="dxa"/>
            <w:noWrap/>
            <w:vAlign w:val="center"/>
            <w:hideMark/>
          </w:tcPr>
          <w:p w14:paraId="7B15155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5,000.8</w:t>
            </w:r>
          </w:p>
        </w:tc>
        <w:tc>
          <w:tcPr>
            <w:tcW w:w="970" w:type="dxa"/>
            <w:noWrap/>
            <w:vAlign w:val="center"/>
          </w:tcPr>
          <w:p w14:paraId="72E0654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2,222.7</w:t>
            </w:r>
          </w:p>
        </w:tc>
      </w:tr>
      <w:tr w:rsidR="007F015E" w:rsidRPr="00045A4A" w14:paraId="46363384" w14:textId="77777777" w:rsidTr="002C718D">
        <w:trPr>
          <w:cantSplit/>
        </w:trPr>
        <w:tc>
          <w:tcPr>
            <w:tcW w:w="2122" w:type="dxa"/>
            <w:vAlign w:val="center"/>
            <w:hideMark/>
          </w:tcPr>
          <w:p w14:paraId="228981D0" w14:textId="77777777" w:rsidR="00DE4516" w:rsidRPr="00A46ADC" w:rsidRDefault="00DE4516" w:rsidP="00DE4516">
            <w:pPr>
              <w:pStyle w:val="TableBody"/>
              <w:autoSpaceDE w:val="0"/>
              <w:autoSpaceDN w:val="0"/>
              <w:adjustRightInd w:val="0"/>
              <w:ind w:left="159"/>
              <w:jc w:val="both"/>
              <w:rPr>
                <w:rFonts w:cs="Calibri"/>
                <w:color w:val="000000"/>
                <w:sz w:val="14"/>
                <w:szCs w:val="14"/>
              </w:rPr>
            </w:pPr>
            <w:r w:rsidRPr="00A46ADC">
              <w:t>Debit</w:t>
            </w:r>
          </w:p>
        </w:tc>
        <w:tc>
          <w:tcPr>
            <w:tcW w:w="969" w:type="dxa"/>
            <w:noWrap/>
            <w:vAlign w:val="center"/>
            <w:hideMark/>
          </w:tcPr>
          <w:p w14:paraId="1045D73E"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−10,013.7</w:t>
            </w:r>
          </w:p>
        </w:tc>
        <w:tc>
          <w:tcPr>
            <w:tcW w:w="969" w:type="dxa"/>
            <w:noWrap/>
            <w:vAlign w:val="center"/>
            <w:hideMark/>
          </w:tcPr>
          <w:p w14:paraId="625F0E5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−10,213.6</w:t>
            </w:r>
          </w:p>
        </w:tc>
        <w:tc>
          <w:tcPr>
            <w:tcW w:w="970" w:type="dxa"/>
            <w:noWrap/>
            <w:vAlign w:val="center"/>
            <w:hideMark/>
          </w:tcPr>
          <w:p w14:paraId="73B6B90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−9,923.1</w:t>
            </w:r>
          </w:p>
        </w:tc>
        <w:tc>
          <w:tcPr>
            <w:tcW w:w="969" w:type="dxa"/>
            <w:noWrap/>
            <w:vAlign w:val="center"/>
            <w:hideMark/>
          </w:tcPr>
          <w:p w14:paraId="43E5716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−10,839.1</w:t>
            </w:r>
          </w:p>
        </w:tc>
        <w:tc>
          <w:tcPr>
            <w:tcW w:w="970" w:type="dxa"/>
            <w:noWrap/>
            <w:vAlign w:val="center"/>
            <w:hideMark/>
          </w:tcPr>
          <w:p w14:paraId="543C3BE2"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−11,729.3</w:t>
            </w:r>
          </w:p>
        </w:tc>
        <w:tc>
          <w:tcPr>
            <w:tcW w:w="969" w:type="dxa"/>
            <w:noWrap/>
            <w:vAlign w:val="center"/>
            <w:hideMark/>
          </w:tcPr>
          <w:p w14:paraId="25D2212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−12,093.1</w:t>
            </w:r>
          </w:p>
        </w:tc>
        <w:tc>
          <w:tcPr>
            <w:tcW w:w="970" w:type="dxa"/>
            <w:noWrap/>
            <w:vAlign w:val="center"/>
          </w:tcPr>
          <w:p w14:paraId="094F672F"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−8,333.4</w:t>
            </w:r>
          </w:p>
        </w:tc>
      </w:tr>
      <w:tr w:rsidR="007F015E" w:rsidRPr="00045A4A" w14:paraId="60A2D4A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286326B2"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Income</w:t>
            </w:r>
          </w:p>
        </w:tc>
        <w:tc>
          <w:tcPr>
            <w:tcW w:w="969" w:type="dxa"/>
            <w:noWrap/>
            <w:vAlign w:val="center"/>
            <w:hideMark/>
          </w:tcPr>
          <w:p w14:paraId="7ED04909"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-4,286.5</w:t>
            </w:r>
          </w:p>
        </w:tc>
        <w:tc>
          <w:tcPr>
            <w:tcW w:w="969" w:type="dxa"/>
            <w:noWrap/>
            <w:vAlign w:val="center"/>
            <w:hideMark/>
          </w:tcPr>
          <w:p w14:paraId="178EDE53"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-2,247.8</w:t>
            </w:r>
          </w:p>
        </w:tc>
        <w:tc>
          <w:tcPr>
            <w:tcW w:w="970" w:type="dxa"/>
            <w:noWrap/>
            <w:vAlign w:val="center"/>
            <w:hideMark/>
          </w:tcPr>
          <w:p w14:paraId="5EF3D9F6"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-2,066.5</w:t>
            </w:r>
          </w:p>
        </w:tc>
        <w:tc>
          <w:tcPr>
            <w:tcW w:w="969" w:type="dxa"/>
            <w:noWrap/>
            <w:vAlign w:val="center"/>
            <w:hideMark/>
          </w:tcPr>
          <w:p w14:paraId="4BFD9AF7"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-3,168.0</w:t>
            </w:r>
          </w:p>
        </w:tc>
        <w:tc>
          <w:tcPr>
            <w:tcW w:w="970" w:type="dxa"/>
            <w:noWrap/>
            <w:vAlign w:val="center"/>
            <w:hideMark/>
          </w:tcPr>
          <w:p w14:paraId="5B2EE572"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-5,276.0</w:t>
            </w:r>
          </w:p>
        </w:tc>
        <w:tc>
          <w:tcPr>
            <w:tcW w:w="969" w:type="dxa"/>
            <w:noWrap/>
            <w:vAlign w:val="center"/>
            <w:hideMark/>
          </w:tcPr>
          <w:p w14:paraId="31253FF3"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-6,143.2</w:t>
            </w:r>
          </w:p>
        </w:tc>
        <w:tc>
          <w:tcPr>
            <w:tcW w:w="970" w:type="dxa"/>
            <w:noWrap/>
            <w:vAlign w:val="center"/>
          </w:tcPr>
          <w:p w14:paraId="7D131894"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-5,392.0</w:t>
            </w:r>
          </w:p>
        </w:tc>
      </w:tr>
      <w:tr w:rsidR="007F015E" w:rsidRPr="00045A4A" w14:paraId="4E866872" w14:textId="77777777" w:rsidTr="002C718D">
        <w:trPr>
          <w:cantSplit/>
        </w:trPr>
        <w:tc>
          <w:tcPr>
            <w:tcW w:w="2122" w:type="dxa"/>
            <w:vAlign w:val="center"/>
            <w:hideMark/>
          </w:tcPr>
          <w:p w14:paraId="61C52AA3" w14:textId="77777777" w:rsidR="00DE4516" w:rsidRPr="00A46ADC" w:rsidRDefault="00DE4516" w:rsidP="00DE4516">
            <w:pPr>
              <w:pStyle w:val="TableBody"/>
              <w:autoSpaceDE w:val="0"/>
              <w:autoSpaceDN w:val="0"/>
              <w:adjustRightInd w:val="0"/>
              <w:ind w:left="159"/>
              <w:jc w:val="both"/>
              <w:rPr>
                <w:rFonts w:cs="Calibri"/>
                <w:color w:val="000000"/>
                <w:sz w:val="14"/>
                <w:szCs w:val="14"/>
              </w:rPr>
            </w:pPr>
            <w:r w:rsidRPr="00A46ADC">
              <w:t>Credit</w:t>
            </w:r>
          </w:p>
        </w:tc>
        <w:tc>
          <w:tcPr>
            <w:tcW w:w="969" w:type="dxa"/>
            <w:noWrap/>
            <w:vAlign w:val="center"/>
            <w:hideMark/>
          </w:tcPr>
          <w:p w14:paraId="6401A7D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1,182.9</w:t>
            </w:r>
          </w:p>
        </w:tc>
        <w:tc>
          <w:tcPr>
            <w:tcW w:w="969" w:type="dxa"/>
            <w:noWrap/>
            <w:vAlign w:val="center"/>
            <w:hideMark/>
          </w:tcPr>
          <w:p w14:paraId="2E911A9B"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670.9</w:t>
            </w:r>
          </w:p>
        </w:tc>
        <w:tc>
          <w:tcPr>
            <w:tcW w:w="970" w:type="dxa"/>
            <w:noWrap/>
            <w:vAlign w:val="center"/>
            <w:hideMark/>
          </w:tcPr>
          <w:p w14:paraId="0FB67FEF"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966.7</w:t>
            </w:r>
          </w:p>
        </w:tc>
        <w:tc>
          <w:tcPr>
            <w:tcW w:w="969" w:type="dxa"/>
            <w:noWrap/>
            <w:vAlign w:val="center"/>
            <w:hideMark/>
          </w:tcPr>
          <w:p w14:paraId="67569C3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1,000.6</w:t>
            </w:r>
          </w:p>
        </w:tc>
        <w:tc>
          <w:tcPr>
            <w:tcW w:w="970" w:type="dxa"/>
            <w:noWrap/>
            <w:vAlign w:val="center"/>
            <w:hideMark/>
          </w:tcPr>
          <w:p w14:paraId="00B399C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1,168.5</w:t>
            </w:r>
          </w:p>
        </w:tc>
        <w:tc>
          <w:tcPr>
            <w:tcW w:w="969" w:type="dxa"/>
            <w:noWrap/>
            <w:vAlign w:val="center"/>
            <w:hideMark/>
          </w:tcPr>
          <w:p w14:paraId="051F8984"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1,187.6</w:t>
            </w:r>
          </w:p>
        </w:tc>
        <w:tc>
          <w:tcPr>
            <w:tcW w:w="970" w:type="dxa"/>
            <w:noWrap/>
            <w:vAlign w:val="center"/>
          </w:tcPr>
          <w:p w14:paraId="25EB4A1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727.4</w:t>
            </w:r>
          </w:p>
        </w:tc>
      </w:tr>
      <w:tr w:rsidR="007F015E" w:rsidRPr="00045A4A" w14:paraId="486D186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1561C348" w14:textId="77777777" w:rsidR="00DE4516" w:rsidRPr="00A46ADC" w:rsidRDefault="00DE4516" w:rsidP="00DE4516">
            <w:pPr>
              <w:pStyle w:val="TableBody"/>
              <w:autoSpaceDE w:val="0"/>
              <w:autoSpaceDN w:val="0"/>
              <w:adjustRightInd w:val="0"/>
              <w:ind w:left="159"/>
              <w:jc w:val="both"/>
              <w:rPr>
                <w:rFonts w:cs="Calibri"/>
                <w:color w:val="000000"/>
                <w:sz w:val="14"/>
                <w:szCs w:val="14"/>
              </w:rPr>
            </w:pPr>
            <w:r w:rsidRPr="00A46ADC">
              <w:t>Debit</w:t>
            </w:r>
          </w:p>
        </w:tc>
        <w:tc>
          <w:tcPr>
            <w:tcW w:w="969" w:type="dxa"/>
            <w:noWrap/>
            <w:vAlign w:val="center"/>
            <w:hideMark/>
          </w:tcPr>
          <w:p w14:paraId="628D657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−5,469.4</w:t>
            </w:r>
          </w:p>
        </w:tc>
        <w:tc>
          <w:tcPr>
            <w:tcW w:w="969" w:type="dxa"/>
            <w:noWrap/>
            <w:vAlign w:val="center"/>
            <w:hideMark/>
          </w:tcPr>
          <w:p w14:paraId="657B5F6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−2,918.7</w:t>
            </w:r>
          </w:p>
        </w:tc>
        <w:tc>
          <w:tcPr>
            <w:tcW w:w="970" w:type="dxa"/>
            <w:noWrap/>
            <w:vAlign w:val="center"/>
            <w:hideMark/>
          </w:tcPr>
          <w:p w14:paraId="4908AB7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−3,033.2</w:t>
            </w:r>
          </w:p>
        </w:tc>
        <w:tc>
          <w:tcPr>
            <w:tcW w:w="969" w:type="dxa"/>
            <w:noWrap/>
            <w:vAlign w:val="center"/>
            <w:hideMark/>
          </w:tcPr>
          <w:p w14:paraId="6CA6F062"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−4,168.6</w:t>
            </w:r>
          </w:p>
        </w:tc>
        <w:tc>
          <w:tcPr>
            <w:tcW w:w="970" w:type="dxa"/>
            <w:noWrap/>
            <w:vAlign w:val="center"/>
            <w:hideMark/>
          </w:tcPr>
          <w:p w14:paraId="5B60DEF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−6,444.5</w:t>
            </w:r>
          </w:p>
        </w:tc>
        <w:tc>
          <w:tcPr>
            <w:tcW w:w="969" w:type="dxa"/>
            <w:noWrap/>
            <w:vAlign w:val="center"/>
            <w:hideMark/>
          </w:tcPr>
          <w:p w14:paraId="2E5714EF"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−7,330.8</w:t>
            </w:r>
          </w:p>
        </w:tc>
        <w:tc>
          <w:tcPr>
            <w:tcW w:w="970" w:type="dxa"/>
            <w:noWrap/>
            <w:vAlign w:val="center"/>
          </w:tcPr>
          <w:p w14:paraId="5DCACED1"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−6,119.3</w:t>
            </w:r>
          </w:p>
        </w:tc>
      </w:tr>
      <w:tr w:rsidR="007F015E" w:rsidRPr="00045A4A" w14:paraId="22BCA053" w14:textId="77777777" w:rsidTr="002C718D">
        <w:trPr>
          <w:cantSplit/>
        </w:trPr>
        <w:tc>
          <w:tcPr>
            <w:tcW w:w="2122" w:type="dxa"/>
            <w:vAlign w:val="center"/>
            <w:hideMark/>
          </w:tcPr>
          <w:p w14:paraId="1C4DA6D2"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Current transfers</w:t>
            </w:r>
          </w:p>
        </w:tc>
        <w:tc>
          <w:tcPr>
            <w:tcW w:w="969" w:type="dxa"/>
            <w:noWrap/>
            <w:vAlign w:val="center"/>
            <w:hideMark/>
          </w:tcPr>
          <w:p w14:paraId="6A058EBE"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-10,300.8</w:t>
            </w:r>
          </w:p>
        </w:tc>
        <w:tc>
          <w:tcPr>
            <w:tcW w:w="969" w:type="dxa"/>
            <w:noWrap/>
            <w:vAlign w:val="center"/>
            <w:hideMark/>
          </w:tcPr>
          <w:p w14:paraId="724201A9"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-10,990.9</w:t>
            </w:r>
          </w:p>
        </w:tc>
        <w:tc>
          <w:tcPr>
            <w:tcW w:w="970" w:type="dxa"/>
            <w:noWrap/>
            <w:vAlign w:val="center"/>
            <w:hideMark/>
          </w:tcPr>
          <w:p w14:paraId="6946AD26"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-10,312.1</w:t>
            </w:r>
          </w:p>
        </w:tc>
        <w:tc>
          <w:tcPr>
            <w:tcW w:w="969" w:type="dxa"/>
            <w:noWrap/>
            <w:vAlign w:val="center"/>
            <w:hideMark/>
          </w:tcPr>
          <w:p w14:paraId="576D7547"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-9,815.3</w:t>
            </w:r>
          </w:p>
        </w:tc>
        <w:tc>
          <w:tcPr>
            <w:tcW w:w="970" w:type="dxa"/>
            <w:noWrap/>
            <w:vAlign w:val="center"/>
            <w:hideMark/>
          </w:tcPr>
          <w:p w14:paraId="1D3902E8"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-9,957.7</w:t>
            </w:r>
          </w:p>
        </w:tc>
        <w:tc>
          <w:tcPr>
            <w:tcW w:w="969" w:type="dxa"/>
            <w:noWrap/>
            <w:vAlign w:val="center"/>
            <w:hideMark/>
          </w:tcPr>
          <w:p w14:paraId="2F313727"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-9,133.9</w:t>
            </w:r>
          </w:p>
        </w:tc>
        <w:tc>
          <w:tcPr>
            <w:tcW w:w="970" w:type="dxa"/>
            <w:noWrap/>
            <w:vAlign w:val="center"/>
          </w:tcPr>
          <w:p w14:paraId="0E1DA7D7" w14:textId="77777777" w:rsidR="00DE4516" w:rsidRPr="00A46ADC" w:rsidRDefault="00DE4516" w:rsidP="00DE4516">
            <w:pPr>
              <w:pStyle w:val="TableBody"/>
              <w:autoSpaceDE w:val="0"/>
              <w:autoSpaceDN w:val="0"/>
              <w:adjustRightInd w:val="0"/>
              <w:jc w:val="right"/>
              <w:rPr>
                <w:rFonts w:cs="Calibri"/>
                <w:b/>
                <w:bCs/>
                <w:color w:val="000000"/>
                <w:sz w:val="13"/>
                <w:szCs w:val="13"/>
              </w:rPr>
            </w:pPr>
            <w:r w:rsidRPr="00A46ADC">
              <w:rPr>
                <w:b/>
              </w:rPr>
              <w:t>-8,772.2</w:t>
            </w:r>
          </w:p>
        </w:tc>
      </w:tr>
      <w:tr w:rsidR="007F015E" w:rsidRPr="00045A4A" w14:paraId="56A7931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395F52FD"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Capital and financial account</w:t>
            </w:r>
          </w:p>
        </w:tc>
        <w:tc>
          <w:tcPr>
            <w:tcW w:w="969" w:type="dxa"/>
            <w:noWrap/>
            <w:vAlign w:val="center"/>
            <w:hideMark/>
          </w:tcPr>
          <w:p w14:paraId="18FF8EA7"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-2,151.9</w:t>
            </w:r>
          </w:p>
        </w:tc>
        <w:tc>
          <w:tcPr>
            <w:tcW w:w="969" w:type="dxa"/>
            <w:noWrap/>
            <w:vAlign w:val="center"/>
            <w:hideMark/>
          </w:tcPr>
          <w:p w14:paraId="1F104EDF"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12,008.2</w:t>
            </w:r>
          </w:p>
        </w:tc>
        <w:tc>
          <w:tcPr>
            <w:tcW w:w="970" w:type="dxa"/>
            <w:noWrap/>
            <w:vAlign w:val="center"/>
            <w:hideMark/>
          </w:tcPr>
          <w:p w14:paraId="4FAE8F50"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4,198.0</w:t>
            </w:r>
          </w:p>
        </w:tc>
        <w:tc>
          <w:tcPr>
            <w:tcW w:w="969" w:type="dxa"/>
            <w:noWrap/>
            <w:vAlign w:val="center"/>
            <w:hideMark/>
          </w:tcPr>
          <w:p w14:paraId="76BCC2C8"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8,860.0</w:t>
            </w:r>
          </w:p>
        </w:tc>
        <w:tc>
          <w:tcPr>
            <w:tcW w:w="970" w:type="dxa"/>
            <w:noWrap/>
            <w:vAlign w:val="center"/>
            <w:hideMark/>
          </w:tcPr>
          <w:p w14:paraId="428960E0"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7,766.0</w:t>
            </w:r>
          </w:p>
        </w:tc>
        <w:tc>
          <w:tcPr>
            <w:tcW w:w="969" w:type="dxa"/>
            <w:noWrap/>
            <w:vAlign w:val="center"/>
            <w:hideMark/>
          </w:tcPr>
          <w:p w14:paraId="2B5652B5"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3,499.9</w:t>
            </w:r>
          </w:p>
        </w:tc>
        <w:tc>
          <w:tcPr>
            <w:tcW w:w="970" w:type="dxa"/>
            <w:noWrap/>
            <w:vAlign w:val="center"/>
          </w:tcPr>
          <w:p w14:paraId="29AFC1B9"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6,996.9</w:t>
            </w:r>
          </w:p>
        </w:tc>
      </w:tr>
      <w:tr w:rsidR="007F015E" w:rsidRPr="00045A4A" w14:paraId="6C2A6630" w14:textId="77777777" w:rsidTr="002C718D">
        <w:trPr>
          <w:cantSplit/>
        </w:trPr>
        <w:tc>
          <w:tcPr>
            <w:tcW w:w="2122" w:type="dxa"/>
            <w:vAlign w:val="center"/>
            <w:hideMark/>
          </w:tcPr>
          <w:p w14:paraId="75C3FFF3"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Capital account</w:t>
            </w:r>
          </w:p>
        </w:tc>
        <w:tc>
          <w:tcPr>
            <w:tcW w:w="969" w:type="dxa"/>
            <w:noWrap/>
            <w:vAlign w:val="center"/>
            <w:hideMark/>
          </w:tcPr>
          <w:p w14:paraId="7B3EF87F"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-130.6</w:t>
            </w:r>
          </w:p>
        </w:tc>
        <w:tc>
          <w:tcPr>
            <w:tcW w:w="969" w:type="dxa"/>
            <w:noWrap/>
            <w:vAlign w:val="center"/>
            <w:hideMark/>
          </w:tcPr>
          <w:p w14:paraId="39D01DA4"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543.0</w:t>
            </w:r>
          </w:p>
        </w:tc>
        <w:tc>
          <w:tcPr>
            <w:tcW w:w="970" w:type="dxa"/>
            <w:noWrap/>
            <w:vAlign w:val="center"/>
            <w:hideMark/>
          </w:tcPr>
          <w:p w14:paraId="000E0003"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515.0</w:t>
            </w:r>
          </w:p>
        </w:tc>
        <w:tc>
          <w:tcPr>
            <w:tcW w:w="969" w:type="dxa"/>
            <w:noWrap/>
            <w:vAlign w:val="center"/>
            <w:hideMark/>
          </w:tcPr>
          <w:p w14:paraId="342327FE"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258.8</w:t>
            </w:r>
          </w:p>
        </w:tc>
        <w:tc>
          <w:tcPr>
            <w:tcW w:w="970" w:type="dxa"/>
            <w:noWrap/>
            <w:vAlign w:val="center"/>
            <w:hideMark/>
          </w:tcPr>
          <w:p w14:paraId="43C1F7E4"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102.0</w:t>
            </w:r>
          </w:p>
        </w:tc>
        <w:tc>
          <w:tcPr>
            <w:tcW w:w="969" w:type="dxa"/>
            <w:noWrap/>
            <w:vAlign w:val="center"/>
            <w:hideMark/>
          </w:tcPr>
          <w:p w14:paraId="034FCB49"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113.9</w:t>
            </w:r>
          </w:p>
        </w:tc>
        <w:tc>
          <w:tcPr>
            <w:tcW w:w="970" w:type="dxa"/>
            <w:noWrap/>
            <w:vAlign w:val="center"/>
          </w:tcPr>
          <w:p w14:paraId="273660C0"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235.9</w:t>
            </w:r>
          </w:p>
        </w:tc>
      </w:tr>
      <w:tr w:rsidR="007F015E" w:rsidRPr="00045A4A" w14:paraId="57D4720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319F385F"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Financial account</w:t>
            </w:r>
          </w:p>
        </w:tc>
        <w:tc>
          <w:tcPr>
            <w:tcW w:w="969" w:type="dxa"/>
            <w:noWrap/>
            <w:vAlign w:val="center"/>
            <w:hideMark/>
          </w:tcPr>
          <w:p w14:paraId="444274F2"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-2,021.3</w:t>
            </w:r>
          </w:p>
        </w:tc>
        <w:tc>
          <w:tcPr>
            <w:tcW w:w="969" w:type="dxa"/>
            <w:noWrap/>
            <w:vAlign w:val="center"/>
            <w:hideMark/>
          </w:tcPr>
          <w:p w14:paraId="448D38FD"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11,465.1</w:t>
            </w:r>
          </w:p>
        </w:tc>
        <w:tc>
          <w:tcPr>
            <w:tcW w:w="970" w:type="dxa"/>
            <w:noWrap/>
            <w:vAlign w:val="center"/>
            <w:hideMark/>
          </w:tcPr>
          <w:p w14:paraId="78D009EA"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3,683.0</w:t>
            </w:r>
          </w:p>
        </w:tc>
        <w:tc>
          <w:tcPr>
            <w:tcW w:w="969" w:type="dxa"/>
            <w:noWrap/>
            <w:vAlign w:val="center"/>
            <w:hideMark/>
          </w:tcPr>
          <w:p w14:paraId="60194533"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8,601.2</w:t>
            </w:r>
          </w:p>
        </w:tc>
        <w:tc>
          <w:tcPr>
            <w:tcW w:w="970" w:type="dxa"/>
            <w:noWrap/>
            <w:vAlign w:val="center"/>
            <w:hideMark/>
          </w:tcPr>
          <w:p w14:paraId="4480A4A5"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7,664.1</w:t>
            </w:r>
          </w:p>
        </w:tc>
        <w:tc>
          <w:tcPr>
            <w:tcW w:w="969" w:type="dxa"/>
            <w:noWrap/>
            <w:vAlign w:val="center"/>
            <w:hideMark/>
          </w:tcPr>
          <w:p w14:paraId="16393618"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3,386.0</w:t>
            </w:r>
          </w:p>
        </w:tc>
        <w:tc>
          <w:tcPr>
            <w:tcW w:w="970" w:type="dxa"/>
            <w:noWrap/>
            <w:vAlign w:val="center"/>
          </w:tcPr>
          <w:p w14:paraId="2BDCFCA1"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6,761.0</w:t>
            </w:r>
          </w:p>
        </w:tc>
      </w:tr>
      <w:tr w:rsidR="007F015E" w:rsidRPr="00045A4A" w14:paraId="039456DC" w14:textId="77777777" w:rsidTr="002C718D">
        <w:trPr>
          <w:cantSplit/>
        </w:trPr>
        <w:tc>
          <w:tcPr>
            <w:tcW w:w="2122" w:type="dxa"/>
            <w:vAlign w:val="center"/>
            <w:hideMark/>
          </w:tcPr>
          <w:p w14:paraId="0C27193D" w14:textId="77777777" w:rsidR="00DE4516" w:rsidRPr="00A46ADC" w:rsidRDefault="00DE4516" w:rsidP="00DE4516">
            <w:pPr>
              <w:pStyle w:val="TableBody"/>
              <w:autoSpaceDE w:val="0"/>
              <w:autoSpaceDN w:val="0"/>
              <w:adjustRightInd w:val="0"/>
              <w:ind w:left="159"/>
              <w:jc w:val="both"/>
              <w:rPr>
                <w:rFonts w:cs="Calibri"/>
                <w:color w:val="000000"/>
                <w:sz w:val="14"/>
                <w:szCs w:val="14"/>
              </w:rPr>
            </w:pPr>
            <w:r w:rsidRPr="00A46ADC">
              <w:t>Direct investment</w:t>
            </w:r>
          </w:p>
        </w:tc>
        <w:tc>
          <w:tcPr>
            <w:tcW w:w="969" w:type="dxa"/>
            <w:noWrap/>
            <w:vAlign w:val="center"/>
            <w:hideMark/>
          </w:tcPr>
          <w:p w14:paraId="52FFF07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−70.0</w:t>
            </w:r>
          </w:p>
        </w:tc>
        <w:tc>
          <w:tcPr>
            <w:tcW w:w="969" w:type="dxa"/>
            <w:noWrap/>
            <w:vAlign w:val="center"/>
            <w:hideMark/>
          </w:tcPr>
          <w:p w14:paraId="3FB8944B"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−2,507.4</w:t>
            </w:r>
          </w:p>
        </w:tc>
        <w:tc>
          <w:tcPr>
            <w:tcW w:w="970" w:type="dxa"/>
            <w:noWrap/>
            <w:vAlign w:val="center"/>
            <w:hideMark/>
          </w:tcPr>
          <w:p w14:paraId="271DC84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1,909.5</w:t>
            </w:r>
          </w:p>
        </w:tc>
        <w:tc>
          <w:tcPr>
            <w:tcW w:w="969" w:type="dxa"/>
            <w:noWrap/>
            <w:vAlign w:val="center"/>
            <w:hideMark/>
          </w:tcPr>
          <w:p w14:paraId="3C992D20"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493.6</w:t>
            </w:r>
          </w:p>
        </w:tc>
        <w:tc>
          <w:tcPr>
            <w:tcW w:w="970" w:type="dxa"/>
            <w:noWrap/>
            <w:vAlign w:val="center"/>
            <w:hideMark/>
          </w:tcPr>
          <w:p w14:paraId="5B64FC97"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5,225.0</w:t>
            </w:r>
          </w:p>
        </w:tc>
        <w:tc>
          <w:tcPr>
            <w:tcW w:w="969" w:type="dxa"/>
            <w:noWrap/>
            <w:vAlign w:val="center"/>
            <w:hideMark/>
          </w:tcPr>
          <w:p w14:paraId="4C3B1023"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2,791.9</w:t>
            </w:r>
          </w:p>
        </w:tc>
        <w:tc>
          <w:tcPr>
            <w:tcW w:w="970" w:type="dxa"/>
            <w:noWrap/>
            <w:vAlign w:val="center"/>
          </w:tcPr>
          <w:p w14:paraId="10E6DC0B"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2,325.1</w:t>
            </w:r>
          </w:p>
        </w:tc>
      </w:tr>
      <w:tr w:rsidR="007F015E" w:rsidRPr="00045A4A" w14:paraId="7C49776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6CD4E69F"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t>Assets</w:t>
            </w:r>
          </w:p>
        </w:tc>
        <w:tc>
          <w:tcPr>
            <w:tcW w:w="969" w:type="dxa"/>
            <w:noWrap/>
            <w:vAlign w:val="center"/>
            <w:hideMark/>
          </w:tcPr>
          <w:p w14:paraId="3EA06483"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−1,356.3</w:t>
            </w:r>
          </w:p>
        </w:tc>
        <w:tc>
          <w:tcPr>
            <w:tcW w:w="969" w:type="dxa"/>
            <w:noWrap/>
            <w:vAlign w:val="center"/>
            <w:hideMark/>
          </w:tcPr>
          <w:p w14:paraId="2A3CCE1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−335.0</w:t>
            </w:r>
          </w:p>
        </w:tc>
        <w:tc>
          <w:tcPr>
            <w:tcW w:w="970" w:type="dxa"/>
            <w:noWrap/>
            <w:vAlign w:val="center"/>
            <w:hideMark/>
          </w:tcPr>
          <w:p w14:paraId="79BAC2F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−356.6</w:t>
            </w:r>
          </w:p>
        </w:tc>
        <w:tc>
          <w:tcPr>
            <w:tcW w:w="969" w:type="dxa"/>
            <w:noWrap/>
            <w:vAlign w:val="center"/>
            <w:hideMark/>
          </w:tcPr>
          <w:p w14:paraId="0CD62E3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−2,423.7</w:t>
            </w:r>
          </w:p>
        </w:tc>
        <w:tc>
          <w:tcPr>
            <w:tcW w:w="970" w:type="dxa"/>
            <w:noWrap/>
            <w:vAlign w:val="center"/>
            <w:hideMark/>
          </w:tcPr>
          <w:p w14:paraId="0FB7952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−716.3</w:t>
            </w:r>
          </w:p>
        </w:tc>
        <w:tc>
          <w:tcPr>
            <w:tcW w:w="969" w:type="dxa"/>
            <w:noWrap/>
            <w:vAlign w:val="center"/>
            <w:hideMark/>
          </w:tcPr>
          <w:p w14:paraId="10E2A4B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−627.8</w:t>
            </w:r>
          </w:p>
        </w:tc>
        <w:tc>
          <w:tcPr>
            <w:tcW w:w="970" w:type="dxa"/>
            <w:noWrap/>
            <w:vAlign w:val="center"/>
          </w:tcPr>
          <w:p w14:paraId="61D67B6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−534.5</w:t>
            </w:r>
          </w:p>
        </w:tc>
      </w:tr>
      <w:tr w:rsidR="007F015E" w:rsidRPr="00045A4A" w14:paraId="2CD9467D" w14:textId="77777777" w:rsidTr="002C718D">
        <w:trPr>
          <w:cantSplit/>
        </w:trPr>
        <w:tc>
          <w:tcPr>
            <w:tcW w:w="2122" w:type="dxa"/>
            <w:vAlign w:val="center"/>
            <w:hideMark/>
          </w:tcPr>
          <w:p w14:paraId="2976D22F"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lastRenderedPageBreak/>
              <w:t>Liabilities</w:t>
            </w:r>
          </w:p>
        </w:tc>
        <w:tc>
          <w:tcPr>
            <w:tcW w:w="969" w:type="dxa"/>
            <w:noWrap/>
            <w:vAlign w:val="center"/>
            <w:hideMark/>
          </w:tcPr>
          <w:p w14:paraId="4E6A233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1,286.3</w:t>
            </w:r>
          </w:p>
        </w:tc>
        <w:tc>
          <w:tcPr>
            <w:tcW w:w="969" w:type="dxa"/>
            <w:noWrap/>
            <w:vAlign w:val="center"/>
            <w:hideMark/>
          </w:tcPr>
          <w:p w14:paraId="58D62CD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−2,172.4</w:t>
            </w:r>
          </w:p>
        </w:tc>
        <w:tc>
          <w:tcPr>
            <w:tcW w:w="970" w:type="dxa"/>
            <w:noWrap/>
            <w:vAlign w:val="center"/>
            <w:hideMark/>
          </w:tcPr>
          <w:p w14:paraId="2B839DA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2,266.1</w:t>
            </w:r>
          </w:p>
        </w:tc>
        <w:tc>
          <w:tcPr>
            <w:tcW w:w="969" w:type="dxa"/>
            <w:noWrap/>
            <w:vAlign w:val="center"/>
            <w:hideMark/>
          </w:tcPr>
          <w:p w14:paraId="7344168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2,917.3</w:t>
            </w:r>
          </w:p>
        </w:tc>
        <w:tc>
          <w:tcPr>
            <w:tcW w:w="970" w:type="dxa"/>
            <w:noWrap/>
            <w:vAlign w:val="center"/>
            <w:hideMark/>
          </w:tcPr>
          <w:p w14:paraId="1621842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5,941.2</w:t>
            </w:r>
          </w:p>
        </w:tc>
        <w:tc>
          <w:tcPr>
            <w:tcW w:w="969" w:type="dxa"/>
            <w:noWrap/>
            <w:vAlign w:val="center"/>
            <w:hideMark/>
          </w:tcPr>
          <w:p w14:paraId="1ED8764F"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3,419.8</w:t>
            </w:r>
          </w:p>
        </w:tc>
        <w:tc>
          <w:tcPr>
            <w:tcW w:w="970" w:type="dxa"/>
            <w:noWrap/>
            <w:vAlign w:val="center"/>
          </w:tcPr>
          <w:p w14:paraId="713F84DF"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2,859.6</w:t>
            </w:r>
          </w:p>
        </w:tc>
      </w:tr>
      <w:tr w:rsidR="007F015E" w:rsidRPr="00045A4A" w14:paraId="0BD50E5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2671FD68" w14:textId="77777777" w:rsidR="00DE4516" w:rsidRPr="00A46ADC" w:rsidRDefault="00DE4516" w:rsidP="00DE4516">
            <w:pPr>
              <w:pStyle w:val="TableBody"/>
              <w:autoSpaceDE w:val="0"/>
              <w:autoSpaceDN w:val="0"/>
              <w:adjustRightInd w:val="0"/>
              <w:ind w:left="159"/>
              <w:jc w:val="both"/>
              <w:rPr>
                <w:rFonts w:cs="Calibri"/>
                <w:color w:val="000000"/>
                <w:sz w:val="14"/>
                <w:szCs w:val="14"/>
              </w:rPr>
            </w:pPr>
            <w:r w:rsidRPr="00A46ADC">
              <w:t>Portfolio investment</w:t>
            </w:r>
          </w:p>
        </w:tc>
        <w:tc>
          <w:tcPr>
            <w:tcW w:w="969" w:type="dxa"/>
            <w:noWrap/>
            <w:vAlign w:val="center"/>
            <w:hideMark/>
          </w:tcPr>
          <w:p w14:paraId="7E134A01"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−776.1</w:t>
            </w:r>
          </w:p>
        </w:tc>
        <w:tc>
          <w:tcPr>
            <w:tcW w:w="969" w:type="dxa"/>
            <w:noWrap/>
            <w:vAlign w:val="center"/>
            <w:hideMark/>
          </w:tcPr>
          <w:p w14:paraId="450B16A7"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855.5</w:t>
            </w:r>
          </w:p>
        </w:tc>
        <w:tc>
          <w:tcPr>
            <w:tcW w:w="970" w:type="dxa"/>
            <w:noWrap/>
            <w:vAlign w:val="center"/>
            <w:hideMark/>
          </w:tcPr>
          <w:p w14:paraId="5570DC1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4,999.9</w:t>
            </w:r>
          </w:p>
        </w:tc>
        <w:tc>
          <w:tcPr>
            <w:tcW w:w="969" w:type="dxa"/>
            <w:noWrap/>
            <w:vAlign w:val="center"/>
            <w:hideMark/>
          </w:tcPr>
          <w:p w14:paraId="65B8F709"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6,286.0</w:t>
            </w:r>
          </w:p>
        </w:tc>
        <w:tc>
          <w:tcPr>
            <w:tcW w:w="970" w:type="dxa"/>
            <w:noWrap/>
            <w:vAlign w:val="center"/>
            <w:hideMark/>
          </w:tcPr>
          <w:p w14:paraId="03E9FE72"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6,800.1</w:t>
            </w:r>
          </w:p>
        </w:tc>
        <w:tc>
          <w:tcPr>
            <w:tcW w:w="969" w:type="dxa"/>
            <w:noWrap/>
            <w:vAlign w:val="center"/>
            <w:hideMark/>
          </w:tcPr>
          <w:p w14:paraId="42D31DA7"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1,180.0</w:t>
            </w:r>
          </w:p>
        </w:tc>
        <w:tc>
          <w:tcPr>
            <w:tcW w:w="970" w:type="dxa"/>
            <w:noWrap/>
            <w:vAlign w:val="center"/>
          </w:tcPr>
          <w:p w14:paraId="3825590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2,242.9</w:t>
            </w:r>
          </w:p>
        </w:tc>
      </w:tr>
      <w:tr w:rsidR="007F015E" w:rsidRPr="00045A4A" w14:paraId="5773288B" w14:textId="77777777" w:rsidTr="002C718D">
        <w:trPr>
          <w:cantSplit/>
        </w:trPr>
        <w:tc>
          <w:tcPr>
            <w:tcW w:w="2122" w:type="dxa"/>
            <w:vAlign w:val="center"/>
            <w:hideMark/>
          </w:tcPr>
          <w:p w14:paraId="07945E01"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t>Assets</w:t>
            </w:r>
          </w:p>
        </w:tc>
        <w:tc>
          <w:tcPr>
            <w:tcW w:w="969" w:type="dxa"/>
            <w:noWrap/>
            <w:vAlign w:val="center"/>
            <w:hideMark/>
          </w:tcPr>
          <w:p w14:paraId="61E6EE87"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−1,574.5</w:t>
            </w:r>
          </w:p>
        </w:tc>
        <w:tc>
          <w:tcPr>
            <w:tcW w:w="969" w:type="dxa"/>
            <w:noWrap/>
            <w:vAlign w:val="center"/>
            <w:hideMark/>
          </w:tcPr>
          <w:p w14:paraId="7359AAA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−1,152.6</w:t>
            </w:r>
          </w:p>
        </w:tc>
        <w:tc>
          <w:tcPr>
            <w:tcW w:w="970" w:type="dxa"/>
            <w:noWrap/>
            <w:vAlign w:val="center"/>
            <w:hideMark/>
          </w:tcPr>
          <w:p w14:paraId="51F49AF0"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371.5</w:t>
            </w:r>
          </w:p>
        </w:tc>
        <w:tc>
          <w:tcPr>
            <w:tcW w:w="969" w:type="dxa"/>
            <w:noWrap/>
            <w:vAlign w:val="center"/>
            <w:hideMark/>
          </w:tcPr>
          <w:p w14:paraId="2FE8D41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−1,409.9</w:t>
            </w:r>
          </w:p>
        </w:tc>
        <w:tc>
          <w:tcPr>
            <w:tcW w:w="970" w:type="dxa"/>
            <w:noWrap/>
            <w:vAlign w:val="center"/>
            <w:hideMark/>
          </w:tcPr>
          <w:p w14:paraId="121E17BB"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−1,775.3</w:t>
            </w:r>
          </w:p>
        </w:tc>
        <w:tc>
          <w:tcPr>
            <w:tcW w:w="969" w:type="dxa"/>
            <w:noWrap/>
            <w:vAlign w:val="center"/>
            <w:hideMark/>
          </w:tcPr>
          <w:p w14:paraId="27812771"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−1,879.6</w:t>
            </w:r>
          </w:p>
        </w:tc>
        <w:tc>
          <w:tcPr>
            <w:tcW w:w="970" w:type="dxa"/>
            <w:noWrap/>
            <w:vAlign w:val="center"/>
          </w:tcPr>
          <w:p w14:paraId="20D2F0F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−1,031.7</w:t>
            </w:r>
          </w:p>
        </w:tc>
      </w:tr>
      <w:tr w:rsidR="007F015E" w:rsidRPr="00045A4A" w14:paraId="26B3332D"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77E73D27"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t>Liabilities</w:t>
            </w:r>
          </w:p>
        </w:tc>
        <w:tc>
          <w:tcPr>
            <w:tcW w:w="969" w:type="dxa"/>
            <w:noWrap/>
            <w:vAlign w:val="center"/>
            <w:hideMark/>
          </w:tcPr>
          <w:p w14:paraId="7D21E724"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798.4</w:t>
            </w:r>
          </w:p>
        </w:tc>
        <w:tc>
          <w:tcPr>
            <w:tcW w:w="969" w:type="dxa"/>
            <w:noWrap/>
            <w:vAlign w:val="center"/>
            <w:hideMark/>
          </w:tcPr>
          <w:p w14:paraId="18AD588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2,008.1</w:t>
            </w:r>
          </w:p>
        </w:tc>
        <w:tc>
          <w:tcPr>
            <w:tcW w:w="970" w:type="dxa"/>
            <w:noWrap/>
            <w:vAlign w:val="center"/>
            <w:hideMark/>
          </w:tcPr>
          <w:p w14:paraId="4D29DDA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4,628.3</w:t>
            </w:r>
          </w:p>
        </w:tc>
        <w:tc>
          <w:tcPr>
            <w:tcW w:w="969" w:type="dxa"/>
            <w:noWrap/>
            <w:vAlign w:val="center"/>
            <w:hideMark/>
          </w:tcPr>
          <w:p w14:paraId="5A2A1D3F"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7,695.9</w:t>
            </w:r>
          </w:p>
        </w:tc>
        <w:tc>
          <w:tcPr>
            <w:tcW w:w="970" w:type="dxa"/>
            <w:noWrap/>
            <w:vAlign w:val="center"/>
            <w:hideMark/>
          </w:tcPr>
          <w:p w14:paraId="1CB0ED34"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8,575.4</w:t>
            </w:r>
          </w:p>
        </w:tc>
        <w:tc>
          <w:tcPr>
            <w:tcW w:w="969" w:type="dxa"/>
            <w:noWrap/>
            <w:vAlign w:val="center"/>
            <w:hideMark/>
          </w:tcPr>
          <w:p w14:paraId="4A88AC4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3,059.6</w:t>
            </w:r>
          </w:p>
        </w:tc>
        <w:tc>
          <w:tcPr>
            <w:tcW w:w="970" w:type="dxa"/>
            <w:noWrap/>
            <w:vAlign w:val="center"/>
          </w:tcPr>
          <w:p w14:paraId="7845BEB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3,274.6</w:t>
            </w:r>
          </w:p>
        </w:tc>
      </w:tr>
      <w:tr w:rsidR="007F015E" w:rsidRPr="00045A4A" w14:paraId="47D42D74" w14:textId="77777777" w:rsidTr="002C718D">
        <w:trPr>
          <w:cantSplit/>
        </w:trPr>
        <w:tc>
          <w:tcPr>
            <w:tcW w:w="2122" w:type="dxa"/>
            <w:vAlign w:val="center"/>
            <w:hideMark/>
          </w:tcPr>
          <w:p w14:paraId="43BF0902" w14:textId="77777777" w:rsidR="00DE4516" w:rsidRPr="00A46ADC" w:rsidRDefault="00DE4516" w:rsidP="00DE4516">
            <w:pPr>
              <w:pStyle w:val="TableBody"/>
              <w:autoSpaceDE w:val="0"/>
              <w:autoSpaceDN w:val="0"/>
              <w:adjustRightInd w:val="0"/>
              <w:ind w:left="159"/>
              <w:jc w:val="both"/>
              <w:rPr>
                <w:rFonts w:cs="Calibri"/>
                <w:color w:val="000000"/>
                <w:sz w:val="14"/>
                <w:szCs w:val="14"/>
              </w:rPr>
            </w:pPr>
            <w:r w:rsidRPr="00A46ADC">
              <w:t>Other investment</w:t>
            </w:r>
          </w:p>
        </w:tc>
        <w:tc>
          <w:tcPr>
            <w:tcW w:w="969" w:type="dxa"/>
            <w:noWrap/>
            <w:vAlign w:val="center"/>
            <w:hideMark/>
          </w:tcPr>
          <w:p w14:paraId="12C96C6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−1,175.3</w:t>
            </w:r>
          </w:p>
        </w:tc>
        <w:tc>
          <w:tcPr>
            <w:tcW w:w="969" w:type="dxa"/>
            <w:noWrap/>
            <w:vAlign w:val="center"/>
            <w:hideMark/>
          </w:tcPr>
          <w:p w14:paraId="545009E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13,117.1</w:t>
            </w:r>
          </w:p>
        </w:tc>
        <w:tc>
          <w:tcPr>
            <w:tcW w:w="970" w:type="dxa"/>
            <w:noWrap/>
            <w:vAlign w:val="center"/>
            <w:hideMark/>
          </w:tcPr>
          <w:p w14:paraId="1D999B85"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−3,226.3</w:t>
            </w:r>
          </w:p>
        </w:tc>
        <w:tc>
          <w:tcPr>
            <w:tcW w:w="969" w:type="dxa"/>
            <w:noWrap/>
            <w:vAlign w:val="center"/>
            <w:hideMark/>
          </w:tcPr>
          <w:p w14:paraId="28F00FA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1,821.5</w:t>
            </w:r>
          </w:p>
        </w:tc>
        <w:tc>
          <w:tcPr>
            <w:tcW w:w="970" w:type="dxa"/>
            <w:noWrap/>
            <w:vAlign w:val="center"/>
            <w:hideMark/>
          </w:tcPr>
          <w:p w14:paraId="1C95B823"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−4,361.0</w:t>
            </w:r>
          </w:p>
        </w:tc>
        <w:tc>
          <w:tcPr>
            <w:tcW w:w="969" w:type="dxa"/>
            <w:noWrap/>
            <w:vAlign w:val="center"/>
            <w:hideMark/>
          </w:tcPr>
          <w:p w14:paraId="36C5E637"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−585.9</w:t>
            </w:r>
          </w:p>
        </w:tc>
        <w:tc>
          <w:tcPr>
            <w:tcW w:w="970" w:type="dxa"/>
            <w:noWrap/>
            <w:vAlign w:val="center"/>
          </w:tcPr>
          <w:p w14:paraId="611D9B1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2,193.0</w:t>
            </w:r>
          </w:p>
        </w:tc>
      </w:tr>
      <w:tr w:rsidR="007F015E" w:rsidRPr="00045A4A" w14:paraId="66619764"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31E0A265"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t>Assets</w:t>
            </w:r>
          </w:p>
        </w:tc>
        <w:tc>
          <w:tcPr>
            <w:tcW w:w="969" w:type="dxa"/>
            <w:noWrap/>
            <w:vAlign w:val="center"/>
            <w:hideMark/>
          </w:tcPr>
          <w:p w14:paraId="11C2BBB6"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−1,201.0</w:t>
            </w:r>
          </w:p>
        </w:tc>
        <w:tc>
          <w:tcPr>
            <w:tcW w:w="969" w:type="dxa"/>
            <w:noWrap/>
            <w:vAlign w:val="center"/>
            <w:hideMark/>
          </w:tcPr>
          <w:p w14:paraId="76A7DF60"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7,064.0</w:t>
            </w:r>
          </w:p>
        </w:tc>
        <w:tc>
          <w:tcPr>
            <w:tcW w:w="970" w:type="dxa"/>
            <w:noWrap/>
            <w:vAlign w:val="center"/>
            <w:hideMark/>
          </w:tcPr>
          <w:p w14:paraId="213150C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−2,122.6</w:t>
            </w:r>
          </w:p>
        </w:tc>
        <w:tc>
          <w:tcPr>
            <w:tcW w:w="969" w:type="dxa"/>
            <w:noWrap/>
            <w:vAlign w:val="center"/>
            <w:hideMark/>
          </w:tcPr>
          <w:p w14:paraId="7BF583B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−2,359.3</w:t>
            </w:r>
          </w:p>
        </w:tc>
        <w:tc>
          <w:tcPr>
            <w:tcW w:w="970" w:type="dxa"/>
            <w:noWrap/>
            <w:vAlign w:val="center"/>
            <w:hideMark/>
          </w:tcPr>
          <w:p w14:paraId="14CBDD81"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−2,968.9</w:t>
            </w:r>
          </w:p>
        </w:tc>
        <w:tc>
          <w:tcPr>
            <w:tcW w:w="969" w:type="dxa"/>
            <w:noWrap/>
            <w:vAlign w:val="center"/>
            <w:hideMark/>
          </w:tcPr>
          <w:p w14:paraId="6BFD4A71"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−3,926.9</w:t>
            </w:r>
          </w:p>
        </w:tc>
        <w:tc>
          <w:tcPr>
            <w:tcW w:w="970" w:type="dxa"/>
            <w:noWrap/>
            <w:vAlign w:val="center"/>
          </w:tcPr>
          <w:p w14:paraId="6F1DD42C"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1,135.1</w:t>
            </w:r>
          </w:p>
        </w:tc>
      </w:tr>
      <w:tr w:rsidR="007F015E" w:rsidRPr="00045A4A" w14:paraId="4F4A2FB0" w14:textId="77777777" w:rsidTr="002C718D">
        <w:trPr>
          <w:cantSplit/>
        </w:trPr>
        <w:tc>
          <w:tcPr>
            <w:tcW w:w="2122" w:type="dxa"/>
            <w:vAlign w:val="center"/>
            <w:hideMark/>
          </w:tcPr>
          <w:p w14:paraId="48F9B776" w14:textId="77777777" w:rsidR="00DE4516" w:rsidRPr="00A46ADC" w:rsidRDefault="00DE4516" w:rsidP="00DE4516">
            <w:pPr>
              <w:pStyle w:val="TableBody"/>
              <w:autoSpaceDE w:val="0"/>
              <w:autoSpaceDN w:val="0"/>
              <w:adjustRightInd w:val="0"/>
              <w:ind w:left="249"/>
              <w:jc w:val="both"/>
              <w:rPr>
                <w:rFonts w:cs="Calibri"/>
                <w:color w:val="000000"/>
                <w:sz w:val="14"/>
                <w:szCs w:val="14"/>
              </w:rPr>
            </w:pPr>
            <w:r w:rsidRPr="00A46ADC">
              <w:t>Liabilities</w:t>
            </w:r>
          </w:p>
        </w:tc>
        <w:tc>
          <w:tcPr>
            <w:tcW w:w="969" w:type="dxa"/>
            <w:noWrap/>
            <w:vAlign w:val="center"/>
            <w:hideMark/>
          </w:tcPr>
          <w:p w14:paraId="2F00056E"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25.7</w:t>
            </w:r>
          </w:p>
        </w:tc>
        <w:tc>
          <w:tcPr>
            <w:tcW w:w="969" w:type="dxa"/>
            <w:noWrap/>
            <w:vAlign w:val="center"/>
            <w:hideMark/>
          </w:tcPr>
          <w:p w14:paraId="2EDD2574"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6,053.1</w:t>
            </w:r>
          </w:p>
        </w:tc>
        <w:tc>
          <w:tcPr>
            <w:tcW w:w="970" w:type="dxa"/>
            <w:noWrap/>
            <w:vAlign w:val="center"/>
            <w:hideMark/>
          </w:tcPr>
          <w:p w14:paraId="74F29A78"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−1,103.7</w:t>
            </w:r>
          </w:p>
        </w:tc>
        <w:tc>
          <w:tcPr>
            <w:tcW w:w="969" w:type="dxa"/>
            <w:noWrap/>
            <w:vAlign w:val="center"/>
            <w:hideMark/>
          </w:tcPr>
          <w:p w14:paraId="1A1CEAC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4,180.9</w:t>
            </w:r>
          </w:p>
        </w:tc>
        <w:tc>
          <w:tcPr>
            <w:tcW w:w="970" w:type="dxa"/>
            <w:noWrap/>
            <w:vAlign w:val="center"/>
            <w:hideMark/>
          </w:tcPr>
          <w:p w14:paraId="62688207"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−1,392.1</w:t>
            </w:r>
          </w:p>
        </w:tc>
        <w:tc>
          <w:tcPr>
            <w:tcW w:w="969" w:type="dxa"/>
            <w:noWrap/>
            <w:vAlign w:val="center"/>
            <w:hideMark/>
          </w:tcPr>
          <w:p w14:paraId="5E51324A"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3,341.0</w:t>
            </w:r>
          </w:p>
        </w:tc>
        <w:tc>
          <w:tcPr>
            <w:tcW w:w="970" w:type="dxa"/>
            <w:noWrap/>
            <w:vAlign w:val="center"/>
          </w:tcPr>
          <w:p w14:paraId="6C03225D" w14:textId="77777777" w:rsidR="00DE4516" w:rsidRPr="00A46ADC" w:rsidRDefault="00DE4516" w:rsidP="00DE4516">
            <w:pPr>
              <w:pStyle w:val="TableBody"/>
              <w:autoSpaceDE w:val="0"/>
              <w:autoSpaceDN w:val="0"/>
              <w:adjustRightInd w:val="0"/>
              <w:jc w:val="right"/>
              <w:rPr>
                <w:rFonts w:cs="Calibri"/>
                <w:color w:val="000000"/>
                <w:sz w:val="14"/>
                <w:szCs w:val="14"/>
              </w:rPr>
            </w:pPr>
            <w:r w:rsidRPr="00A46ADC">
              <w:t>841.9</w:t>
            </w:r>
          </w:p>
        </w:tc>
      </w:tr>
      <w:tr w:rsidR="007F015E" w:rsidRPr="00045A4A" w14:paraId="4DBDD2CD"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2122" w:type="dxa"/>
            <w:vAlign w:val="center"/>
            <w:hideMark/>
          </w:tcPr>
          <w:p w14:paraId="6C144DF9"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 xml:space="preserve">Net </w:t>
            </w:r>
            <w:r w:rsidRPr="00A46ADC">
              <w:rPr>
                <w:b/>
                <w:highlight w:val="blue"/>
              </w:rPr>
              <w:t>errors &amp; o</w:t>
            </w:r>
            <w:r w:rsidRPr="00A46ADC">
              <w:rPr>
                <w:b/>
              </w:rPr>
              <w:t>missions</w:t>
            </w:r>
          </w:p>
        </w:tc>
        <w:tc>
          <w:tcPr>
            <w:tcW w:w="969" w:type="dxa"/>
            <w:noWrap/>
            <w:vAlign w:val="center"/>
            <w:hideMark/>
          </w:tcPr>
          <w:p w14:paraId="62003DE5"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-938.7</w:t>
            </w:r>
          </w:p>
        </w:tc>
        <w:tc>
          <w:tcPr>
            <w:tcW w:w="969" w:type="dxa"/>
            <w:noWrap/>
            <w:vAlign w:val="center"/>
            <w:hideMark/>
          </w:tcPr>
          <w:p w14:paraId="3E535E85"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-457.4</w:t>
            </w:r>
          </w:p>
        </w:tc>
        <w:tc>
          <w:tcPr>
            <w:tcW w:w="970" w:type="dxa"/>
            <w:noWrap/>
            <w:vAlign w:val="center"/>
            <w:hideMark/>
          </w:tcPr>
          <w:p w14:paraId="1F5DF67A"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-1,061.3</w:t>
            </w:r>
          </w:p>
        </w:tc>
        <w:tc>
          <w:tcPr>
            <w:tcW w:w="969" w:type="dxa"/>
            <w:noWrap/>
            <w:vAlign w:val="center"/>
            <w:hideMark/>
          </w:tcPr>
          <w:p w14:paraId="72C557D8"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-652.7</w:t>
            </w:r>
          </w:p>
        </w:tc>
        <w:tc>
          <w:tcPr>
            <w:tcW w:w="970" w:type="dxa"/>
            <w:noWrap/>
            <w:vAlign w:val="center"/>
            <w:hideMark/>
          </w:tcPr>
          <w:p w14:paraId="17C7FC25"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-903.6</w:t>
            </w:r>
          </w:p>
        </w:tc>
        <w:tc>
          <w:tcPr>
            <w:tcW w:w="969" w:type="dxa"/>
            <w:noWrap/>
            <w:vAlign w:val="center"/>
            <w:hideMark/>
          </w:tcPr>
          <w:p w14:paraId="6E20E8E3"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-764.6</w:t>
            </w:r>
          </w:p>
        </w:tc>
        <w:tc>
          <w:tcPr>
            <w:tcW w:w="970" w:type="dxa"/>
            <w:noWrap/>
            <w:vAlign w:val="center"/>
          </w:tcPr>
          <w:p w14:paraId="7F93374F"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-618.8</w:t>
            </w:r>
          </w:p>
        </w:tc>
      </w:tr>
      <w:tr w:rsidR="007F015E" w:rsidRPr="00045A4A" w14:paraId="5CD349C0" w14:textId="77777777" w:rsidTr="002C718D">
        <w:trPr>
          <w:cantSplit/>
        </w:trPr>
        <w:tc>
          <w:tcPr>
            <w:tcW w:w="2122" w:type="dxa"/>
            <w:tcBorders>
              <w:bottom w:val="single" w:sz="4" w:space="0" w:color="auto"/>
            </w:tcBorders>
            <w:vAlign w:val="center"/>
            <w:hideMark/>
          </w:tcPr>
          <w:p w14:paraId="064CDB1E" w14:textId="77777777" w:rsidR="00DE4516" w:rsidRPr="00A46ADC" w:rsidRDefault="00DE4516" w:rsidP="00DE4516">
            <w:pPr>
              <w:pStyle w:val="TableBody"/>
              <w:autoSpaceDE w:val="0"/>
              <w:autoSpaceDN w:val="0"/>
              <w:adjustRightInd w:val="0"/>
              <w:jc w:val="both"/>
              <w:rPr>
                <w:rFonts w:cs="Calibri"/>
                <w:b/>
                <w:bCs/>
                <w:color w:val="000000"/>
                <w:sz w:val="14"/>
                <w:szCs w:val="14"/>
              </w:rPr>
            </w:pPr>
            <w:r w:rsidRPr="00A46ADC">
              <w:rPr>
                <w:b/>
              </w:rPr>
              <w:t>Overall balance</w:t>
            </w:r>
          </w:p>
        </w:tc>
        <w:tc>
          <w:tcPr>
            <w:tcW w:w="969" w:type="dxa"/>
            <w:tcBorders>
              <w:bottom w:val="single" w:sz="4" w:space="0" w:color="auto"/>
            </w:tcBorders>
            <w:noWrap/>
            <w:vAlign w:val="center"/>
            <w:hideMark/>
          </w:tcPr>
          <w:p w14:paraId="4D7EBCCE"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1,115.7</w:t>
            </w:r>
          </w:p>
        </w:tc>
        <w:tc>
          <w:tcPr>
            <w:tcW w:w="969" w:type="dxa"/>
            <w:tcBorders>
              <w:bottom w:val="single" w:sz="4" w:space="0" w:color="auto"/>
            </w:tcBorders>
            <w:noWrap/>
            <w:vAlign w:val="center"/>
            <w:hideMark/>
          </w:tcPr>
          <w:p w14:paraId="121DF970"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611.8</w:t>
            </w:r>
          </w:p>
        </w:tc>
        <w:tc>
          <w:tcPr>
            <w:tcW w:w="970" w:type="dxa"/>
            <w:tcBorders>
              <w:bottom w:val="single" w:sz="4" w:space="0" w:color="auto"/>
            </w:tcBorders>
            <w:noWrap/>
            <w:vAlign w:val="center"/>
            <w:hideMark/>
          </w:tcPr>
          <w:p w14:paraId="22F705EC"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-9,402.9</w:t>
            </w:r>
          </w:p>
        </w:tc>
        <w:tc>
          <w:tcPr>
            <w:tcW w:w="969" w:type="dxa"/>
            <w:tcBorders>
              <w:bottom w:val="single" w:sz="4" w:space="0" w:color="auto"/>
            </w:tcBorders>
            <w:noWrap/>
            <w:vAlign w:val="center"/>
            <w:hideMark/>
          </w:tcPr>
          <w:p w14:paraId="79AAE61A"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-2,772.7</w:t>
            </w:r>
          </w:p>
        </w:tc>
        <w:tc>
          <w:tcPr>
            <w:tcW w:w="970" w:type="dxa"/>
            <w:tcBorders>
              <w:bottom w:val="single" w:sz="4" w:space="0" w:color="auto"/>
            </w:tcBorders>
            <w:noWrap/>
            <w:vAlign w:val="center"/>
            <w:hideMark/>
          </w:tcPr>
          <w:p w14:paraId="2C4A7C91"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2,575.0</w:t>
            </w:r>
          </w:p>
        </w:tc>
        <w:tc>
          <w:tcPr>
            <w:tcW w:w="969" w:type="dxa"/>
            <w:tcBorders>
              <w:bottom w:val="single" w:sz="4" w:space="0" w:color="auto"/>
            </w:tcBorders>
            <w:noWrap/>
            <w:vAlign w:val="center"/>
            <w:hideMark/>
          </w:tcPr>
          <w:p w14:paraId="409989BD"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-1,405.0</w:t>
            </w:r>
          </w:p>
        </w:tc>
        <w:tc>
          <w:tcPr>
            <w:tcW w:w="970" w:type="dxa"/>
            <w:tcBorders>
              <w:bottom w:val="single" w:sz="4" w:space="0" w:color="auto"/>
            </w:tcBorders>
            <w:noWrap/>
            <w:vAlign w:val="center"/>
          </w:tcPr>
          <w:p w14:paraId="5D45E0F0" w14:textId="77777777" w:rsidR="00DE4516" w:rsidRPr="00A46ADC" w:rsidRDefault="00DE4516" w:rsidP="00DE4516">
            <w:pPr>
              <w:pStyle w:val="TableBody"/>
              <w:autoSpaceDE w:val="0"/>
              <w:autoSpaceDN w:val="0"/>
              <w:adjustRightInd w:val="0"/>
              <w:jc w:val="right"/>
              <w:rPr>
                <w:rFonts w:cs="Calibri"/>
                <w:b/>
                <w:bCs/>
                <w:color w:val="000000"/>
                <w:sz w:val="14"/>
                <w:szCs w:val="14"/>
              </w:rPr>
            </w:pPr>
            <w:r w:rsidRPr="00A46ADC">
              <w:rPr>
                <w:b/>
              </w:rPr>
              <w:t>-2,281.7</w:t>
            </w:r>
          </w:p>
        </w:tc>
      </w:tr>
    </w:tbl>
    <w:p w14:paraId="00D5B64B" w14:textId="09F73C88" w:rsidR="00DE4516" w:rsidRDefault="00DE4516">
      <w:pPr>
        <w:pStyle w:val="TableSource"/>
        <w:autoSpaceDE w:val="0"/>
        <w:autoSpaceDN w:val="0"/>
        <w:adjustRightInd w:val="0"/>
        <w:rPr>
          <w:szCs w:val="24"/>
        </w:rPr>
      </w:pPr>
      <w:r>
        <w:rPr>
          <w:szCs w:val="24"/>
        </w:rPr>
        <w:t>Source:</w:t>
      </w:r>
      <w:r>
        <w:rPr>
          <w:szCs w:val="24"/>
        </w:rPr>
        <w:tab/>
        <w:t>National Centre for Statistics and Information.</w:t>
      </w:r>
    </w:p>
    <w:p w14:paraId="21BF0BA7" w14:textId="77777777" w:rsidR="00DE4516" w:rsidRDefault="00DE4516">
      <w:pPr>
        <w:pStyle w:val="BodyText0"/>
        <w:autoSpaceDE w:val="0"/>
        <w:autoSpaceDN w:val="0"/>
        <w:adjustRightInd w:val="0"/>
        <w:rPr>
          <w:szCs w:val="24"/>
        </w:rPr>
      </w:pPr>
      <w:r>
        <w:rPr>
          <w:szCs w:val="24"/>
        </w:rPr>
        <w:t>Diversification is an important component of Oman's Ninth Five-Year Development Plan (2016-2020). The Plan identified manufacturing, transport and logistic services, tourism, fisheries, and mining as five priority sectors for the Sultanate's diversification efforts.</w:t>
      </w:r>
      <w:r w:rsidRPr="00DE4516">
        <w:rPr>
          <w:rStyle w:val="FootnoteReference"/>
        </w:rPr>
        <w:footnoteReference w:id="17"/>
      </w:r>
      <w:r>
        <w:rPr>
          <w:szCs w:val="24"/>
        </w:rPr>
        <w:t xml:space="preserve"> The Plan was executed by the National Programme for Enhancing Economic Diversification (</w:t>
      </w:r>
      <w:proofErr w:type="spellStart"/>
      <w:r>
        <w:rPr>
          <w:szCs w:val="24"/>
        </w:rPr>
        <w:t>Tanfeedh</w:t>
      </w:r>
      <w:proofErr w:type="spellEnd"/>
      <w:r>
        <w:rPr>
          <w:szCs w:val="24"/>
        </w:rPr>
        <w:t xml:space="preserve"> programme) to track and coordinate reform efforts across priority sectors. The ongoing </w:t>
      </w:r>
      <w:proofErr w:type="spellStart"/>
      <w:r>
        <w:rPr>
          <w:szCs w:val="24"/>
        </w:rPr>
        <w:t>Tanfeedh</w:t>
      </w:r>
      <w:proofErr w:type="spellEnd"/>
      <w:r>
        <w:rPr>
          <w:szCs w:val="24"/>
        </w:rPr>
        <w:t xml:space="preserve"> implementation is focused on economic diversification and job creation. Through the programme, a total of OMR 12.1 billion was planned to be invested in these sectors, of which 50% (OMR 6.1 billion) was destined for transport infrastructure; it was observed that Oman's re-export and logistics sector experienced a boost in the last few years.</w:t>
      </w:r>
    </w:p>
    <w:p w14:paraId="392EC62F" w14:textId="77777777" w:rsidR="00DE4516" w:rsidRDefault="00DE4516">
      <w:pPr>
        <w:pStyle w:val="BodyText0"/>
        <w:autoSpaceDE w:val="0"/>
        <w:autoSpaceDN w:val="0"/>
        <w:adjustRightInd w:val="0"/>
        <w:rPr>
          <w:szCs w:val="24"/>
        </w:rPr>
      </w:pPr>
      <w:proofErr w:type="spellStart"/>
      <w:r>
        <w:rPr>
          <w:szCs w:val="24"/>
        </w:rPr>
        <w:t>Omanization</w:t>
      </w:r>
      <w:proofErr w:type="spellEnd"/>
      <w:r>
        <w:rPr>
          <w:szCs w:val="24"/>
        </w:rPr>
        <w:t xml:space="preserve"> is the job creation policy for Omanis. Under Oman Vision 2040, Oman's latest long-term strategy published in January 2019 (Section 2), Omanis are expected to account for over 40% of the workforce in the private sector. </w:t>
      </w:r>
      <w:proofErr w:type="spellStart"/>
      <w:r>
        <w:rPr>
          <w:szCs w:val="24"/>
        </w:rPr>
        <w:t>Omanization</w:t>
      </w:r>
      <w:proofErr w:type="spellEnd"/>
      <w:r>
        <w:rPr>
          <w:szCs w:val="24"/>
        </w:rPr>
        <w:t xml:space="preserve"> quotas are assigned to various sectors, including 60% for transport, storage, and communications; 45% for finance, insurance, and real estate; 35% for industry; 30% for hotels and restaurants; 20% for the wholesale and retail trades; and 15% for contracting. The quotas may be reviewed periodically. The authorities have taken steps to ensure that the </w:t>
      </w:r>
      <w:proofErr w:type="spellStart"/>
      <w:r>
        <w:rPr>
          <w:szCs w:val="24"/>
        </w:rPr>
        <w:t>Omanization</w:t>
      </w:r>
      <w:proofErr w:type="spellEnd"/>
      <w:r>
        <w:rPr>
          <w:szCs w:val="24"/>
        </w:rPr>
        <w:t xml:space="preserve"> quotas are met, for instance, from January 2018 a total of 87 occupations are subject to a temporary ban on hiring foreign workers</w:t>
      </w:r>
      <w:r w:rsidRPr="00DE4516">
        <w:rPr>
          <w:rStyle w:val="FootnoteReference"/>
        </w:rPr>
        <w:footnoteReference w:id="18"/>
      </w:r>
      <w:r>
        <w:rPr>
          <w:szCs w:val="24"/>
        </w:rPr>
        <w:t>; in May 2019, the coverage of the ban was expanded to some positions at the executive levels.</w:t>
      </w:r>
      <w:r w:rsidRPr="00DE4516">
        <w:rPr>
          <w:rStyle w:val="FootnoteReference"/>
        </w:rPr>
        <w:footnoteReference w:id="19"/>
      </w:r>
    </w:p>
    <w:p w14:paraId="5275C71C" w14:textId="77777777" w:rsidR="00DE4516" w:rsidRDefault="00DE4516">
      <w:pPr>
        <w:pStyle w:val="BodyText0"/>
        <w:autoSpaceDE w:val="0"/>
        <w:autoSpaceDN w:val="0"/>
        <w:adjustRightInd w:val="0"/>
        <w:rPr>
          <w:szCs w:val="24"/>
        </w:rPr>
      </w:pPr>
      <w:r>
        <w:rPr>
          <w:szCs w:val="24"/>
        </w:rPr>
        <w:t xml:space="preserve">Oman Vision 2040 continues the focus on </w:t>
      </w:r>
      <w:proofErr w:type="gramStart"/>
      <w:r>
        <w:rPr>
          <w:szCs w:val="24"/>
        </w:rPr>
        <w:t>diversification, and</w:t>
      </w:r>
      <w:proofErr w:type="gramEnd"/>
      <w:r>
        <w:rPr>
          <w:szCs w:val="24"/>
        </w:rPr>
        <w:t xml:space="preserve"> aims to transform the economy to be more driven by the private sector</w:t>
      </w:r>
      <w:r w:rsidRPr="00DE4516">
        <w:rPr>
          <w:rStyle w:val="FootnoteReference"/>
        </w:rPr>
        <w:footnoteReference w:id="20"/>
      </w:r>
      <w:r>
        <w:rPr>
          <w:szCs w:val="24"/>
        </w:rPr>
        <w:t>, especially to encourage more solid development of small and medium-sized enterprises. In this regard, Oman in 2019 enacted several new laws to facilitate structural reform. The new laws are wide-ranging, covering foreign investment, privatization, public-</w:t>
      </w:r>
      <w:r>
        <w:rPr>
          <w:szCs w:val="24"/>
        </w:rPr>
        <w:lastRenderedPageBreak/>
        <w:t>private partnerships, bankruptcy, and company laws. However, the final impact of the reforms will be decided by the executive regulations, implementation rules, and the day-to-day operation of the laws.</w:t>
      </w:r>
    </w:p>
    <w:p w14:paraId="0B647104" w14:textId="77777777" w:rsidR="00DE4516" w:rsidRDefault="00DE4516">
      <w:pPr>
        <w:pStyle w:val="Heading20"/>
        <w:autoSpaceDE w:val="0"/>
        <w:autoSpaceDN w:val="0"/>
        <w:adjustRightInd w:val="0"/>
        <w:rPr>
          <w:szCs w:val="24"/>
        </w:rPr>
      </w:pPr>
      <w:r>
        <w:rPr>
          <w:szCs w:val="24"/>
        </w:rPr>
        <w:t>Developments in Trade and Investment</w:t>
      </w:r>
    </w:p>
    <w:p w14:paraId="275052E3" w14:textId="77777777" w:rsidR="00DE4516" w:rsidRDefault="00DE4516">
      <w:pPr>
        <w:pStyle w:val="Heading30"/>
        <w:autoSpaceDE w:val="0"/>
        <w:autoSpaceDN w:val="0"/>
        <w:adjustRightInd w:val="0"/>
        <w:rPr>
          <w:szCs w:val="24"/>
        </w:rPr>
      </w:pPr>
      <w:r>
        <w:rPr>
          <w:szCs w:val="24"/>
        </w:rPr>
        <w:t>Trends and patterns in merchandise and services trade</w:t>
      </w:r>
    </w:p>
    <w:p w14:paraId="4F889D4A" w14:textId="77777777" w:rsidR="00DE4516" w:rsidRDefault="00DE4516">
      <w:pPr>
        <w:pStyle w:val="BodyText0"/>
        <w:autoSpaceDE w:val="0"/>
        <w:autoSpaceDN w:val="0"/>
        <w:adjustRightInd w:val="0"/>
        <w:rPr>
          <w:szCs w:val="24"/>
        </w:rPr>
      </w:pPr>
      <w:r>
        <w:rPr>
          <w:szCs w:val="24"/>
        </w:rPr>
        <w:t>During the review period, Oman's merchandise trade, both exports and imports, declined by more than 25%; in terms of value, exports dropped slightly deeper than imports (Section 1.2).</w:t>
      </w:r>
    </w:p>
    <w:p w14:paraId="4706FD05" w14:textId="77777777" w:rsidR="00DE4516" w:rsidRDefault="00DE4516">
      <w:pPr>
        <w:pStyle w:val="BodyText0"/>
        <w:autoSpaceDE w:val="0"/>
        <w:autoSpaceDN w:val="0"/>
        <w:adjustRightInd w:val="0"/>
        <w:rPr>
          <w:szCs w:val="24"/>
        </w:rPr>
      </w:pPr>
      <w:r>
        <w:rPr>
          <w:szCs w:val="24"/>
        </w:rPr>
        <w:t>Though its share in total exports dropped, crude oil remained the largest merchandise export earner. Exports from the oil and gas sector accounted for over 60% of total goods exports throughout the review period. Although the continued growth of demand for natural gas benefits Oman, the export of liquified natural gas remained stable, in terms of value, during the review period. Manufacturing exports were mainly basic metals and petrochemical products, accounting for 8.1% and 5.7% of total exports in 2020, respectively (</w:t>
      </w:r>
      <w:r>
        <w:rPr>
          <w:rStyle w:val="citefig"/>
          <w:szCs w:val="24"/>
        </w:rPr>
        <w:t>Chart 1.4</w:t>
      </w:r>
      <w:r>
        <w:rPr>
          <w:szCs w:val="24"/>
        </w:rPr>
        <w:t>).</w:t>
      </w:r>
    </w:p>
    <w:p w14:paraId="72257A30" w14:textId="77777777" w:rsidR="00DE4516" w:rsidRDefault="00DE4516">
      <w:pPr>
        <w:pStyle w:val="BodyText0"/>
        <w:autoSpaceDE w:val="0"/>
        <w:autoSpaceDN w:val="0"/>
        <w:adjustRightInd w:val="0"/>
        <w:rPr>
          <w:szCs w:val="24"/>
        </w:rPr>
      </w:pPr>
      <w:proofErr w:type="gramStart"/>
      <w:r>
        <w:rPr>
          <w:szCs w:val="24"/>
        </w:rPr>
        <w:t>With regard to</w:t>
      </w:r>
      <w:proofErr w:type="gramEnd"/>
      <w:r>
        <w:rPr>
          <w:szCs w:val="24"/>
        </w:rPr>
        <w:t xml:space="preserve"> merchandise imports, Oman spent the most on machinery and electrical equipment. During the review period, imports of machinery and electrical equipment were worth over USD 5 billion on average each year. The second largest group of products that Oman imported during the review period was transport equipment, including motor vehicles, and their parts and components. Notably, transport equipment was the largest group of products in Oman's re-exports. During the review period, the value of transport equipment re-exports was equivalent to more than 50% of the same of imports. Mineral products were another main group of Oman's imported goods, most of which were attributed to refined petroleum products (</w:t>
      </w:r>
      <w:r>
        <w:rPr>
          <w:rStyle w:val="citetbl"/>
          <w:szCs w:val="24"/>
        </w:rPr>
        <w:t>Table A1.2</w:t>
      </w:r>
      <w:r>
        <w:rPr>
          <w:szCs w:val="24"/>
        </w:rPr>
        <w:t>).</w:t>
      </w:r>
    </w:p>
    <w:p w14:paraId="22CD6752" w14:textId="77777777" w:rsidR="00DE4516" w:rsidRDefault="00DE4516">
      <w:pPr>
        <w:pStyle w:val="BodyText0"/>
        <w:autoSpaceDE w:val="0"/>
        <w:autoSpaceDN w:val="0"/>
        <w:adjustRightInd w:val="0"/>
        <w:rPr>
          <w:szCs w:val="24"/>
        </w:rPr>
      </w:pPr>
      <w:r>
        <w:rPr>
          <w:szCs w:val="24"/>
        </w:rPr>
        <w:t xml:space="preserve">Oman's top markets for oil exports are mainly Asian economies, including China; India; Japan; the Republic of Korea; the Separate Customs Territory of Taiwan, Penghu, </w:t>
      </w:r>
      <w:proofErr w:type="gramStart"/>
      <w:r>
        <w:rPr>
          <w:szCs w:val="24"/>
        </w:rPr>
        <w:t>Kinmen</w:t>
      </w:r>
      <w:proofErr w:type="gramEnd"/>
      <w:r>
        <w:rPr>
          <w:szCs w:val="24"/>
        </w:rPr>
        <w:t xml:space="preserve"> and Matsu (Chinese Taipei); Thailand; and Singapore. </w:t>
      </w:r>
      <w:proofErr w:type="gramStart"/>
      <w:r>
        <w:rPr>
          <w:szCs w:val="24"/>
        </w:rPr>
        <w:t>With regard to</w:t>
      </w:r>
      <w:proofErr w:type="gramEnd"/>
      <w:r>
        <w:rPr>
          <w:szCs w:val="24"/>
        </w:rPr>
        <w:t xml:space="preserve"> non</w:t>
      </w:r>
      <w:r>
        <w:rPr>
          <w:szCs w:val="24"/>
        </w:rPr>
        <w:noBreakHyphen/>
        <w:t>oil exports, the GCC neighbours, especially the United Arab Emirates and the Kingdom of Saudi Arabia, were the largest market for Omani exports, followed by China and the United States (</w:t>
      </w:r>
      <w:r>
        <w:rPr>
          <w:rStyle w:val="citetbl"/>
          <w:szCs w:val="24"/>
        </w:rPr>
        <w:t>Table A1.3</w:t>
      </w:r>
      <w:r>
        <w:rPr>
          <w:szCs w:val="24"/>
        </w:rPr>
        <w:t>). The United Arab Emirates remained the largest source for Omani's imports, accounting for 43% of total imports in 2020 (</w:t>
      </w:r>
      <w:r>
        <w:rPr>
          <w:rStyle w:val="citefig"/>
          <w:szCs w:val="24"/>
        </w:rPr>
        <w:t>Chart 1.5</w:t>
      </w:r>
      <w:r>
        <w:rPr>
          <w:szCs w:val="24"/>
        </w:rPr>
        <w:t>). Oman also imported goods from the European Union, China, India, Brazil, and the United States (</w:t>
      </w:r>
      <w:r>
        <w:rPr>
          <w:rStyle w:val="citetbl"/>
          <w:szCs w:val="24"/>
        </w:rPr>
        <w:t>Table A1.4</w:t>
      </w:r>
      <w:r>
        <w:rPr>
          <w:szCs w:val="24"/>
        </w:rPr>
        <w:t>).</w:t>
      </w:r>
    </w:p>
    <w:p w14:paraId="3D016D36" w14:textId="77777777" w:rsidR="00DE4516" w:rsidRDefault="00DE4516">
      <w:pPr>
        <w:pStyle w:val="BodyText0"/>
        <w:autoSpaceDE w:val="0"/>
        <w:autoSpaceDN w:val="0"/>
        <w:adjustRightInd w:val="0"/>
        <w:rPr>
          <w:szCs w:val="24"/>
        </w:rPr>
      </w:pPr>
      <w:r>
        <w:rPr>
          <w:szCs w:val="24"/>
        </w:rPr>
        <w:t>During the review period, Oman remained a net importer of services (</w:t>
      </w:r>
      <w:r>
        <w:rPr>
          <w:rStyle w:val="citetbl"/>
          <w:szCs w:val="24"/>
        </w:rPr>
        <w:t>Table 1.5</w:t>
      </w:r>
      <w:r>
        <w:rPr>
          <w:szCs w:val="24"/>
        </w:rPr>
        <w:t>).</w:t>
      </w:r>
    </w:p>
    <w:p w14:paraId="7AC781D6" w14:textId="77777777" w:rsidR="00DE4516" w:rsidRDefault="00DE4516">
      <w:pPr>
        <w:pStyle w:val="BodyText0"/>
        <w:autoSpaceDE w:val="0"/>
        <w:autoSpaceDN w:val="0"/>
        <w:adjustRightInd w:val="0"/>
        <w:rPr>
          <w:szCs w:val="24"/>
        </w:rPr>
      </w:pPr>
      <w:r>
        <w:rPr>
          <w:szCs w:val="24"/>
        </w:rPr>
        <w:t>Transport services accounted for the largest share in services trade, both regarding exports and imports. Personal travel was an important foreign exchange earner, accounting for about 30% of total export of services. On the import side, around 30% of services imports were attributed to business services, for example, professional services (</w:t>
      </w:r>
      <w:r>
        <w:rPr>
          <w:rStyle w:val="citetbl"/>
          <w:szCs w:val="24"/>
        </w:rPr>
        <w:t>Table 1.5</w:t>
      </w:r>
      <w:r>
        <w:rPr>
          <w:szCs w:val="24"/>
        </w:rPr>
        <w:t>).</w:t>
      </w:r>
    </w:p>
    <w:p w14:paraId="52CCEB0C" w14:textId="77777777" w:rsidR="00DE4516" w:rsidRDefault="00DE4516">
      <w:pPr>
        <w:pStyle w:val="FigureCaption"/>
        <w:autoSpaceDE w:val="0"/>
        <w:autoSpaceDN w:val="0"/>
        <w:adjustRightInd w:val="0"/>
      </w:pPr>
      <w:r>
        <w:t>Chart 1.4 Product composition of merchandise trade by main HS sections, 2014 and 2020</w:t>
      </w:r>
    </w:p>
    <w:p w14:paraId="1A621263" w14:textId="77777777" w:rsidR="00DE4516" w:rsidRDefault="00DE4516">
      <w:pPr>
        <w:pStyle w:val="Non-XMLText"/>
        <w:autoSpaceDE w:val="0"/>
        <w:autoSpaceDN w:val="0"/>
        <w:adjustRightInd w:val="0"/>
      </w:pPr>
      <w:r>
        <w:t>[INSERT FIGURE 004]</w:t>
      </w:r>
    </w:p>
    <w:p w14:paraId="3F683070" w14:textId="77777777" w:rsidR="00DE4516" w:rsidRDefault="00DE4516">
      <w:pPr>
        <w:pStyle w:val="FigureSource"/>
        <w:autoSpaceDE w:val="0"/>
        <w:autoSpaceDN w:val="0"/>
        <w:adjustRightInd w:val="0"/>
        <w:rPr>
          <w:szCs w:val="24"/>
        </w:rPr>
      </w:pPr>
      <w:r>
        <w:rPr>
          <w:szCs w:val="24"/>
        </w:rPr>
        <w:t>Source:</w:t>
      </w:r>
      <w:r>
        <w:rPr>
          <w:szCs w:val="24"/>
        </w:rPr>
        <w:tab/>
        <w:t>WTO Secretariat calculations, based on information provided by the authorities.</w:t>
      </w:r>
    </w:p>
    <w:p w14:paraId="1B1715AD" w14:textId="77777777" w:rsidR="00DE4516" w:rsidRDefault="00DE4516">
      <w:pPr>
        <w:pStyle w:val="FigureCaption"/>
        <w:autoSpaceDE w:val="0"/>
        <w:autoSpaceDN w:val="0"/>
        <w:adjustRightInd w:val="0"/>
      </w:pPr>
      <w:r>
        <w:t>Chart 1.5 Direction of merchandise trade, 2014 and 2020</w:t>
      </w:r>
    </w:p>
    <w:p w14:paraId="5FA75148" w14:textId="77777777" w:rsidR="00DE4516" w:rsidRDefault="00DE4516">
      <w:pPr>
        <w:pStyle w:val="Non-XMLText"/>
        <w:autoSpaceDE w:val="0"/>
        <w:autoSpaceDN w:val="0"/>
        <w:adjustRightInd w:val="0"/>
      </w:pPr>
      <w:r>
        <w:t>[INSERT FIGURE 005]</w:t>
      </w:r>
    </w:p>
    <w:p w14:paraId="30E62347" w14:textId="77777777" w:rsidR="00DE4516" w:rsidRDefault="00DE4516">
      <w:pPr>
        <w:pStyle w:val="FigureSource"/>
        <w:autoSpaceDE w:val="0"/>
        <w:autoSpaceDN w:val="0"/>
        <w:adjustRightInd w:val="0"/>
        <w:rPr>
          <w:szCs w:val="24"/>
        </w:rPr>
      </w:pPr>
      <w:r>
        <w:rPr>
          <w:szCs w:val="24"/>
        </w:rPr>
        <w:t>Source:</w:t>
      </w:r>
      <w:r>
        <w:rPr>
          <w:szCs w:val="24"/>
        </w:rPr>
        <w:tab/>
        <w:t>WTO Secretariat calculations, based on information provided by the authorities.</w:t>
      </w:r>
    </w:p>
    <w:p w14:paraId="07E438C2" w14:textId="77777777" w:rsidR="00DE4516" w:rsidRDefault="00DE4516">
      <w:pPr>
        <w:pStyle w:val="TableTitle"/>
        <w:autoSpaceDE w:val="0"/>
        <w:autoSpaceDN w:val="0"/>
        <w:adjustRightInd w:val="0"/>
      </w:pPr>
      <w:r>
        <w:t>Table 1.5 Trade in services, 2014-20</w:t>
      </w:r>
    </w:p>
    <w:p w14:paraId="59621569" w14:textId="77777777" w:rsidR="00DE4516" w:rsidRDefault="00DE4516">
      <w:pPr>
        <w:pStyle w:val="TableTitleCont"/>
        <w:autoSpaceDE w:val="0"/>
        <w:autoSpaceDN w:val="0"/>
        <w:adjustRightInd w:val="0"/>
        <w:rPr>
          <w:b/>
          <w:color w:val="006283"/>
        </w:rPr>
      </w:pPr>
      <w:r>
        <w:rPr>
          <w:b/>
          <w:color w:val="006283"/>
        </w:rPr>
        <w:t>(USD million)</w:t>
      </w:r>
    </w:p>
    <w:tbl>
      <w:tblPr>
        <w:tblStyle w:val="WTOTable1"/>
        <w:tblW w:w="5000" w:type="pct"/>
        <w:tblLook w:val="05E0" w:firstRow="1" w:lastRow="1" w:firstColumn="1" w:lastColumn="1" w:noHBand="0" w:noVBand="1"/>
      </w:tblPr>
      <w:tblGrid>
        <w:gridCol w:w="2510"/>
        <w:gridCol w:w="929"/>
        <w:gridCol w:w="929"/>
        <w:gridCol w:w="930"/>
        <w:gridCol w:w="929"/>
        <w:gridCol w:w="930"/>
        <w:gridCol w:w="929"/>
        <w:gridCol w:w="930"/>
      </w:tblGrid>
      <w:tr w:rsidR="00DE4516" w:rsidRPr="007F015E" w14:paraId="5E7C0D86"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1392" w:type="pct"/>
            <w:tcBorders>
              <w:top w:val="single" w:sz="4" w:space="0" w:color="auto"/>
            </w:tcBorders>
            <w:noWrap/>
            <w:vAlign w:val="center"/>
            <w:hideMark/>
          </w:tcPr>
          <w:p w14:paraId="75AC0DEA" w14:textId="77777777" w:rsidR="00DE4516" w:rsidRPr="007F015E" w:rsidRDefault="00DE4516" w:rsidP="00DE4516">
            <w:pPr>
              <w:pStyle w:val="TableHead"/>
              <w:autoSpaceDE w:val="0"/>
              <w:autoSpaceDN w:val="0"/>
              <w:adjustRightInd w:val="0"/>
              <w:rPr>
                <w:b/>
              </w:rPr>
            </w:pPr>
          </w:p>
        </w:tc>
        <w:tc>
          <w:tcPr>
            <w:tcW w:w="515" w:type="pct"/>
            <w:tcBorders>
              <w:top w:val="single" w:sz="4" w:space="0" w:color="auto"/>
            </w:tcBorders>
            <w:noWrap/>
            <w:vAlign w:val="center"/>
            <w:hideMark/>
          </w:tcPr>
          <w:p w14:paraId="649EBA40" w14:textId="77777777" w:rsidR="00DE4516" w:rsidRPr="007F015E" w:rsidRDefault="00DE4516" w:rsidP="00DE4516">
            <w:pPr>
              <w:pStyle w:val="TableHead"/>
              <w:autoSpaceDE w:val="0"/>
              <w:autoSpaceDN w:val="0"/>
              <w:adjustRightInd w:val="0"/>
              <w:jc w:val="right"/>
              <w:rPr>
                <w:rFonts w:cs="Calibri"/>
                <w:b/>
                <w:szCs w:val="16"/>
              </w:rPr>
            </w:pPr>
            <w:r w:rsidRPr="007F015E">
              <w:rPr>
                <w:b/>
              </w:rPr>
              <w:t>2014</w:t>
            </w:r>
          </w:p>
        </w:tc>
        <w:tc>
          <w:tcPr>
            <w:tcW w:w="515" w:type="pct"/>
            <w:tcBorders>
              <w:top w:val="single" w:sz="4" w:space="0" w:color="auto"/>
            </w:tcBorders>
            <w:noWrap/>
            <w:vAlign w:val="center"/>
            <w:hideMark/>
          </w:tcPr>
          <w:p w14:paraId="385C06FC" w14:textId="77777777" w:rsidR="00DE4516" w:rsidRPr="007F015E" w:rsidRDefault="00DE4516" w:rsidP="00DE4516">
            <w:pPr>
              <w:pStyle w:val="TableHead"/>
              <w:autoSpaceDE w:val="0"/>
              <w:autoSpaceDN w:val="0"/>
              <w:adjustRightInd w:val="0"/>
              <w:jc w:val="right"/>
              <w:rPr>
                <w:rFonts w:cs="Calibri"/>
                <w:b/>
                <w:szCs w:val="16"/>
              </w:rPr>
            </w:pPr>
            <w:r w:rsidRPr="007F015E">
              <w:rPr>
                <w:b/>
              </w:rPr>
              <w:t>2015</w:t>
            </w:r>
          </w:p>
        </w:tc>
        <w:tc>
          <w:tcPr>
            <w:tcW w:w="516" w:type="pct"/>
            <w:tcBorders>
              <w:top w:val="single" w:sz="4" w:space="0" w:color="auto"/>
            </w:tcBorders>
            <w:noWrap/>
            <w:vAlign w:val="center"/>
            <w:hideMark/>
          </w:tcPr>
          <w:p w14:paraId="3D84D44E" w14:textId="77777777" w:rsidR="00DE4516" w:rsidRPr="007F015E" w:rsidRDefault="00DE4516" w:rsidP="00DE4516">
            <w:pPr>
              <w:pStyle w:val="TableHead"/>
              <w:autoSpaceDE w:val="0"/>
              <w:autoSpaceDN w:val="0"/>
              <w:adjustRightInd w:val="0"/>
              <w:jc w:val="right"/>
              <w:rPr>
                <w:rFonts w:cs="Calibri"/>
                <w:b/>
                <w:szCs w:val="16"/>
              </w:rPr>
            </w:pPr>
            <w:r w:rsidRPr="007F015E">
              <w:rPr>
                <w:b/>
              </w:rPr>
              <w:t>2016</w:t>
            </w:r>
          </w:p>
        </w:tc>
        <w:tc>
          <w:tcPr>
            <w:tcW w:w="515" w:type="pct"/>
            <w:tcBorders>
              <w:top w:val="single" w:sz="4" w:space="0" w:color="auto"/>
            </w:tcBorders>
            <w:noWrap/>
            <w:vAlign w:val="center"/>
            <w:hideMark/>
          </w:tcPr>
          <w:p w14:paraId="2BD17740" w14:textId="77777777" w:rsidR="00DE4516" w:rsidRPr="007F015E" w:rsidRDefault="00DE4516" w:rsidP="00DE4516">
            <w:pPr>
              <w:pStyle w:val="TableHead"/>
              <w:autoSpaceDE w:val="0"/>
              <w:autoSpaceDN w:val="0"/>
              <w:adjustRightInd w:val="0"/>
              <w:jc w:val="right"/>
              <w:rPr>
                <w:rFonts w:cs="Calibri"/>
                <w:b/>
                <w:szCs w:val="16"/>
              </w:rPr>
            </w:pPr>
            <w:r w:rsidRPr="007F015E">
              <w:rPr>
                <w:b/>
              </w:rPr>
              <w:t>2017</w:t>
            </w:r>
          </w:p>
        </w:tc>
        <w:tc>
          <w:tcPr>
            <w:tcW w:w="516" w:type="pct"/>
            <w:tcBorders>
              <w:top w:val="single" w:sz="4" w:space="0" w:color="auto"/>
            </w:tcBorders>
            <w:noWrap/>
            <w:vAlign w:val="center"/>
            <w:hideMark/>
          </w:tcPr>
          <w:p w14:paraId="1DD88D98" w14:textId="77777777" w:rsidR="00DE4516" w:rsidRPr="007F015E" w:rsidRDefault="00DE4516" w:rsidP="00DE4516">
            <w:pPr>
              <w:pStyle w:val="TableHead"/>
              <w:autoSpaceDE w:val="0"/>
              <w:autoSpaceDN w:val="0"/>
              <w:adjustRightInd w:val="0"/>
              <w:jc w:val="right"/>
              <w:rPr>
                <w:rFonts w:cs="Calibri"/>
                <w:b/>
                <w:szCs w:val="16"/>
              </w:rPr>
            </w:pPr>
            <w:r w:rsidRPr="007F015E">
              <w:rPr>
                <w:b/>
              </w:rPr>
              <w:t>2018</w:t>
            </w:r>
          </w:p>
        </w:tc>
        <w:tc>
          <w:tcPr>
            <w:tcW w:w="515" w:type="pct"/>
            <w:tcBorders>
              <w:top w:val="single" w:sz="4" w:space="0" w:color="auto"/>
            </w:tcBorders>
            <w:noWrap/>
            <w:vAlign w:val="center"/>
            <w:hideMark/>
          </w:tcPr>
          <w:p w14:paraId="17BCD4AA" w14:textId="77777777" w:rsidR="00DE4516" w:rsidRPr="007F015E" w:rsidRDefault="00DE4516" w:rsidP="00DE4516">
            <w:pPr>
              <w:pStyle w:val="TableHead"/>
              <w:autoSpaceDE w:val="0"/>
              <w:autoSpaceDN w:val="0"/>
              <w:adjustRightInd w:val="0"/>
              <w:jc w:val="right"/>
              <w:rPr>
                <w:rFonts w:cs="Calibri"/>
                <w:b/>
                <w:szCs w:val="16"/>
              </w:rPr>
            </w:pPr>
            <w:r w:rsidRPr="007F015E">
              <w:rPr>
                <w:b/>
              </w:rPr>
              <w:t>2019</w:t>
            </w:r>
          </w:p>
        </w:tc>
        <w:tc>
          <w:tcPr>
            <w:tcW w:w="516" w:type="pct"/>
            <w:tcBorders>
              <w:top w:val="single" w:sz="4" w:space="0" w:color="auto"/>
            </w:tcBorders>
            <w:noWrap/>
            <w:vAlign w:val="center"/>
            <w:hideMark/>
          </w:tcPr>
          <w:p w14:paraId="42374C6F" w14:textId="77777777" w:rsidR="00DE4516" w:rsidRPr="007F015E" w:rsidRDefault="00DE4516" w:rsidP="00DE4516">
            <w:pPr>
              <w:pStyle w:val="TableHead"/>
              <w:autoSpaceDE w:val="0"/>
              <w:autoSpaceDN w:val="0"/>
              <w:adjustRightInd w:val="0"/>
              <w:jc w:val="right"/>
              <w:rPr>
                <w:rFonts w:cs="Calibri"/>
                <w:b/>
                <w:szCs w:val="16"/>
              </w:rPr>
            </w:pPr>
            <w:r w:rsidRPr="007F015E">
              <w:rPr>
                <w:b/>
              </w:rPr>
              <w:t>2020</w:t>
            </w:r>
          </w:p>
        </w:tc>
      </w:tr>
      <w:tr w:rsidR="00DE4516" w:rsidRPr="00045A4A" w14:paraId="1E77656B" w14:textId="77777777" w:rsidTr="002C718D">
        <w:trPr>
          <w:cantSplit/>
        </w:trPr>
        <w:tc>
          <w:tcPr>
            <w:tcW w:w="1392" w:type="pct"/>
            <w:noWrap/>
            <w:vAlign w:val="center"/>
            <w:hideMark/>
          </w:tcPr>
          <w:p w14:paraId="581FA74B" w14:textId="77777777" w:rsidR="00DE4516" w:rsidRPr="00A46ADC" w:rsidRDefault="00DE4516" w:rsidP="00DE4516">
            <w:pPr>
              <w:pStyle w:val="TableBody"/>
              <w:autoSpaceDE w:val="0"/>
              <w:autoSpaceDN w:val="0"/>
              <w:adjustRightInd w:val="0"/>
              <w:jc w:val="both"/>
              <w:rPr>
                <w:rFonts w:cs="Calibri"/>
                <w:b/>
                <w:bCs/>
                <w:szCs w:val="16"/>
              </w:rPr>
            </w:pPr>
            <w:r w:rsidRPr="00A46ADC">
              <w:rPr>
                <w:b/>
              </w:rPr>
              <w:t>Trade balance</w:t>
            </w:r>
          </w:p>
        </w:tc>
        <w:tc>
          <w:tcPr>
            <w:tcW w:w="515" w:type="pct"/>
            <w:noWrap/>
            <w:vAlign w:val="center"/>
            <w:hideMark/>
          </w:tcPr>
          <w:p w14:paraId="5161CB6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-6,884</w:t>
            </w:r>
          </w:p>
        </w:tc>
        <w:tc>
          <w:tcPr>
            <w:tcW w:w="515" w:type="pct"/>
            <w:noWrap/>
            <w:vAlign w:val="center"/>
            <w:hideMark/>
          </w:tcPr>
          <w:p w14:paraId="2FC407A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-6,819</w:t>
            </w:r>
          </w:p>
        </w:tc>
        <w:tc>
          <w:tcPr>
            <w:tcW w:w="516" w:type="pct"/>
            <w:noWrap/>
            <w:vAlign w:val="center"/>
            <w:hideMark/>
          </w:tcPr>
          <w:p w14:paraId="0E65789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-6,420</w:t>
            </w:r>
          </w:p>
        </w:tc>
        <w:tc>
          <w:tcPr>
            <w:tcW w:w="515" w:type="pct"/>
            <w:noWrap/>
            <w:vAlign w:val="center"/>
            <w:hideMark/>
          </w:tcPr>
          <w:p w14:paraId="65D00F2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-6,761</w:t>
            </w:r>
          </w:p>
        </w:tc>
        <w:tc>
          <w:tcPr>
            <w:tcW w:w="516" w:type="pct"/>
            <w:noWrap/>
            <w:vAlign w:val="center"/>
            <w:hideMark/>
          </w:tcPr>
          <w:p w14:paraId="79E2EE69"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-7,138</w:t>
            </w:r>
          </w:p>
        </w:tc>
        <w:tc>
          <w:tcPr>
            <w:tcW w:w="515" w:type="pct"/>
            <w:noWrap/>
            <w:vAlign w:val="center"/>
            <w:hideMark/>
          </w:tcPr>
          <w:p w14:paraId="11E133C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-7,214</w:t>
            </w:r>
          </w:p>
        </w:tc>
        <w:tc>
          <w:tcPr>
            <w:tcW w:w="516" w:type="pct"/>
            <w:noWrap/>
            <w:vAlign w:val="center"/>
          </w:tcPr>
          <w:p w14:paraId="078BEFB3"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-6,111</w:t>
            </w:r>
          </w:p>
        </w:tc>
      </w:tr>
      <w:tr w:rsidR="00DE4516" w:rsidRPr="00045A4A" w14:paraId="6358A041"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657A86F8" w14:textId="77777777" w:rsidR="00DE4516" w:rsidRPr="00A46ADC" w:rsidRDefault="00DE4516" w:rsidP="00DE4516">
            <w:pPr>
              <w:pStyle w:val="TableBody"/>
              <w:autoSpaceDE w:val="0"/>
              <w:autoSpaceDN w:val="0"/>
              <w:adjustRightInd w:val="0"/>
              <w:jc w:val="both"/>
              <w:rPr>
                <w:rFonts w:cs="Calibri"/>
                <w:b/>
                <w:bCs/>
                <w:szCs w:val="16"/>
              </w:rPr>
            </w:pPr>
            <w:r w:rsidRPr="00A46ADC">
              <w:rPr>
                <w:b/>
              </w:rPr>
              <w:lastRenderedPageBreak/>
              <w:t>Exports</w:t>
            </w:r>
          </w:p>
        </w:tc>
        <w:tc>
          <w:tcPr>
            <w:tcW w:w="515" w:type="pct"/>
            <w:noWrap/>
            <w:vAlign w:val="center"/>
            <w:hideMark/>
          </w:tcPr>
          <w:p w14:paraId="2898D4C7"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3,130</w:t>
            </w:r>
          </w:p>
        </w:tc>
        <w:tc>
          <w:tcPr>
            <w:tcW w:w="515" w:type="pct"/>
            <w:noWrap/>
            <w:vAlign w:val="center"/>
            <w:hideMark/>
          </w:tcPr>
          <w:p w14:paraId="0A27935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3,395</w:t>
            </w:r>
          </w:p>
        </w:tc>
        <w:tc>
          <w:tcPr>
            <w:tcW w:w="516" w:type="pct"/>
            <w:noWrap/>
            <w:vAlign w:val="center"/>
            <w:hideMark/>
          </w:tcPr>
          <w:p w14:paraId="2B4D0BB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3,503</w:t>
            </w:r>
          </w:p>
        </w:tc>
        <w:tc>
          <w:tcPr>
            <w:tcW w:w="515" w:type="pct"/>
            <w:noWrap/>
            <w:vAlign w:val="center"/>
            <w:hideMark/>
          </w:tcPr>
          <w:p w14:paraId="45C61B8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4,079</w:t>
            </w:r>
          </w:p>
        </w:tc>
        <w:tc>
          <w:tcPr>
            <w:tcW w:w="516" w:type="pct"/>
            <w:noWrap/>
            <w:vAlign w:val="center"/>
            <w:hideMark/>
          </w:tcPr>
          <w:p w14:paraId="5C1BEE67"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4,591</w:t>
            </w:r>
          </w:p>
        </w:tc>
        <w:tc>
          <w:tcPr>
            <w:tcW w:w="515" w:type="pct"/>
            <w:noWrap/>
            <w:vAlign w:val="center"/>
            <w:hideMark/>
          </w:tcPr>
          <w:p w14:paraId="3695BAC3"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4,898</w:t>
            </w:r>
          </w:p>
        </w:tc>
        <w:tc>
          <w:tcPr>
            <w:tcW w:w="516" w:type="pct"/>
            <w:noWrap/>
            <w:vAlign w:val="center"/>
          </w:tcPr>
          <w:p w14:paraId="292AA069"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2,223</w:t>
            </w:r>
          </w:p>
        </w:tc>
      </w:tr>
      <w:tr w:rsidR="00DE4516" w:rsidRPr="00045A4A" w14:paraId="28532EDB" w14:textId="77777777" w:rsidTr="002C718D">
        <w:trPr>
          <w:cantSplit/>
        </w:trPr>
        <w:tc>
          <w:tcPr>
            <w:tcW w:w="1392" w:type="pct"/>
            <w:noWrap/>
            <w:vAlign w:val="center"/>
            <w:hideMark/>
          </w:tcPr>
          <w:p w14:paraId="5A08BBB9" w14:textId="77777777" w:rsidR="00DE4516" w:rsidRPr="00A46ADC" w:rsidRDefault="00DE4516" w:rsidP="00DE4516">
            <w:pPr>
              <w:pStyle w:val="TableBody"/>
              <w:autoSpaceDE w:val="0"/>
              <w:autoSpaceDN w:val="0"/>
              <w:adjustRightInd w:val="0"/>
              <w:jc w:val="both"/>
              <w:rPr>
                <w:rFonts w:cs="Calibri"/>
                <w:szCs w:val="16"/>
              </w:rPr>
            </w:pPr>
            <w:r w:rsidRPr="00A46ADC">
              <w:t>Transportation</w:t>
            </w:r>
          </w:p>
        </w:tc>
        <w:tc>
          <w:tcPr>
            <w:tcW w:w="515" w:type="pct"/>
            <w:noWrap/>
            <w:vAlign w:val="center"/>
            <w:hideMark/>
          </w:tcPr>
          <w:p w14:paraId="1C168772" w14:textId="77777777" w:rsidR="00DE4516" w:rsidRPr="00A46ADC" w:rsidRDefault="00DE4516" w:rsidP="00DE4516">
            <w:pPr>
              <w:pStyle w:val="TableBody"/>
              <w:autoSpaceDE w:val="0"/>
              <w:autoSpaceDN w:val="0"/>
              <w:adjustRightInd w:val="0"/>
              <w:jc w:val="right"/>
              <w:rPr>
                <w:rFonts w:cs="Calibri"/>
                <w:color w:val="000000"/>
                <w:szCs w:val="16"/>
              </w:rPr>
            </w:pPr>
            <w:r w:rsidRPr="00A46ADC">
              <w:t>1,160</w:t>
            </w:r>
          </w:p>
        </w:tc>
        <w:tc>
          <w:tcPr>
            <w:tcW w:w="515" w:type="pct"/>
            <w:noWrap/>
            <w:vAlign w:val="center"/>
            <w:hideMark/>
          </w:tcPr>
          <w:p w14:paraId="2756CEB9" w14:textId="77777777" w:rsidR="00DE4516" w:rsidRPr="00A46ADC" w:rsidRDefault="00DE4516" w:rsidP="00DE4516">
            <w:pPr>
              <w:pStyle w:val="TableBody"/>
              <w:autoSpaceDE w:val="0"/>
              <w:autoSpaceDN w:val="0"/>
              <w:adjustRightInd w:val="0"/>
              <w:jc w:val="right"/>
              <w:rPr>
                <w:rFonts w:cs="Calibri"/>
                <w:color w:val="000000"/>
                <w:szCs w:val="16"/>
              </w:rPr>
            </w:pPr>
            <w:r w:rsidRPr="00A46ADC">
              <w:t>1,257</w:t>
            </w:r>
          </w:p>
        </w:tc>
        <w:tc>
          <w:tcPr>
            <w:tcW w:w="516" w:type="pct"/>
            <w:noWrap/>
            <w:vAlign w:val="center"/>
            <w:hideMark/>
          </w:tcPr>
          <w:p w14:paraId="48454C6C" w14:textId="77777777" w:rsidR="00DE4516" w:rsidRPr="00A46ADC" w:rsidRDefault="00DE4516" w:rsidP="00DE4516">
            <w:pPr>
              <w:pStyle w:val="TableBody"/>
              <w:autoSpaceDE w:val="0"/>
              <w:autoSpaceDN w:val="0"/>
              <w:adjustRightInd w:val="0"/>
              <w:jc w:val="right"/>
              <w:rPr>
                <w:rFonts w:cs="Calibri"/>
                <w:color w:val="000000"/>
                <w:szCs w:val="16"/>
              </w:rPr>
            </w:pPr>
            <w:r w:rsidRPr="00A46ADC">
              <w:t>1,313</w:t>
            </w:r>
          </w:p>
        </w:tc>
        <w:tc>
          <w:tcPr>
            <w:tcW w:w="515" w:type="pct"/>
            <w:noWrap/>
            <w:vAlign w:val="center"/>
            <w:hideMark/>
          </w:tcPr>
          <w:p w14:paraId="2591B470" w14:textId="77777777" w:rsidR="00DE4516" w:rsidRPr="00A46ADC" w:rsidRDefault="00DE4516" w:rsidP="00DE4516">
            <w:pPr>
              <w:pStyle w:val="TableBody"/>
              <w:autoSpaceDE w:val="0"/>
              <w:autoSpaceDN w:val="0"/>
              <w:adjustRightInd w:val="0"/>
              <w:jc w:val="right"/>
              <w:rPr>
                <w:rFonts w:cs="Calibri"/>
                <w:color w:val="000000"/>
                <w:szCs w:val="16"/>
              </w:rPr>
            </w:pPr>
            <w:r w:rsidRPr="00A46ADC">
              <w:t>1,742</w:t>
            </w:r>
          </w:p>
        </w:tc>
        <w:tc>
          <w:tcPr>
            <w:tcW w:w="516" w:type="pct"/>
            <w:noWrap/>
            <w:vAlign w:val="center"/>
            <w:hideMark/>
          </w:tcPr>
          <w:p w14:paraId="61C3E110" w14:textId="77777777" w:rsidR="00DE4516" w:rsidRPr="00A46ADC" w:rsidRDefault="00DE4516" w:rsidP="00DE4516">
            <w:pPr>
              <w:pStyle w:val="TableBody"/>
              <w:autoSpaceDE w:val="0"/>
              <w:autoSpaceDN w:val="0"/>
              <w:adjustRightInd w:val="0"/>
              <w:jc w:val="right"/>
              <w:rPr>
                <w:rFonts w:cs="Calibri"/>
                <w:color w:val="000000"/>
                <w:szCs w:val="16"/>
              </w:rPr>
            </w:pPr>
            <w:r w:rsidRPr="00A46ADC">
              <w:t>2,170</w:t>
            </w:r>
          </w:p>
        </w:tc>
        <w:tc>
          <w:tcPr>
            <w:tcW w:w="515" w:type="pct"/>
            <w:noWrap/>
            <w:vAlign w:val="center"/>
            <w:hideMark/>
          </w:tcPr>
          <w:p w14:paraId="329DFB61" w14:textId="77777777" w:rsidR="00DE4516" w:rsidRPr="00A46ADC" w:rsidRDefault="00DE4516" w:rsidP="00DE4516">
            <w:pPr>
              <w:pStyle w:val="TableBody"/>
              <w:autoSpaceDE w:val="0"/>
              <w:autoSpaceDN w:val="0"/>
              <w:adjustRightInd w:val="0"/>
              <w:jc w:val="right"/>
              <w:rPr>
                <w:rFonts w:cs="Calibri"/>
                <w:color w:val="000000"/>
                <w:szCs w:val="16"/>
              </w:rPr>
            </w:pPr>
            <w:r w:rsidRPr="00A46ADC">
              <w:t>2,372</w:t>
            </w:r>
          </w:p>
        </w:tc>
        <w:tc>
          <w:tcPr>
            <w:tcW w:w="516" w:type="pct"/>
            <w:noWrap/>
            <w:vAlign w:val="center"/>
          </w:tcPr>
          <w:p w14:paraId="71C18689" w14:textId="77777777" w:rsidR="00DE4516" w:rsidRPr="00A46ADC" w:rsidRDefault="00DE4516" w:rsidP="00DE4516">
            <w:pPr>
              <w:pStyle w:val="TableBody"/>
              <w:autoSpaceDE w:val="0"/>
              <w:autoSpaceDN w:val="0"/>
              <w:adjustRightInd w:val="0"/>
              <w:jc w:val="right"/>
              <w:rPr>
                <w:rFonts w:cs="Calibri"/>
                <w:color w:val="000000"/>
                <w:szCs w:val="16"/>
              </w:rPr>
            </w:pPr>
            <w:r w:rsidRPr="00A46ADC">
              <w:t>1,097</w:t>
            </w:r>
          </w:p>
        </w:tc>
      </w:tr>
      <w:tr w:rsidR="00DE4516" w:rsidRPr="00045A4A" w14:paraId="35ADB18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1A394F6B" w14:textId="77777777" w:rsidR="00DE4516" w:rsidRPr="00A46ADC" w:rsidRDefault="00DE4516" w:rsidP="00DE4516">
            <w:pPr>
              <w:pStyle w:val="TableBody"/>
              <w:autoSpaceDE w:val="0"/>
              <w:autoSpaceDN w:val="0"/>
              <w:adjustRightInd w:val="0"/>
              <w:ind w:left="159"/>
              <w:jc w:val="both"/>
              <w:rPr>
                <w:rFonts w:cs="Calibri"/>
                <w:szCs w:val="16"/>
              </w:rPr>
            </w:pPr>
            <w:r w:rsidRPr="00A46ADC">
              <w:t>Sea transport</w:t>
            </w:r>
          </w:p>
        </w:tc>
        <w:tc>
          <w:tcPr>
            <w:tcW w:w="515" w:type="pct"/>
            <w:noWrap/>
            <w:vAlign w:val="center"/>
            <w:hideMark/>
          </w:tcPr>
          <w:p w14:paraId="23A876C4" w14:textId="77777777" w:rsidR="00DE4516" w:rsidRPr="00A46ADC" w:rsidRDefault="00DE4516" w:rsidP="00DE4516">
            <w:pPr>
              <w:pStyle w:val="TableBody"/>
              <w:autoSpaceDE w:val="0"/>
              <w:autoSpaceDN w:val="0"/>
              <w:adjustRightInd w:val="0"/>
              <w:jc w:val="right"/>
              <w:rPr>
                <w:rFonts w:cs="Calibri"/>
                <w:color w:val="000000"/>
                <w:szCs w:val="16"/>
              </w:rPr>
            </w:pPr>
            <w:r w:rsidRPr="00A46ADC">
              <w:t>563</w:t>
            </w:r>
          </w:p>
        </w:tc>
        <w:tc>
          <w:tcPr>
            <w:tcW w:w="515" w:type="pct"/>
            <w:noWrap/>
            <w:vAlign w:val="center"/>
            <w:hideMark/>
          </w:tcPr>
          <w:p w14:paraId="10E10E34" w14:textId="77777777" w:rsidR="00DE4516" w:rsidRPr="00A46ADC" w:rsidRDefault="00DE4516" w:rsidP="00DE4516">
            <w:pPr>
              <w:pStyle w:val="TableBody"/>
              <w:autoSpaceDE w:val="0"/>
              <w:autoSpaceDN w:val="0"/>
              <w:adjustRightInd w:val="0"/>
              <w:jc w:val="right"/>
              <w:rPr>
                <w:rFonts w:cs="Calibri"/>
                <w:color w:val="000000"/>
                <w:szCs w:val="16"/>
              </w:rPr>
            </w:pPr>
            <w:r w:rsidRPr="00A46ADC">
              <w:t>550</w:t>
            </w:r>
          </w:p>
        </w:tc>
        <w:tc>
          <w:tcPr>
            <w:tcW w:w="516" w:type="pct"/>
            <w:noWrap/>
            <w:vAlign w:val="center"/>
            <w:hideMark/>
          </w:tcPr>
          <w:p w14:paraId="24EAA1EE" w14:textId="77777777" w:rsidR="00DE4516" w:rsidRPr="00A46ADC" w:rsidRDefault="00DE4516" w:rsidP="00DE4516">
            <w:pPr>
              <w:pStyle w:val="TableBody"/>
              <w:autoSpaceDE w:val="0"/>
              <w:autoSpaceDN w:val="0"/>
              <w:adjustRightInd w:val="0"/>
              <w:jc w:val="right"/>
              <w:rPr>
                <w:rFonts w:cs="Calibri"/>
                <w:color w:val="000000"/>
                <w:szCs w:val="16"/>
              </w:rPr>
            </w:pPr>
            <w:r w:rsidRPr="00A46ADC">
              <w:t>541</w:t>
            </w:r>
          </w:p>
        </w:tc>
        <w:tc>
          <w:tcPr>
            <w:tcW w:w="515" w:type="pct"/>
            <w:noWrap/>
            <w:vAlign w:val="center"/>
            <w:hideMark/>
          </w:tcPr>
          <w:p w14:paraId="5852F469" w14:textId="77777777" w:rsidR="00DE4516" w:rsidRPr="00A46ADC" w:rsidRDefault="00DE4516" w:rsidP="00DE4516">
            <w:pPr>
              <w:pStyle w:val="TableBody"/>
              <w:autoSpaceDE w:val="0"/>
              <w:autoSpaceDN w:val="0"/>
              <w:adjustRightInd w:val="0"/>
              <w:jc w:val="right"/>
              <w:rPr>
                <w:rFonts w:cs="Calibri"/>
                <w:color w:val="000000"/>
                <w:szCs w:val="16"/>
              </w:rPr>
            </w:pPr>
            <w:r w:rsidRPr="00A46ADC">
              <w:t>772</w:t>
            </w:r>
          </w:p>
        </w:tc>
        <w:tc>
          <w:tcPr>
            <w:tcW w:w="516" w:type="pct"/>
            <w:noWrap/>
            <w:vAlign w:val="center"/>
            <w:hideMark/>
          </w:tcPr>
          <w:p w14:paraId="01774EE5" w14:textId="77777777" w:rsidR="00DE4516" w:rsidRPr="00A46ADC" w:rsidRDefault="00DE4516" w:rsidP="00DE4516">
            <w:pPr>
              <w:pStyle w:val="TableBody"/>
              <w:autoSpaceDE w:val="0"/>
              <w:autoSpaceDN w:val="0"/>
              <w:adjustRightInd w:val="0"/>
              <w:jc w:val="right"/>
              <w:rPr>
                <w:rFonts w:cs="Calibri"/>
                <w:color w:val="000000"/>
                <w:szCs w:val="16"/>
              </w:rPr>
            </w:pPr>
            <w:r w:rsidRPr="00A46ADC">
              <w:t>952</w:t>
            </w:r>
          </w:p>
        </w:tc>
        <w:tc>
          <w:tcPr>
            <w:tcW w:w="515" w:type="pct"/>
            <w:noWrap/>
            <w:vAlign w:val="center"/>
            <w:hideMark/>
          </w:tcPr>
          <w:p w14:paraId="591A4623"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516" w:type="pct"/>
            <w:noWrap/>
            <w:vAlign w:val="center"/>
          </w:tcPr>
          <w:p w14:paraId="6001873A"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1C2447AC" w14:textId="77777777" w:rsidTr="002C718D">
        <w:trPr>
          <w:cantSplit/>
        </w:trPr>
        <w:tc>
          <w:tcPr>
            <w:tcW w:w="1392" w:type="pct"/>
            <w:noWrap/>
            <w:vAlign w:val="center"/>
            <w:hideMark/>
          </w:tcPr>
          <w:p w14:paraId="63818D98" w14:textId="77777777" w:rsidR="00DE4516" w:rsidRPr="00A46ADC" w:rsidRDefault="00DE4516" w:rsidP="00DE4516">
            <w:pPr>
              <w:pStyle w:val="TableBody"/>
              <w:autoSpaceDE w:val="0"/>
              <w:autoSpaceDN w:val="0"/>
              <w:adjustRightInd w:val="0"/>
              <w:ind w:left="159"/>
              <w:jc w:val="both"/>
              <w:rPr>
                <w:rFonts w:cs="Calibri"/>
                <w:szCs w:val="16"/>
              </w:rPr>
            </w:pPr>
            <w:r w:rsidRPr="00A46ADC">
              <w:t>Air transport</w:t>
            </w:r>
          </w:p>
        </w:tc>
        <w:tc>
          <w:tcPr>
            <w:tcW w:w="515" w:type="pct"/>
            <w:noWrap/>
            <w:vAlign w:val="center"/>
            <w:hideMark/>
          </w:tcPr>
          <w:p w14:paraId="7C21E777" w14:textId="77777777" w:rsidR="00DE4516" w:rsidRPr="00A46ADC" w:rsidRDefault="00DE4516" w:rsidP="00DE4516">
            <w:pPr>
              <w:pStyle w:val="TableBody"/>
              <w:autoSpaceDE w:val="0"/>
              <w:autoSpaceDN w:val="0"/>
              <w:adjustRightInd w:val="0"/>
              <w:jc w:val="right"/>
              <w:rPr>
                <w:rFonts w:cs="Calibri"/>
                <w:color w:val="000000"/>
                <w:szCs w:val="16"/>
              </w:rPr>
            </w:pPr>
            <w:r w:rsidRPr="00A46ADC">
              <w:t>596</w:t>
            </w:r>
          </w:p>
        </w:tc>
        <w:tc>
          <w:tcPr>
            <w:tcW w:w="515" w:type="pct"/>
            <w:noWrap/>
            <w:vAlign w:val="center"/>
            <w:hideMark/>
          </w:tcPr>
          <w:p w14:paraId="3BB9CBF9" w14:textId="77777777" w:rsidR="00DE4516" w:rsidRPr="00A46ADC" w:rsidRDefault="00DE4516" w:rsidP="00DE4516">
            <w:pPr>
              <w:pStyle w:val="TableBody"/>
              <w:autoSpaceDE w:val="0"/>
              <w:autoSpaceDN w:val="0"/>
              <w:adjustRightInd w:val="0"/>
              <w:jc w:val="right"/>
              <w:rPr>
                <w:rFonts w:cs="Calibri"/>
                <w:color w:val="000000"/>
                <w:szCs w:val="16"/>
              </w:rPr>
            </w:pPr>
            <w:r w:rsidRPr="00A46ADC">
              <w:t>707</w:t>
            </w:r>
          </w:p>
        </w:tc>
        <w:tc>
          <w:tcPr>
            <w:tcW w:w="516" w:type="pct"/>
            <w:noWrap/>
            <w:vAlign w:val="center"/>
            <w:hideMark/>
          </w:tcPr>
          <w:p w14:paraId="61D2E027" w14:textId="77777777" w:rsidR="00DE4516" w:rsidRPr="00A46ADC" w:rsidRDefault="00DE4516" w:rsidP="00DE4516">
            <w:pPr>
              <w:pStyle w:val="TableBody"/>
              <w:autoSpaceDE w:val="0"/>
              <w:autoSpaceDN w:val="0"/>
              <w:adjustRightInd w:val="0"/>
              <w:jc w:val="right"/>
              <w:rPr>
                <w:rFonts w:cs="Calibri"/>
                <w:color w:val="000000"/>
                <w:szCs w:val="16"/>
              </w:rPr>
            </w:pPr>
            <w:r w:rsidRPr="00A46ADC">
              <w:t>772</w:t>
            </w:r>
          </w:p>
        </w:tc>
        <w:tc>
          <w:tcPr>
            <w:tcW w:w="515" w:type="pct"/>
            <w:noWrap/>
            <w:vAlign w:val="center"/>
            <w:hideMark/>
          </w:tcPr>
          <w:p w14:paraId="71EE2A0E" w14:textId="77777777" w:rsidR="00DE4516" w:rsidRPr="00A46ADC" w:rsidRDefault="00DE4516" w:rsidP="00DE4516">
            <w:pPr>
              <w:pStyle w:val="TableBody"/>
              <w:autoSpaceDE w:val="0"/>
              <w:autoSpaceDN w:val="0"/>
              <w:adjustRightInd w:val="0"/>
              <w:jc w:val="right"/>
              <w:rPr>
                <w:rFonts w:cs="Calibri"/>
                <w:color w:val="000000"/>
                <w:szCs w:val="16"/>
              </w:rPr>
            </w:pPr>
            <w:r w:rsidRPr="00A46ADC">
              <w:t>970</w:t>
            </w:r>
          </w:p>
        </w:tc>
        <w:tc>
          <w:tcPr>
            <w:tcW w:w="516" w:type="pct"/>
            <w:noWrap/>
            <w:vAlign w:val="center"/>
            <w:hideMark/>
          </w:tcPr>
          <w:p w14:paraId="58D05EE2" w14:textId="77777777" w:rsidR="00DE4516" w:rsidRPr="00A46ADC" w:rsidRDefault="00DE4516" w:rsidP="00DE4516">
            <w:pPr>
              <w:pStyle w:val="TableBody"/>
              <w:autoSpaceDE w:val="0"/>
              <w:autoSpaceDN w:val="0"/>
              <w:adjustRightInd w:val="0"/>
              <w:jc w:val="right"/>
              <w:rPr>
                <w:rFonts w:cs="Calibri"/>
                <w:color w:val="000000"/>
                <w:szCs w:val="16"/>
              </w:rPr>
            </w:pPr>
            <w:r w:rsidRPr="00A46ADC">
              <w:t>1,217</w:t>
            </w:r>
          </w:p>
        </w:tc>
        <w:tc>
          <w:tcPr>
            <w:tcW w:w="515" w:type="pct"/>
            <w:noWrap/>
            <w:vAlign w:val="center"/>
            <w:hideMark/>
          </w:tcPr>
          <w:p w14:paraId="4CD4F16C"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516" w:type="pct"/>
            <w:noWrap/>
            <w:vAlign w:val="center"/>
          </w:tcPr>
          <w:p w14:paraId="203E969A"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4178106A"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36DE4E07" w14:textId="77777777" w:rsidR="00DE4516" w:rsidRPr="00A46ADC" w:rsidRDefault="00DE4516" w:rsidP="00DE4516">
            <w:pPr>
              <w:pStyle w:val="TableBody"/>
              <w:autoSpaceDE w:val="0"/>
              <w:autoSpaceDN w:val="0"/>
              <w:adjustRightInd w:val="0"/>
              <w:jc w:val="both"/>
              <w:rPr>
                <w:rFonts w:cs="Calibri"/>
                <w:szCs w:val="16"/>
              </w:rPr>
            </w:pPr>
            <w:r w:rsidRPr="00A46ADC">
              <w:t>Travel</w:t>
            </w:r>
          </w:p>
        </w:tc>
        <w:tc>
          <w:tcPr>
            <w:tcW w:w="515" w:type="pct"/>
            <w:noWrap/>
            <w:vAlign w:val="center"/>
            <w:hideMark/>
          </w:tcPr>
          <w:p w14:paraId="09643365" w14:textId="77777777" w:rsidR="00DE4516" w:rsidRPr="00A46ADC" w:rsidRDefault="00DE4516" w:rsidP="00DE4516">
            <w:pPr>
              <w:pStyle w:val="TableBody"/>
              <w:autoSpaceDE w:val="0"/>
              <w:autoSpaceDN w:val="0"/>
              <w:adjustRightInd w:val="0"/>
              <w:jc w:val="right"/>
              <w:rPr>
                <w:rFonts w:cs="Calibri"/>
                <w:color w:val="000000"/>
                <w:szCs w:val="16"/>
              </w:rPr>
            </w:pPr>
            <w:r w:rsidRPr="00A46ADC">
              <w:t>1,375</w:t>
            </w:r>
          </w:p>
        </w:tc>
        <w:tc>
          <w:tcPr>
            <w:tcW w:w="515" w:type="pct"/>
            <w:noWrap/>
            <w:vAlign w:val="center"/>
            <w:hideMark/>
          </w:tcPr>
          <w:p w14:paraId="64145CCA" w14:textId="77777777" w:rsidR="00DE4516" w:rsidRPr="00A46ADC" w:rsidRDefault="00DE4516" w:rsidP="00DE4516">
            <w:pPr>
              <w:pStyle w:val="TableBody"/>
              <w:autoSpaceDE w:val="0"/>
              <w:autoSpaceDN w:val="0"/>
              <w:adjustRightInd w:val="0"/>
              <w:jc w:val="right"/>
              <w:rPr>
                <w:rFonts w:cs="Calibri"/>
                <w:color w:val="000000"/>
                <w:szCs w:val="16"/>
              </w:rPr>
            </w:pPr>
            <w:r w:rsidRPr="00A46ADC">
              <w:t>1,540</w:t>
            </w:r>
          </w:p>
        </w:tc>
        <w:tc>
          <w:tcPr>
            <w:tcW w:w="516" w:type="pct"/>
            <w:noWrap/>
            <w:vAlign w:val="center"/>
            <w:hideMark/>
          </w:tcPr>
          <w:p w14:paraId="7C38ACF0" w14:textId="77777777" w:rsidR="00DE4516" w:rsidRPr="00A46ADC" w:rsidRDefault="00DE4516" w:rsidP="00DE4516">
            <w:pPr>
              <w:pStyle w:val="TableBody"/>
              <w:autoSpaceDE w:val="0"/>
              <w:autoSpaceDN w:val="0"/>
              <w:adjustRightInd w:val="0"/>
              <w:jc w:val="right"/>
              <w:rPr>
                <w:rFonts w:cs="Calibri"/>
                <w:color w:val="000000"/>
                <w:szCs w:val="16"/>
              </w:rPr>
            </w:pPr>
            <w:r w:rsidRPr="00A46ADC">
              <w:t>1,618</w:t>
            </w:r>
          </w:p>
        </w:tc>
        <w:tc>
          <w:tcPr>
            <w:tcW w:w="515" w:type="pct"/>
            <w:noWrap/>
            <w:vAlign w:val="center"/>
            <w:hideMark/>
          </w:tcPr>
          <w:p w14:paraId="254F612F" w14:textId="77777777" w:rsidR="00DE4516" w:rsidRPr="00A46ADC" w:rsidRDefault="00DE4516" w:rsidP="00DE4516">
            <w:pPr>
              <w:pStyle w:val="TableBody"/>
              <w:autoSpaceDE w:val="0"/>
              <w:autoSpaceDN w:val="0"/>
              <w:adjustRightInd w:val="0"/>
              <w:jc w:val="right"/>
              <w:rPr>
                <w:rFonts w:cs="Calibri"/>
                <w:color w:val="000000"/>
                <w:szCs w:val="16"/>
              </w:rPr>
            </w:pPr>
            <w:r w:rsidRPr="00A46ADC">
              <w:t>1,747</w:t>
            </w:r>
          </w:p>
        </w:tc>
        <w:tc>
          <w:tcPr>
            <w:tcW w:w="516" w:type="pct"/>
            <w:noWrap/>
            <w:vAlign w:val="center"/>
            <w:hideMark/>
          </w:tcPr>
          <w:p w14:paraId="7150146C" w14:textId="77777777" w:rsidR="00DE4516" w:rsidRPr="00A46ADC" w:rsidRDefault="00DE4516" w:rsidP="00DE4516">
            <w:pPr>
              <w:pStyle w:val="TableBody"/>
              <w:autoSpaceDE w:val="0"/>
              <w:autoSpaceDN w:val="0"/>
              <w:adjustRightInd w:val="0"/>
              <w:jc w:val="right"/>
              <w:rPr>
                <w:rFonts w:cs="Calibri"/>
                <w:color w:val="000000"/>
                <w:szCs w:val="16"/>
              </w:rPr>
            </w:pPr>
            <w:r w:rsidRPr="00A46ADC">
              <w:t>1,758</w:t>
            </w:r>
          </w:p>
        </w:tc>
        <w:tc>
          <w:tcPr>
            <w:tcW w:w="515" w:type="pct"/>
            <w:noWrap/>
            <w:vAlign w:val="center"/>
            <w:hideMark/>
          </w:tcPr>
          <w:p w14:paraId="282C76F6" w14:textId="77777777" w:rsidR="00DE4516" w:rsidRPr="00A46ADC" w:rsidRDefault="00DE4516" w:rsidP="00DE4516">
            <w:pPr>
              <w:pStyle w:val="TableBody"/>
              <w:autoSpaceDE w:val="0"/>
              <w:autoSpaceDN w:val="0"/>
              <w:adjustRightInd w:val="0"/>
              <w:jc w:val="right"/>
              <w:rPr>
                <w:rFonts w:cs="Calibri"/>
                <w:color w:val="000000"/>
                <w:szCs w:val="16"/>
              </w:rPr>
            </w:pPr>
            <w:r w:rsidRPr="00A46ADC">
              <w:t>1,811</w:t>
            </w:r>
          </w:p>
        </w:tc>
        <w:tc>
          <w:tcPr>
            <w:tcW w:w="516" w:type="pct"/>
            <w:noWrap/>
            <w:vAlign w:val="center"/>
          </w:tcPr>
          <w:p w14:paraId="4CDC7B6E" w14:textId="77777777" w:rsidR="00DE4516" w:rsidRPr="00A46ADC" w:rsidRDefault="00DE4516" w:rsidP="00DE4516">
            <w:pPr>
              <w:pStyle w:val="TableBody"/>
              <w:autoSpaceDE w:val="0"/>
              <w:autoSpaceDN w:val="0"/>
              <w:adjustRightInd w:val="0"/>
              <w:jc w:val="right"/>
              <w:rPr>
                <w:rFonts w:cs="Calibri"/>
                <w:color w:val="000000"/>
                <w:szCs w:val="16"/>
              </w:rPr>
            </w:pPr>
            <w:r w:rsidRPr="00A46ADC">
              <w:t>441</w:t>
            </w:r>
          </w:p>
        </w:tc>
      </w:tr>
      <w:tr w:rsidR="00DE4516" w:rsidRPr="00045A4A" w14:paraId="1F7AC113" w14:textId="77777777" w:rsidTr="002C718D">
        <w:trPr>
          <w:cantSplit/>
        </w:trPr>
        <w:tc>
          <w:tcPr>
            <w:tcW w:w="1392" w:type="pct"/>
            <w:noWrap/>
            <w:vAlign w:val="center"/>
            <w:hideMark/>
          </w:tcPr>
          <w:p w14:paraId="361A8A1A" w14:textId="77777777" w:rsidR="00DE4516" w:rsidRPr="00A46ADC" w:rsidRDefault="00DE4516" w:rsidP="00DE4516">
            <w:pPr>
              <w:pStyle w:val="TableBody"/>
              <w:autoSpaceDE w:val="0"/>
              <w:autoSpaceDN w:val="0"/>
              <w:adjustRightInd w:val="0"/>
              <w:ind w:left="159"/>
              <w:jc w:val="both"/>
              <w:rPr>
                <w:rFonts w:cs="Calibri"/>
                <w:szCs w:val="16"/>
              </w:rPr>
            </w:pPr>
            <w:r w:rsidRPr="00A46ADC">
              <w:t>Business travel</w:t>
            </w:r>
          </w:p>
        </w:tc>
        <w:tc>
          <w:tcPr>
            <w:tcW w:w="515" w:type="pct"/>
            <w:noWrap/>
            <w:vAlign w:val="center"/>
            <w:hideMark/>
          </w:tcPr>
          <w:p w14:paraId="3330C7E2" w14:textId="77777777" w:rsidR="00DE4516" w:rsidRPr="00A46ADC" w:rsidRDefault="00DE4516" w:rsidP="00DE4516">
            <w:pPr>
              <w:pStyle w:val="TableBody"/>
              <w:autoSpaceDE w:val="0"/>
              <w:autoSpaceDN w:val="0"/>
              <w:adjustRightInd w:val="0"/>
              <w:jc w:val="right"/>
              <w:rPr>
                <w:rFonts w:cs="Calibri"/>
                <w:color w:val="000000"/>
                <w:szCs w:val="16"/>
              </w:rPr>
            </w:pPr>
            <w:r w:rsidRPr="00A46ADC">
              <w:t>406</w:t>
            </w:r>
          </w:p>
        </w:tc>
        <w:tc>
          <w:tcPr>
            <w:tcW w:w="515" w:type="pct"/>
            <w:noWrap/>
            <w:vAlign w:val="center"/>
            <w:hideMark/>
          </w:tcPr>
          <w:p w14:paraId="71710B08" w14:textId="77777777" w:rsidR="00DE4516" w:rsidRPr="00A46ADC" w:rsidRDefault="00DE4516" w:rsidP="00DE4516">
            <w:pPr>
              <w:pStyle w:val="TableBody"/>
              <w:autoSpaceDE w:val="0"/>
              <w:autoSpaceDN w:val="0"/>
              <w:adjustRightInd w:val="0"/>
              <w:jc w:val="right"/>
              <w:rPr>
                <w:rFonts w:cs="Calibri"/>
                <w:color w:val="000000"/>
                <w:szCs w:val="16"/>
              </w:rPr>
            </w:pPr>
            <w:r w:rsidRPr="00A46ADC">
              <w:t>424</w:t>
            </w:r>
          </w:p>
        </w:tc>
        <w:tc>
          <w:tcPr>
            <w:tcW w:w="516" w:type="pct"/>
            <w:noWrap/>
            <w:vAlign w:val="center"/>
            <w:hideMark/>
          </w:tcPr>
          <w:p w14:paraId="18C11B42" w14:textId="77777777" w:rsidR="00DE4516" w:rsidRPr="00A46ADC" w:rsidRDefault="00DE4516" w:rsidP="00DE4516">
            <w:pPr>
              <w:pStyle w:val="TableBody"/>
              <w:autoSpaceDE w:val="0"/>
              <w:autoSpaceDN w:val="0"/>
              <w:adjustRightInd w:val="0"/>
              <w:jc w:val="right"/>
              <w:rPr>
                <w:rFonts w:cs="Calibri"/>
                <w:color w:val="000000"/>
                <w:szCs w:val="16"/>
              </w:rPr>
            </w:pPr>
            <w:r w:rsidRPr="00A46ADC">
              <w:t>356</w:t>
            </w:r>
          </w:p>
        </w:tc>
        <w:tc>
          <w:tcPr>
            <w:tcW w:w="515" w:type="pct"/>
            <w:noWrap/>
            <w:vAlign w:val="center"/>
            <w:hideMark/>
          </w:tcPr>
          <w:p w14:paraId="433F7570" w14:textId="77777777" w:rsidR="00DE4516" w:rsidRPr="00A46ADC" w:rsidRDefault="00DE4516" w:rsidP="00DE4516">
            <w:pPr>
              <w:pStyle w:val="TableBody"/>
              <w:autoSpaceDE w:val="0"/>
              <w:autoSpaceDN w:val="0"/>
              <w:adjustRightInd w:val="0"/>
              <w:jc w:val="right"/>
              <w:rPr>
                <w:rFonts w:cs="Calibri"/>
                <w:color w:val="000000"/>
                <w:szCs w:val="16"/>
              </w:rPr>
            </w:pPr>
            <w:r w:rsidRPr="00A46ADC">
              <w:t>437</w:t>
            </w:r>
          </w:p>
        </w:tc>
        <w:tc>
          <w:tcPr>
            <w:tcW w:w="516" w:type="pct"/>
            <w:noWrap/>
            <w:vAlign w:val="center"/>
            <w:hideMark/>
          </w:tcPr>
          <w:p w14:paraId="748927F2" w14:textId="77777777" w:rsidR="00DE4516" w:rsidRPr="00A46ADC" w:rsidRDefault="00DE4516" w:rsidP="00DE4516">
            <w:pPr>
              <w:pStyle w:val="TableBody"/>
              <w:autoSpaceDE w:val="0"/>
              <w:autoSpaceDN w:val="0"/>
              <w:adjustRightInd w:val="0"/>
              <w:jc w:val="right"/>
              <w:rPr>
                <w:rFonts w:cs="Calibri"/>
                <w:color w:val="000000"/>
                <w:szCs w:val="16"/>
              </w:rPr>
            </w:pPr>
            <w:r w:rsidRPr="00A46ADC">
              <w:t>440</w:t>
            </w:r>
          </w:p>
        </w:tc>
        <w:tc>
          <w:tcPr>
            <w:tcW w:w="515" w:type="pct"/>
            <w:noWrap/>
            <w:vAlign w:val="center"/>
            <w:hideMark/>
          </w:tcPr>
          <w:p w14:paraId="4CCE5C16" w14:textId="77777777" w:rsidR="00DE4516" w:rsidRPr="00A46ADC" w:rsidRDefault="00DE4516" w:rsidP="00DE4516">
            <w:pPr>
              <w:pStyle w:val="TableBody"/>
              <w:autoSpaceDE w:val="0"/>
              <w:autoSpaceDN w:val="0"/>
              <w:adjustRightInd w:val="0"/>
              <w:jc w:val="right"/>
              <w:rPr>
                <w:rFonts w:cs="Calibri"/>
                <w:color w:val="000000"/>
                <w:szCs w:val="16"/>
              </w:rPr>
            </w:pPr>
            <w:r w:rsidRPr="00A46ADC">
              <w:t>453</w:t>
            </w:r>
          </w:p>
        </w:tc>
        <w:tc>
          <w:tcPr>
            <w:tcW w:w="516" w:type="pct"/>
            <w:noWrap/>
            <w:vAlign w:val="center"/>
          </w:tcPr>
          <w:p w14:paraId="23AF847F"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3ED7671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434DAD93" w14:textId="77777777" w:rsidR="00DE4516" w:rsidRPr="00A46ADC" w:rsidRDefault="00DE4516" w:rsidP="00DE4516">
            <w:pPr>
              <w:pStyle w:val="TableBody"/>
              <w:autoSpaceDE w:val="0"/>
              <w:autoSpaceDN w:val="0"/>
              <w:adjustRightInd w:val="0"/>
              <w:ind w:left="159"/>
              <w:jc w:val="both"/>
              <w:rPr>
                <w:rFonts w:cs="Calibri"/>
                <w:szCs w:val="16"/>
              </w:rPr>
            </w:pPr>
            <w:r w:rsidRPr="00A46ADC">
              <w:t>Personal travel</w:t>
            </w:r>
          </w:p>
        </w:tc>
        <w:tc>
          <w:tcPr>
            <w:tcW w:w="515" w:type="pct"/>
            <w:noWrap/>
            <w:vAlign w:val="center"/>
            <w:hideMark/>
          </w:tcPr>
          <w:p w14:paraId="1608B8AC" w14:textId="77777777" w:rsidR="00DE4516" w:rsidRPr="00A46ADC" w:rsidRDefault="00DE4516" w:rsidP="00DE4516">
            <w:pPr>
              <w:pStyle w:val="TableBody"/>
              <w:autoSpaceDE w:val="0"/>
              <w:autoSpaceDN w:val="0"/>
              <w:adjustRightInd w:val="0"/>
              <w:jc w:val="right"/>
              <w:rPr>
                <w:rFonts w:cs="Calibri"/>
                <w:color w:val="000000"/>
                <w:szCs w:val="16"/>
              </w:rPr>
            </w:pPr>
            <w:r w:rsidRPr="00A46ADC">
              <w:t>970</w:t>
            </w:r>
          </w:p>
        </w:tc>
        <w:tc>
          <w:tcPr>
            <w:tcW w:w="515" w:type="pct"/>
            <w:noWrap/>
            <w:vAlign w:val="center"/>
            <w:hideMark/>
          </w:tcPr>
          <w:p w14:paraId="67A150E9" w14:textId="77777777" w:rsidR="00DE4516" w:rsidRPr="00A46ADC" w:rsidRDefault="00DE4516" w:rsidP="00DE4516">
            <w:pPr>
              <w:pStyle w:val="TableBody"/>
              <w:autoSpaceDE w:val="0"/>
              <w:autoSpaceDN w:val="0"/>
              <w:adjustRightInd w:val="0"/>
              <w:jc w:val="right"/>
              <w:rPr>
                <w:rFonts w:cs="Calibri"/>
                <w:color w:val="000000"/>
                <w:szCs w:val="16"/>
              </w:rPr>
            </w:pPr>
            <w:r w:rsidRPr="00A46ADC">
              <w:t>1,117</w:t>
            </w:r>
          </w:p>
        </w:tc>
        <w:tc>
          <w:tcPr>
            <w:tcW w:w="516" w:type="pct"/>
            <w:noWrap/>
            <w:vAlign w:val="center"/>
            <w:hideMark/>
          </w:tcPr>
          <w:p w14:paraId="32A9DDDA" w14:textId="77777777" w:rsidR="00DE4516" w:rsidRPr="00A46ADC" w:rsidRDefault="00DE4516" w:rsidP="00DE4516">
            <w:pPr>
              <w:pStyle w:val="TableBody"/>
              <w:autoSpaceDE w:val="0"/>
              <w:autoSpaceDN w:val="0"/>
              <w:adjustRightInd w:val="0"/>
              <w:jc w:val="right"/>
              <w:rPr>
                <w:rFonts w:cs="Calibri"/>
                <w:color w:val="000000"/>
                <w:szCs w:val="16"/>
              </w:rPr>
            </w:pPr>
            <w:r w:rsidRPr="00A46ADC">
              <w:t>1,261</w:t>
            </w:r>
          </w:p>
        </w:tc>
        <w:tc>
          <w:tcPr>
            <w:tcW w:w="515" w:type="pct"/>
            <w:noWrap/>
            <w:vAlign w:val="center"/>
            <w:hideMark/>
          </w:tcPr>
          <w:p w14:paraId="39B0BA8E" w14:textId="77777777" w:rsidR="00DE4516" w:rsidRPr="00A46ADC" w:rsidRDefault="00DE4516" w:rsidP="00DE4516">
            <w:pPr>
              <w:pStyle w:val="TableBody"/>
              <w:autoSpaceDE w:val="0"/>
              <w:autoSpaceDN w:val="0"/>
              <w:adjustRightInd w:val="0"/>
              <w:jc w:val="right"/>
              <w:rPr>
                <w:rFonts w:cs="Calibri"/>
                <w:color w:val="000000"/>
                <w:szCs w:val="16"/>
              </w:rPr>
            </w:pPr>
            <w:r w:rsidRPr="00A46ADC">
              <w:t>1,310</w:t>
            </w:r>
          </w:p>
        </w:tc>
        <w:tc>
          <w:tcPr>
            <w:tcW w:w="516" w:type="pct"/>
            <w:noWrap/>
            <w:vAlign w:val="center"/>
            <w:hideMark/>
          </w:tcPr>
          <w:p w14:paraId="4BF1A291" w14:textId="77777777" w:rsidR="00DE4516" w:rsidRPr="00A46ADC" w:rsidRDefault="00DE4516" w:rsidP="00DE4516">
            <w:pPr>
              <w:pStyle w:val="TableBody"/>
              <w:autoSpaceDE w:val="0"/>
              <w:autoSpaceDN w:val="0"/>
              <w:adjustRightInd w:val="0"/>
              <w:jc w:val="right"/>
              <w:rPr>
                <w:rFonts w:cs="Calibri"/>
                <w:color w:val="000000"/>
                <w:szCs w:val="16"/>
              </w:rPr>
            </w:pPr>
            <w:r w:rsidRPr="00A46ADC">
              <w:t>1,319</w:t>
            </w:r>
          </w:p>
        </w:tc>
        <w:tc>
          <w:tcPr>
            <w:tcW w:w="515" w:type="pct"/>
            <w:noWrap/>
            <w:vAlign w:val="center"/>
            <w:hideMark/>
          </w:tcPr>
          <w:p w14:paraId="0FF66B5F" w14:textId="77777777" w:rsidR="00DE4516" w:rsidRPr="00A46ADC" w:rsidRDefault="00DE4516" w:rsidP="00DE4516">
            <w:pPr>
              <w:pStyle w:val="TableBody"/>
              <w:autoSpaceDE w:val="0"/>
              <w:autoSpaceDN w:val="0"/>
              <w:adjustRightInd w:val="0"/>
              <w:jc w:val="right"/>
              <w:rPr>
                <w:rFonts w:cs="Calibri"/>
                <w:color w:val="000000"/>
                <w:szCs w:val="16"/>
              </w:rPr>
            </w:pPr>
            <w:r w:rsidRPr="00A46ADC">
              <w:t>1,358</w:t>
            </w:r>
          </w:p>
        </w:tc>
        <w:tc>
          <w:tcPr>
            <w:tcW w:w="516" w:type="pct"/>
            <w:noWrap/>
            <w:vAlign w:val="center"/>
          </w:tcPr>
          <w:p w14:paraId="7B81D50E"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7D2F66E6" w14:textId="77777777" w:rsidTr="002C718D">
        <w:trPr>
          <w:cantSplit/>
        </w:trPr>
        <w:tc>
          <w:tcPr>
            <w:tcW w:w="1392" w:type="pct"/>
            <w:noWrap/>
            <w:vAlign w:val="center"/>
            <w:hideMark/>
          </w:tcPr>
          <w:p w14:paraId="689B5BBC" w14:textId="77777777" w:rsidR="00DE4516" w:rsidRPr="00A46ADC" w:rsidRDefault="00DE4516" w:rsidP="00DE4516">
            <w:pPr>
              <w:pStyle w:val="TableBody"/>
              <w:autoSpaceDE w:val="0"/>
              <w:autoSpaceDN w:val="0"/>
              <w:adjustRightInd w:val="0"/>
              <w:ind w:left="159"/>
              <w:jc w:val="both"/>
              <w:rPr>
                <w:rFonts w:cs="Calibri"/>
                <w:szCs w:val="16"/>
              </w:rPr>
            </w:pPr>
            <w:r w:rsidRPr="00A46ADC">
              <w:t>Health-related</w:t>
            </w:r>
          </w:p>
        </w:tc>
        <w:tc>
          <w:tcPr>
            <w:tcW w:w="515" w:type="pct"/>
            <w:noWrap/>
            <w:vAlign w:val="center"/>
            <w:hideMark/>
          </w:tcPr>
          <w:p w14:paraId="2B1B2ED7"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5" w:type="pct"/>
            <w:noWrap/>
            <w:vAlign w:val="center"/>
            <w:hideMark/>
          </w:tcPr>
          <w:p w14:paraId="4CE0A507"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6" w:type="pct"/>
            <w:noWrap/>
            <w:vAlign w:val="center"/>
            <w:hideMark/>
          </w:tcPr>
          <w:p w14:paraId="6127DCDA"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5" w:type="pct"/>
            <w:noWrap/>
            <w:vAlign w:val="center"/>
            <w:hideMark/>
          </w:tcPr>
          <w:p w14:paraId="515072D5"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6" w:type="pct"/>
            <w:noWrap/>
            <w:vAlign w:val="center"/>
            <w:hideMark/>
          </w:tcPr>
          <w:p w14:paraId="165234D7"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5" w:type="pct"/>
            <w:noWrap/>
            <w:vAlign w:val="center"/>
            <w:hideMark/>
          </w:tcPr>
          <w:p w14:paraId="6AC1DF50"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6" w:type="pct"/>
            <w:noWrap/>
            <w:vAlign w:val="center"/>
          </w:tcPr>
          <w:p w14:paraId="2AA0FDA5"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2A67215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1E8B7C18" w14:textId="77777777" w:rsidR="00DE4516" w:rsidRPr="00A46ADC" w:rsidRDefault="00DE4516" w:rsidP="00DE4516">
            <w:pPr>
              <w:pStyle w:val="TableBody"/>
              <w:autoSpaceDE w:val="0"/>
              <w:autoSpaceDN w:val="0"/>
              <w:adjustRightInd w:val="0"/>
              <w:ind w:left="159"/>
              <w:jc w:val="both"/>
              <w:rPr>
                <w:rFonts w:cs="Calibri"/>
                <w:szCs w:val="16"/>
              </w:rPr>
            </w:pPr>
            <w:r w:rsidRPr="00A46ADC">
              <w:t>Education-related</w:t>
            </w:r>
          </w:p>
        </w:tc>
        <w:tc>
          <w:tcPr>
            <w:tcW w:w="515" w:type="pct"/>
            <w:noWrap/>
            <w:vAlign w:val="center"/>
            <w:hideMark/>
          </w:tcPr>
          <w:p w14:paraId="682465FB"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5" w:type="pct"/>
            <w:noWrap/>
            <w:vAlign w:val="center"/>
            <w:hideMark/>
          </w:tcPr>
          <w:p w14:paraId="5769300A"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6" w:type="pct"/>
            <w:noWrap/>
            <w:vAlign w:val="center"/>
            <w:hideMark/>
          </w:tcPr>
          <w:p w14:paraId="7964D203"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5" w:type="pct"/>
            <w:noWrap/>
            <w:vAlign w:val="center"/>
            <w:hideMark/>
          </w:tcPr>
          <w:p w14:paraId="2BD9A9E3"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6" w:type="pct"/>
            <w:noWrap/>
            <w:vAlign w:val="center"/>
            <w:hideMark/>
          </w:tcPr>
          <w:p w14:paraId="5857396A"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5" w:type="pct"/>
            <w:noWrap/>
            <w:vAlign w:val="center"/>
            <w:hideMark/>
          </w:tcPr>
          <w:p w14:paraId="25426A15" w14:textId="77777777" w:rsidR="00DE4516" w:rsidRPr="00A46ADC" w:rsidRDefault="00DE4516" w:rsidP="00DE4516">
            <w:pPr>
              <w:pStyle w:val="TableBody"/>
              <w:autoSpaceDE w:val="0"/>
              <w:autoSpaceDN w:val="0"/>
              <w:adjustRightInd w:val="0"/>
              <w:jc w:val="right"/>
              <w:rPr>
                <w:rFonts w:cs="Calibri"/>
                <w:color w:val="000000"/>
                <w:szCs w:val="16"/>
              </w:rPr>
            </w:pPr>
            <w:r w:rsidRPr="00A46ADC">
              <w:t>0</w:t>
            </w:r>
          </w:p>
        </w:tc>
        <w:tc>
          <w:tcPr>
            <w:tcW w:w="516" w:type="pct"/>
            <w:noWrap/>
            <w:vAlign w:val="center"/>
          </w:tcPr>
          <w:p w14:paraId="7FEC618B"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07BD736D" w14:textId="77777777" w:rsidTr="002C718D">
        <w:trPr>
          <w:cantSplit/>
        </w:trPr>
        <w:tc>
          <w:tcPr>
            <w:tcW w:w="1392" w:type="pct"/>
            <w:noWrap/>
            <w:vAlign w:val="center"/>
            <w:hideMark/>
          </w:tcPr>
          <w:p w14:paraId="517796AB" w14:textId="77777777" w:rsidR="00DE4516" w:rsidRPr="00A46ADC" w:rsidRDefault="00DE4516" w:rsidP="00DE4516">
            <w:pPr>
              <w:pStyle w:val="TableBody"/>
              <w:autoSpaceDE w:val="0"/>
              <w:autoSpaceDN w:val="0"/>
              <w:adjustRightInd w:val="0"/>
              <w:ind w:left="159"/>
              <w:jc w:val="both"/>
              <w:rPr>
                <w:rFonts w:cs="Calibri"/>
                <w:szCs w:val="16"/>
              </w:rPr>
            </w:pPr>
            <w:r w:rsidRPr="00A46ADC">
              <w:t>Other</w:t>
            </w:r>
          </w:p>
        </w:tc>
        <w:tc>
          <w:tcPr>
            <w:tcW w:w="515" w:type="pct"/>
            <w:noWrap/>
            <w:vAlign w:val="center"/>
            <w:hideMark/>
          </w:tcPr>
          <w:p w14:paraId="73DC0C90" w14:textId="77777777" w:rsidR="00DE4516" w:rsidRPr="00A46ADC" w:rsidRDefault="00DE4516" w:rsidP="00DE4516">
            <w:pPr>
              <w:pStyle w:val="TableBody"/>
              <w:autoSpaceDE w:val="0"/>
              <w:autoSpaceDN w:val="0"/>
              <w:adjustRightInd w:val="0"/>
              <w:jc w:val="right"/>
              <w:rPr>
                <w:rFonts w:cs="Calibri"/>
                <w:color w:val="000000"/>
                <w:szCs w:val="16"/>
              </w:rPr>
            </w:pPr>
            <w:r w:rsidRPr="00A46ADC">
              <w:t>970</w:t>
            </w:r>
          </w:p>
        </w:tc>
        <w:tc>
          <w:tcPr>
            <w:tcW w:w="515" w:type="pct"/>
            <w:noWrap/>
            <w:vAlign w:val="center"/>
            <w:hideMark/>
          </w:tcPr>
          <w:p w14:paraId="5BDAE679" w14:textId="77777777" w:rsidR="00DE4516" w:rsidRPr="00A46ADC" w:rsidRDefault="00DE4516" w:rsidP="00DE4516">
            <w:pPr>
              <w:pStyle w:val="TableBody"/>
              <w:autoSpaceDE w:val="0"/>
              <w:autoSpaceDN w:val="0"/>
              <w:adjustRightInd w:val="0"/>
              <w:jc w:val="right"/>
              <w:rPr>
                <w:rFonts w:cs="Calibri"/>
                <w:color w:val="000000"/>
                <w:szCs w:val="16"/>
              </w:rPr>
            </w:pPr>
            <w:r w:rsidRPr="00A46ADC">
              <w:t>1,117</w:t>
            </w:r>
          </w:p>
        </w:tc>
        <w:tc>
          <w:tcPr>
            <w:tcW w:w="516" w:type="pct"/>
            <w:noWrap/>
            <w:vAlign w:val="center"/>
            <w:hideMark/>
          </w:tcPr>
          <w:p w14:paraId="77C89B07" w14:textId="77777777" w:rsidR="00DE4516" w:rsidRPr="00A46ADC" w:rsidRDefault="00DE4516" w:rsidP="00DE4516">
            <w:pPr>
              <w:pStyle w:val="TableBody"/>
              <w:autoSpaceDE w:val="0"/>
              <w:autoSpaceDN w:val="0"/>
              <w:adjustRightInd w:val="0"/>
              <w:jc w:val="right"/>
              <w:rPr>
                <w:rFonts w:cs="Calibri"/>
                <w:color w:val="000000"/>
                <w:szCs w:val="16"/>
              </w:rPr>
            </w:pPr>
            <w:r w:rsidRPr="00A46ADC">
              <w:t>1,261</w:t>
            </w:r>
          </w:p>
        </w:tc>
        <w:tc>
          <w:tcPr>
            <w:tcW w:w="515" w:type="pct"/>
            <w:noWrap/>
            <w:vAlign w:val="center"/>
            <w:hideMark/>
          </w:tcPr>
          <w:p w14:paraId="65F04B09" w14:textId="77777777" w:rsidR="00DE4516" w:rsidRPr="00A46ADC" w:rsidRDefault="00DE4516" w:rsidP="00DE4516">
            <w:pPr>
              <w:pStyle w:val="TableBody"/>
              <w:autoSpaceDE w:val="0"/>
              <w:autoSpaceDN w:val="0"/>
              <w:adjustRightInd w:val="0"/>
              <w:jc w:val="right"/>
              <w:rPr>
                <w:rFonts w:cs="Calibri"/>
                <w:color w:val="000000"/>
                <w:szCs w:val="16"/>
              </w:rPr>
            </w:pPr>
            <w:r w:rsidRPr="00A46ADC">
              <w:t>1,310</w:t>
            </w:r>
          </w:p>
        </w:tc>
        <w:tc>
          <w:tcPr>
            <w:tcW w:w="516" w:type="pct"/>
            <w:noWrap/>
            <w:vAlign w:val="center"/>
            <w:hideMark/>
          </w:tcPr>
          <w:p w14:paraId="4E7B7CE6" w14:textId="77777777" w:rsidR="00DE4516" w:rsidRPr="00A46ADC" w:rsidRDefault="00DE4516" w:rsidP="00DE4516">
            <w:pPr>
              <w:pStyle w:val="TableBody"/>
              <w:autoSpaceDE w:val="0"/>
              <w:autoSpaceDN w:val="0"/>
              <w:adjustRightInd w:val="0"/>
              <w:jc w:val="right"/>
              <w:rPr>
                <w:rFonts w:cs="Calibri"/>
                <w:color w:val="000000"/>
                <w:szCs w:val="16"/>
              </w:rPr>
            </w:pPr>
            <w:r w:rsidRPr="00A46ADC">
              <w:t>1,319</w:t>
            </w:r>
          </w:p>
        </w:tc>
        <w:tc>
          <w:tcPr>
            <w:tcW w:w="515" w:type="pct"/>
            <w:noWrap/>
            <w:vAlign w:val="center"/>
            <w:hideMark/>
          </w:tcPr>
          <w:p w14:paraId="72735B38" w14:textId="77777777" w:rsidR="00DE4516" w:rsidRPr="00A46ADC" w:rsidRDefault="00DE4516" w:rsidP="00DE4516">
            <w:pPr>
              <w:pStyle w:val="TableBody"/>
              <w:autoSpaceDE w:val="0"/>
              <w:autoSpaceDN w:val="0"/>
              <w:adjustRightInd w:val="0"/>
              <w:jc w:val="right"/>
              <w:rPr>
                <w:rFonts w:cs="Calibri"/>
                <w:color w:val="000000"/>
                <w:szCs w:val="16"/>
              </w:rPr>
            </w:pPr>
            <w:r w:rsidRPr="00A46ADC">
              <w:t>1,358</w:t>
            </w:r>
          </w:p>
        </w:tc>
        <w:tc>
          <w:tcPr>
            <w:tcW w:w="516" w:type="pct"/>
            <w:noWrap/>
            <w:vAlign w:val="center"/>
          </w:tcPr>
          <w:p w14:paraId="4E7F611D"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307E369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0A01C091" w14:textId="77777777" w:rsidR="00DE4516" w:rsidRPr="00A46ADC" w:rsidRDefault="00DE4516" w:rsidP="00DE4516">
            <w:pPr>
              <w:pStyle w:val="TableBody"/>
              <w:autoSpaceDE w:val="0"/>
              <w:autoSpaceDN w:val="0"/>
              <w:adjustRightInd w:val="0"/>
              <w:jc w:val="both"/>
              <w:rPr>
                <w:rFonts w:cs="Calibri"/>
                <w:szCs w:val="16"/>
              </w:rPr>
            </w:pPr>
            <w:r w:rsidRPr="00A46ADC">
              <w:t>Communications services</w:t>
            </w:r>
          </w:p>
        </w:tc>
        <w:tc>
          <w:tcPr>
            <w:tcW w:w="515" w:type="pct"/>
            <w:noWrap/>
            <w:vAlign w:val="center"/>
            <w:hideMark/>
          </w:tcPr>
          <w:p w14:paraId="00453559" w14:textId="77777777" w:rsidR="00DE4516" w:rsidRPr="00A46ADC" w:rsidRDefault="00DE4516" w:rsidP="00DE4516">
            <w:pPr>
              <w:pStyle w:val="TableBody"/>
              <w:autoSpaceDE w:val="0"/>
              <w:autoSpaceDN w:val="0"/>
              <w:adjustRightInd w:val="0"/>
              <w:jc w:val="right"/>
              <w:rPr>
                <w:rFonts w:cs="Calibri"/>
                <w:color w:val="000000"/>
                <w:szCs w:val="16"/>
              </w:rPr>
            </w:pPr>
            <w:r w:rsidRPr="00A46ADC">
              <w:t>95</w:t>
            </w:r>
          </w:p>
        </w:tc>
        <w:tc>
          <w:tcPr>
            <w:tcW w:w="515" w:type="pct"/>
            <w:noWrap/>
            <w:vAlign w:val="center"/>
            <w:hideMark/>
          </w:tcPr>
          <w:p w14:paraId="7A1C536C" w14:textId="77777777" w:rsidR="00DE4516" w:rsidRPr="00A46ADC" w:rsidRDefault="00DE4516" w:rsidP="00DE4516">
            <w:pPr>
              <w:pStyle w:val="TableBody"/>
              <w:autoSpaceDE w:val="0"/>
              <w:autoSpaceDN w:val="0"/>
              <w:adjustRightInd w:val="0"/>
              <w:jc w:val="right"/>
              <w:rPr>
                <w:rFonts w:cs="Calibri"/>
                <w:color w:val="000000"/>
                <w:szCs w:val="16"/>
              </w:rPr>
            </w:pPr>
            <w:r w:rsidRPr="00A46ADC">
              <w:t>89</w:t>
            </w:r>
          </w:p>
        </w:tc>
        <w:tc>
          <w:tcPr>
            <w:tcW w:w="516" w:type="pct"/>
            <w:noWrap/>
            <w:vAlign w:val="center"/>
            <w:hideMark/>
          </w:tcPr>
          <w:p w14:paraId="2BB94A00" w14:textId="77777777" w:rsidR="00DE4516" w:rsidRPr="00A46ADC" w:rsidRDefault="00DE4516" w:rsidP="00DE4516">
            <w:pPr>
              <w:pStyle w:val="TableBody"/>
              <w:autoSpaceDE w:val="0"/>
              <w:autoSpaceDN w:val="0"/>
              <w:adjustRightInd w:val="0"/>
              <w:jc w:val="right"/>
              <w:rPr>
                <w:rFonts w:cs="Calibri"/>
                <w:color w:val="000000"/>
                <w:szCs w:val="16"/>
              </w:rPr>
            </w:pPr>
            <w:r w:rsidRPr="00A46ADC">
              <w:t>108</w:t>
            </w:r>
          </w:p>
        </w:tc>
        <w:tc>
          <w:tcPr>
            <w:tcW w:w="515" w:type="pct"/>
            <w:noWrap/>
            <w:vAlign w:val="center"/>
            <w:hideMark/>
          </w:tcPr>
          <w:p w14:paraId="7E58BC49" w14:textId="77777777" w:rsidR="00DE4516" w:rsidRPr="00A46ADC" w:rsidRDefault="00DE4516" w:rsidP="00DE4516">
            <w:pPr>
              <w:pStyle w:val="TableBody"/>
              <w:autoSpaceDE w:val="0"/>
              <w:autoSpaceDN w:val="0"/>
              <w:adjustRightInd w:val="0"/>
              <w:jc w:val="right"/>
              <w:rPr>
                <w:rFonts w:cs="Calibri"/>
                <w:color w:val="000000"/>
                <w:szCs w:val="16"/>
              </w:rPr>
            </w:pPr>
            <w:r w:rsidRPr="00A46ADC">
              <w:t>104</w:t>
            </w:r>
          </w:p>
        </w:tc>
        <w:tc>
          <w:tcPr>
            <w:tcW w:w="516" w:type="pct"/>
            <w:noWrap/>
            <w:vAlign w:val="center"/>
            <w:hideMark/>
          </w:tcPr>
          <w:p w14:paraId="2D3C3801" w14:textId="77777777" w:rsidR="00DE4516" w:rsidRPr="00A46ADC" w:rsidRDefault="00DE4516" w:rsidP="00DE4516">
            <w:pPr>
              <w:pStyle w:val="TableBody"/>
              <w:autoSpaceDE w:val="0"/>
              <w:autoSpaceDN w:val="0"/>
              <w:adjustRightInd w:val="0"/>
              <w:jc w:val="right"/>
              <w:rPr>
                <w:rFonts w:cs="Calibri"/>
                <w:color w:val="000000"/>
                <w:szCs w:val="16"/>
              </w:rPr>
            </w:pPr>
            <w:r w:rsidRPr="00A46ADC">
              <w:t>187</w:t>
            </w:r>
          </w:p>
        </w:tc>
        <w:tc>
          <w:tcPr>
            <w:tcW w:w="515" w:type="pct"/>
            <w:noWrap/>
            <w:vAlign w:val="center"/>
            <w:hideMark/>
          </w:tcPr>
          <w:p w14:paraId="7A3D3F06" w14:textId="77777777" w:rsidR="00DE4516" w:rsidRPr="00A46ADC" w:rsidRDefault="00DE4516" w:rsidP="00DE4516">
            <w:pPr>
              <w:pStyle w:val="TableBody"/>
              <w:autoSpaceDE w:val="0"/>
              <w:autoSpaceDN w:val="0"/>
              <w:adjustRightInd w:val="0"/>
              <w:jc w:val="right"/>
              <w:rPr>
                <w:rFonts w:cs="Calibri"/>
                <w:color w:val="000000"/>
                <w:szCs w:val="16"/>
              </w:rPr>
            </w:pPr>
            <w:r w:rsidRPr="00A46ADC">
              <w:t>234</w:t>
            </w:r>
          </w:p>
        </w:tc>
        <w:tc>
          <w:tcPr>
            <w:tcW w:w="516" w:type="pct"/>
            <w:noWrap/>
            <w:vAlign w:val="center"/>
          </w:tcPr>
          <w:p w14:paraId="1AA7C005" w14:textId="77777777" w:rsidR="00DE4516" w:rsidRPr="00A46ADC" w:rsidRDefault="00DE4516" w:rsidP="00DE4516">
            <w:pPr>
              <w:pStyle w:val="TableBody"/>
              <w:autoSpaceDE w:val="0"/>
              <w:autoSpaceDN w:val="0"/>
              <w:adjustRightInd w:val="0"/>
              <w:jc w:val="right"/>
              <w:rPr>
                <w:rFonts w:cs="Calibri"/>
                <w:color w:val="000000"/>
                <w:szCs w:val="16"/>
              </w:rPr>
            </w:pPr>
            <w:r w:rsidRPr="00A46ADC">
              <w:t>222</w:t>
            </w:r>
          </w:p>
        </w:tc>
      </w:tr>
      <w:tr w:rsidR="00DE4516" w:rsidRPr="00045A4A" w14:paraId="4E86CD5E" w14:textId="77777777" w:rsidTr="002C718D">
        <w:trPr>
          <w:cantSplit/>
        </w:trPr>
        <w:tc>
          <w:tcPr>
            <w:tcW w:w="1392" w:type="pct"/>
            <w:noWrap/>
            <w:vAlign w:val="center"/>
            <w:hideMark/>
          </w:tcPr>
          <w:p w14:paraId="7501103A" w14:textId="77777777" w:rsidR="00DE4516" w:rsidRPr="00A46ADC" w:rsidRDefault="00DE4516" w:rsidP="00DE4516">
            <w:pPr>
              <w:pStyle w:val="TableBody"/>
              <w:autoSpaceDE w:val="0"/>
              <w:autoSpaceDN w:val="0"/>
              <w:adjustRightInd w:val="0"/>
              <w:jc w:val="both"/>
              <w:rPr>
                <w:rFonts w:cs="Calibri"/>
                <w:szCs w:val="16"/>
              </w:rPr>
            </w:pPr>
            <w:r w:rsidRPr="00A46ADC">
              <w:t>Insurance services</w:t>
            </w:r>
          </w:p>
        </w:tc>
        <w:tc>
          <w:tcPr>
            <w:tcW w:w="515" w:type="pct"/>
            <w:noWrap/>
            <w:vAlign w:val="center"/>
            <w:hideMark/>
          </w:tcPr>
          <w:p w14:paraId="44D864F3" w14:textId="77777777" w:rsidR="00DE4516" w:rsidRPr="00A46ADC" w:rsidRDefault="00DE4516" w:rsidP="00DE4516">
            <w:pPr>
              <w:pStyle w:val="TableBody"/>
              <w:autoSpaceDE w:val="0"/>
              <w:autoSpaceDN w:val="0"/>
              <w:adjustRightInd w:val="0"/>
              <w:jc w:val="right"/>
              <w:rPr>
                <w:rFonts w:cs="Calibri"/>
                <w:color w:val="000000"/>
                <w:szCs w:val="16"/>
              </w:rPr>
            </w:pPr>
            <w:r w:rsidRPr="00A46ADC">
              <w:t>48</w:t>
            </w:r>
          </w:p>
        </w:tc>
        <w:tc>
          <w:tcPr>
            <w:tcW w:w="515" w:type="pct"/>
            <w:noWrap/>
            <w:vAlign w:val="center"/>
            <w:hideMark/>
          </w:tcPr>
          <w:p w14:paraId="3CA59D10" w14:textId="77777777" w:rsidR="00DE4516" w:rsidRPr="00A46ADC" w:rsidRDefault="00DE4516" w:rsidP="00DE4516">
            <w:pPr>
              <w:pStyle w:val="TableBody"/>
              <w:autoSpaceDE w:val="0"/>
              <w:autoSpaceDN w:val="0"/>
              <w:adjustRightInd w:val="0"/>
              <w:jc w:val="right"/>
              <w:rPr>
                <w:rFonts w:cs="Calibri"/>
                <w:color w:val="000000"/>
                <w:szCs w:val="16"/>
              </w:rPr>
            </w:pPr>
            <w:r w:rsidRPr="00A46ADC">
              <w:t>41</w:t>
            </w:r>
          </w:p>
        </w:tc>
        <w:tc>
          <w:tcPr>
            <w:tcW w:w="516" w:type="pct"/>
            <w:noWrap/>
            <w:vAlign w:val="center"/>
            <w:hideMark/>
          </w:tcPr>
          <w:p w14:paraId="38874009" w14:textId="77777777" w:rsidR="00DE4516" w:rsidRPr="00A46ADC" w:rsidRDefault="00DE4516" w:rsidP="00DE4516">
            <w:pPr>
              <w:pStyle w:val="TableBody"/>
              <w:autoSpaceDE w:val="0"/>
              <w:autoSpaceDN w:val="0"/>
              <w:adjustRightInd w:val="0"/>
              <w:jc w:val="right"/>
              <w:rPr>
                <w:rFonts w:cs="Calibri"/>
                <w:color w:val="000000"/>
                <w:szCs w:val="16"/>
              </w:rPr>
            </w:pPr>
            <w:r w:rsidRPr="00A46ADC">
              <w:t>40</w:t>
            </w:r>
          </w:p>
        </w:tc>
        <w:tc>
          <w:tcPr>
            <w:tcW w:w="515" w:type="pct"/>
            <w:noWrap/>
            <w:vAlign w:val="center"/>
            <w:hideMark/>
          </w:tcPr>
          <w:p w14:paraId="37B06F37" w14:textId="77777777" w:rsidR="00DE4516" w:rsidRPr="00A46ADC" w:rsidRDefault="00DE4516" w:rsidP="00DE4516">
            <w:pPr>
              <w:pStyle w:val="TableBody"/>
              <w:autoSpaceDE w:val="0"/>
              <w:autoSpaceDN w:val="0"/>
              <w:adjustRightInd w:val="0"/>
              <w:jc w:val="right"/>
              <w:rPr>
                <w:rFonts w:cs="Calibri"/>
                <w:color w:val="000000"/>
                <w:szCs w:val="16"/>
              </w:rPr>
            </w:pPr>
            <w:r w:rsidRPr="00A46ADC">
              <w:t>38</w:t>
            </w:r>
          </w:p>
        </w:tc>
        <w:tc>
          <w:tcPr>
            <w:tcW w:w="516" w:type="pct"/>
            <w:noWrap/>
            <w:vAlign w:val="center"/>
            <w:hideMark/>
          </w:tcPr>
          <w:p w14:paraId="06A75193" w14:textId="77777777" w:rsidR="00DE4516" w:rsidRPr="00A46ADC" w:rsidRDefault="00DE4516" w:rsidP="00DE4516">
            <w:pPr>
              <w:pStyle w:val="TableBody"/>
              <w:autoSpaceDE w:val="0"/>
              <w:autoSpaceDN w:val="0"/>
              <w:adjustRightInd w:val="0"/>
              <w:jc w:val="right"/>
              <w:rPr>
                <w:rFonts w:cs="Calibri"/>
                <w:color w:val="000000"/>
                <w:szCs w:val="16"/>
              </w:rPr>
            </w:pPr>
            <w:r w:rsidRPr="00A46ADC">
              <w:t>39</w:t>
            </w:r>
          </w:p>
        </w:tc>
        <w:tc>
          <w:tcPr>
            <w:tcW w:w="515" w:type="pct"/>
            <w:noWrap/>
            <w:vAlign w:val="center"/>
            <w:hideMark/>
          </w:tcPr>
          <w:p w14:paraId="5BF1178B" w14:textId="77777777" w:rsidR="00DE4516" w:rsidRPr="00A46ADC" w:rsidRDefault="00DE4516" w:rsidP="00DE4516">
            <w:pPr>
              <w:pStyle w:val="TableBody"/>
              <w:autoSpaceDE w:val="0"/>
              <w:autoSpaceDN w:val="0"/>
              <w:adjustRightInd w:val="0"/>
              <w:jc w:val="right"/>
              <w:rPr>
                <w:rFonts w:cs="Calibri"/>
                <w:color w:val="000000"/>
                <w:szCs w:val="16"/>
              </w:rPr>
            </w:pPr>
            <w:r w:rsidRPr="00A46ADC">
              <w:t>42</w:t>
            </w:r>
          </w:p>
        </w:tc>
        <w:tc>
          <w:tcPr>
            <w:tcW w:w="516" w:type="pct"/>
            <w:noWrap/>
            <w:vAlign w:val="center"/>
          </w:tcPr>
          <w:p w14:paraId="4B21109A" w14:textId="77777777" w:rsidR="00DE4516" w:rsidRPr="00A46ADC" w:rsidRDefault="00DE4516" w:rsidP="00DE4516">
            <w:pPr>
              <w:pStyle w:val="TableBody"/>
              <w:autoSpaceDE w:val="0"/>
              <w:autoSpaceDN w:val="0"/>
              <w:adjustRightInd w:val="0"/>
              <w:jc w:val="right"/>
              <w:rPr>
                <w:rFonts w:cs="Calibri"/>
                <w:color w:val="000000"/>
                <w:szCs w:val="16"/>
              </w:rPr>
            </w:pPr>
            <w:r w:rsidRPr="00A46ADC">
              <w:t>40</w:t>
            </w:r>
          </w:p>
        </w:tc>
      </w:tr>
      <w:tr w:rsidR="00DE4516" w:rsidRPr="00045A4A" w14:paraId="68917AC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24817ECB" w14:textId="77777777" w:rsidR="00DE4516" w:rsidRPr="00A46ADC" w:rsidRDefault="00DE4516" w:rsidP="00DE4516">
            <w:pPr>
              <w:pStyle w:val="TableBody"/>
              <w:autoSpaceDE w:val="0"/>
              <w:autoSpaceDN w:val="0"/>
              <w:adjustRightInd w:val="0"/>
              <w:jc w:val="both"/>
              <w:rPr>
                <w:rFonts w:cs="Calibri"/>
                <w:szCs w:val="16"/>
              </w:rPr>
            </w:pPr>
            <w:r w:rsidRPr="00A46ADC">
              <w:t>Other business services</w:t>
            </w:r>
          </w:p>
        </w:tc>
        <w:tc>
          <w:tcPr>
            <w:tcW w:w="515" w:type="pct"/>
            <w:noWrap/>
            <w:vAlign w:val="center"/>
            <w:hideMark/>
          </w:tcPr>
          <w:p w14:paraId="16E9FDF3" w14:textId="77777777" w:rsidR="00DE4516" w:rsidRPr="00A46ADC" w:rsidRDefault="00DE4516" w:rsidP="00DE4516">
            <w:pPr>
              <w:pStyle w:val="TableBody"/>
              <w:autoSpaceDE w:val="0"/>
              <w:autoSpaceDN w:val="0"/>
              <w:adjustRightInd w:val="0"/>
              <w:jc w:val="right"/>
              <w:rPr>
                <w:rFonts w:cs="Calibri"/>
                <w:color w:val="000000"/>
                <w:szCs w:val="16"/>
              </w:rPr>
            </w:pPr>
            <w:r w:rsidRPr="00A46ADC">
              <w:t>452</w:t>
            </w:r>
          </w:p>
        </w:tc>
        <w:tc>
          <w:tcPr>
            <w:tcW w:w="515" w:type="pct"/>
            <w:noWrap/>
            <w:vAlign w:val="center"/>
            <w:hideMark/>
          </w:tcPr>
          <w:p w14:paraId="29C022B4" w14:textId="77777777" w:rsidR="00DE4516" w:rsidRPr="00A46ADC" w:rsidRDefault="00DE4516" w:rsidP="00DE4516">
            <w:pPr>
              <w:pStyle w:val="TableBody"/>
              <w:autoSpaceDE w:val="0"/>
              <w:autoSpaceDN w:val="0"/>
              <w:adjustRightInd w:val="0"/>
              <w:jc w:val="right"/>
              <w:rPr>
                <w:rFonts w:cs="Calibri"/>
                <w:color w:val="000000"/>
                <w:szCs w:val="16"/>
              </w:rPr>
            </w:pPr>
            <w:r w:rsidRPr="00A46ADC">
              <w:t>468</w:t>
            </w:r>
          </w:p>
        </w:tc>
        <w:tc>
          <w:tcPr>
            <w:tcW w:w="516" w:type="pct"/>
            <w:noWrap/>
            <w:vAlign w:val="center"/>
            <w:hideMark/>
          </w:tcPr>
          <w:p w14:paraId="4B001B8C" w14:textId="77777777" w:rsidR="00DE4516" w:rsidRPr="00A46ADC" w:rsidRDefault="00DE4516" w:rsidP="00DE4516">
            <w:pPr>
              <w:pStyle w:val="TableBody"/>
              <w:autoSpaceDE w:val="0"/>
              <w:autoSpaceDN w:val="0"/>
              <w:adjustRightInd w:val="0"/>
              <w:jc w:val="right"/>
              <w:rPr>
                <w:rFonts w:cs="Calibri"/>
                <w:color w:val="000000"/>
                <w:szCs w:val="16"/>
              </w:rPr>
            </w:pPr>
            <w:r w:rsidRPr="00A46ADC">
              <w:t>425</w:t>
            </w:r>
          </w:p>
        </w:tc>
        <w:tc>
          <w:tcPr>
            <w:tcW w:w="515" w:type="pct"/>
            <w:noWrap/>
            <w:vAlign w:val="center"/>
            <w:hideMark/>
          </w:tcPr>
          <w:p w14:paraId="5E2DA0A0" w14:textId="77777777" w:rsidR="00DE4516" w:rsidRPr="00A46ADC" w:rsidRDefault="00DE4516" w:rsidP="00DE4516">
            <w:pPr>
              <w:pStyle w:val="TableBody"/>
              <w:autoSpaceDE w:val="0"/>
              <w:autoSpaceDN w:val="0"/>
              <w:adjustRightInd w:val="0"/>
              <w:jc w:val="right"/>
              <w:rPr>
                <w:rFonts w:cs="Calibri"/>
                <w:color w:val="000000"/>
                <w:szCs w:val="16"/>
              </w:rPr>
            </w:pPr>
            <w:r w:rsidRPr="00A46ADC">
              <w:t>447</w:t>
            </w:r>
          </w:p>
        </w:tc>
        <w:tc>
          <w:tcPr>
            <w:tcW w:w="516" w:type="pct"/>
            <w:noWrap/>
            <w:vAlign w:val="center"/>
            <w:hideMark/>
          </w:tcPr>
          <w:p w14:paraId="17780101" w14:textId="77777777" w:rsidR="00DE4516" w:rsidRPr="00A46ADC" w:rsidRDefault="00DE4516" w:rsidP="00DE4516">
            <w:pPr>
              <w:pStyle w:val="TableBody"/>
              <w:autoSpaceDE w:val="0"/>
              <w:autoSpaceDN w:val="0"/>
              <w:adjustRightInd w:val="0"/>
              <w:jc w:val="right"/>
              <w:rPr>
                <w:rFonts w:cs="Calibri"/>
                <w:color w:val="000000"/>
                <w:szCs w:val="16"/>
              </w:rPr>
            </w:pPr>
            <w:r w:rsidRPr="00A46ADC">
              <w:t>437</w:t>
            </w:r>
          </w:p>
        </w:tc>
        <w:tc>
          <w:tcPr>
            <w:tcW w:w="515" w:type="pct"/>
            <w:noWrap/>
            <w:vAlign w:val="center"/>
            <w:hideMark/>
          </w:tcPr>
          <w:p w14:paraId="71CB45E6" w14:textId="77777777" w:rsidR="00DE4516" w:rsidRPr="00A46ADC" w:rsidRDefault="00DE4516" w:rsidP="00DE4516">
            <w:pPr>
              <w:pStyle w:val="TableBody"/>
              <w:autoSpaceDE w:val="0"/>
              <w:autoSpaceDN w:val="0"/>
              <w:adjustRightInd w:val="0"/>
              <w:jc w:val="right"/>
              <w:rPr>
                <w:rFonts w:cs="Calibri"/>
                <w:color w:val="000000"/>
                <w:szCs w:val="16"/>
              </w:rPr>
            </w:pPr>
            <w:r w:rsidRPr="00A46ADC">
              <w:t>460</w:t>
            </w:r>
          </w:p>
        </w:tc>
        <w:tc>
          <w:tcPr>
            <w:tcW w:w="516" w:type="pct"/>
            <w:noWrap/>
            <w:vAlign w:val="center"/>
          </w:tcPr>
          <w:p w14:paraId="1E456DC9" w14:textId="77777777" w:rsidR="00DE4516" w:rsidRPr="00A46ADC" w:rsidRDefault="00DE4516" w:rsidP="00DE4516">
            <w:pPr>
              <w:pStyle w:val="TableBody"/>
              <w:autoSpaceDE w:val="0"/>
              <w:autoSpaceDN w:val="0"/>
              <w:adjustRightInd w:val="0"/>
              <w:jc w:val="right"/>
              <w:rPr>
                <w:rFonts w:cs="Calibri"/>
                <w:color w:val="000000"/>
                <w:szCs w:val="16"/>
              </w:rPr>
            </w:pPr>
            <w:r w:rsidRPr="00A46ADC">
              <w:t>423</w:t>
            </w:r>
          </w:p>
        </w:tc>
      </w:tr>
      <w:tr w:rsidR="00DE4516" w:rsidRPr="00045A4A" w14:paraId="1B159491" w14:textId="77777777" w:rsidTr="002C718D">
        <w:trPr>
          <w:cantSplit/>
        </w:trPr>
        <w:tc>
          <w:tcPr>
            <w:tcW w:w="1392" w:type="pct"/>
            <w:noWrap/>
            <w:vAlign w:val="center"/>
            <w:hideMark/>
          </w:tcPr>
          <w:p w14:paraId="30201E6D" w14:textId="77777777" w:rsidR="00DE4516" w:rsidRPr="00A46ADC" w:rsidRDefault="00DE4516" w:rsidP="00DE4516">
            <w:pPr>
              <w:pStyle w:val="TableBody"/>
              <w:autoSpaceDE w:val="0"/>
              <w:autoSpaceDN w:val="0"/>
              <w:adjustRightInd w:val="0"/>
              <w:jc w:val="both"/>
              <w:rPr>
                <w:rFonts w:cs="Calibri"/>
                <w:b/>
                <w:bCs/>
                <w:szCs w:val="16"/>
              </w:rPr>
            </w:pPr>
            <w:r w:rsidRPr="00A46ADC">
              <w:rPr>
                <w:b/>
              </w:rPr>
              <w:t>Imports</w:t>
            </w:r>
          </w:p>
        </w:tc>
        <w:tc>
          <w:tcPr>
            <w:tcW w:w="515" w:type="pct"/>
            <w:noWrap/>
            <w:vAlign w:val="center"/>
            <w:hideMark/>
          </w:tcPr>
          <w:p w14:paraId="5B3C184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10,015</w:t>
            </w:r>
          </w:p>
        </w:tc>
        <w:tc>
          <w:tcPr>
            <w:tcW w:w="515" w:type="pct"/>
            <w:noWrap/>
            <w:vAlign w:val="center"/>
            <w:hideMark/>
          </w:tcPr>
          <w:p w14:paraId="2B7C767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10,215</w:t>
            </w:r>
          </w:p>
        </w:tc>
        <w:tc>
          <w:tcPr>
            <w:tcW w:w="516" w:type="pct"/>
            <w:noWrap/>
            <w:vAlign w:val="center"/>
            <w:hideMark/>
          </w:tcPr>
          <w:p w14:paraId="60D8C9A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9,923</w:t>
            </w:r>
          </w:p>
        </w:tc>
        <w:tc>
          <w:tcPr>
            <w:tcW w:w="515" w:type="pct"/>
            <w:noWrap/>
            <w:vAlign w:val="center"/>
            <w:hideMark/>
          </w:tcPr>
          <w:p w14:paraId="77BD0E7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10,840</w:t>
            </w:r>
          </w:p>
        </w:tc>
        <w:tc>
          <w:tcPr>
            <w:tcW w:w="516" w:type="pct"/>
            <w:noWrap/>
            <w:vAlign w:val="center"/>
            <w:hideMark/>
          </w:tcPr>
          <w:p w14:paraId="2AE1D729"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11,729</w:t>
            </w:r>
          </w:p>
        </w:tc>
        <w:tc>
          <w:tcPr>
            <w:tcW w:w="515" w:type="pct"/>
            <w:noWrap/>
            <w:vAlign w:val="center"/>
            <w:hideMark/>
          </w:tcPr>
          <w:p w14:paraId="3507FC3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12,112</w:t>
            </w:r>
          </w:p>
        </w:tc>
        <w:tc>
          <w:tcPr>
            <w:tcW w:w="516" w:type="pct"/>
            <w:noWrap/>
            <w:vAlign w:val="center"/>
          </w:tcPr>
          <w:p w14:paraId="0E6385E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8,333</w:t>
            </w:r>
          </w:p>
        </w:tc>
      </w:tr>
      <w:tr w:rsidR="00DE4516" w:rsidRPr="00045A4A" w14:paraId="21AA189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25F12C62" w14:textId="77777777" w:rsidR="00DE4516" w:rsidRPr="00A46ADC" w:rsidRDefault="00DE4516" w:rsidP="00DE4516">
            <w:pPr>
              <w:pStyle w:val="TableBody"/>
              <w:autoSpaceDE w:val="0"/>
              <w:autoSpaceDN w:val="0"/>
              <w:adjustRightInd w:val="0"/>
              <w:jc w:val="both"/>
              <w:rPr>
                <w:rFonts w:cs="Calibri"/>
                <w:szCs w:val="16"/>
              </w:rPr>
            </w:pPr>
            <w:r w:rsidRPr="00A46ADC">
              <w:t>Transportation</w:t>
            </w:r>
          </w:p>
        </w:tc>
        <w:tc>
          <w:tcPr>
            <w:tcW w:w="515" w:type="pct"/>
            <w:noWrap/>
            <w:vAlign w:val="center"/>
            <w:hideMark/>
          </w:tcPr>
          <w:p w14:paraId="30407DCD" w14:textId="77777777" w:rsidR="00DE4516" w:rsidRPr="00A46ADC" w:rsidRDefault="00DE4516" w:rsidP="00DE4516">
            <w:pPr>
              <w:pStyle w:val="TableBody"/>
              <w:autoSpaceDE w:val="0"/>
              <w:autoSpaceDN w:val="0"/>
              <w:adjustRightInd w:val="0"/>
              <w:jc w:val="right"/>
              <w:rPr>
                <w:rFonts w:cs="Calibri"/>
                <w:color w:val="000000"/>
                <w:szCs w:val="16"/>
              </w:rPr>
            </w:pPr>
            <w:r w:rsidRPr="00A46ADC">
              <w:t>4,001</w:t>
            </w:r>
          </w:p>
        </w:tc>
        <w:tc>
          <w:tcPr>
            <w:tcW w:w="515" w:type="pct"/>
            <w:noWrap/>
            <w:vAlign w:val="center"/>
            <w:hideMark/>
          </w:tcPr>
          <w:p w14:paraId="3526DEEA" w14:textId="77777777" w:rsidR="00DE4516" w:rsidRPr="00A46ADC" w:rsidRDefault="00DE4516" w:rsidP="00DE4516">
            <w:pPr>
              <w:pStyle w:val="TableBody"/>
              <w:autoSpaceDE w:val="0"/>
              <w:autoSpaceDN w:val="0"/>
              <w:adjustRightInd w:val="0"/>
              <w:jc w:val="right"/>
              <w:rPr>
                <w:rFonts w:cs="Calibri"/>
                <w:color w:val="000000"/>
                <w:szCs w:val="16"/>
              </w:rPr>
            </w:pPr>
            <w:r w:rsidRPr="00A46ADC">
              <w:t>3,945</w:t>
            </w:r>
          </w:p>
        </w:tc>
        <w:tc>
          <w:tcPr>
            <w:tcW w:w="516" w:type="pct"/>
            <w:noWrap/>
            <w:vAlign w:val="center"/>
            <w:hideMark/>
          </w:tcPr>
          <w:p w14:paraId="2F428EC0" w14:textId="77777777" w:rsidR="00DE4516" w:rsidRPr="00A46ADC" w:rsidRDefault="00DE4516" w:rsidP="00DE4516">
            <w:pPr>
              <w:pStyle w:val="TableBody"/>
              <w:autoSpaceDE w:val="0"/>
              <w:autoSpaceDN w:val="0"/>
              <w:adjustRightInd w:val="0"/>
              <w:jc w:val="right"/>
              <w:rPr>
                <w:rFonts w:cs="Calibri"/>
                <w:color w:val="000000"/>
                <w:szCs w:val="16"/>
              </w:rPr>
            </w:pPr>
            <w:r w:rsidRPr="00A46ADC">
              <w:t>3,549</w:t>
            </w:r>
          </w:p>
        </w:tc>
        <w:tc>
          <w:tcPr>
            <w:tcW w:w="515" w:type="pct"/>
            <w:noWrap/>
            <w:vAlign w:val="center"/>
            <w:hideMark/>
          </w:tcPr>
          <w:p w14:paraId="276B2A20" w14:textId="77777777" w:rsidR="00DE4516" w:rsidRPr="00A46ADC" w:rsidRDefault="00DE4516" w:rsidP="00DE4516">
            <w:pPr>
              <w:pStyle w:val="TableBody"/>
              <w:autoSpaceDE w:val="0"/>
              <w:autoSpaceDN w:val="0"/>
              <w:adjustRightInd w:val="0"/>
              <w:jc w:val="right"/>
              <w:rPr>
                <w:rFonts w:cs="Calibri"/>
                <w:color w:val="000000"/>
                <w:szCs w:val="16"/>
              </w:rPr>
            </w:pPr>
            <w:r w:rsidRPr="00A46ADC">
              <w:t>4,105</w:t>
            </w:r>
          </w:p>
        </w:tc>
        <w:tc>
          <w:tcPr>
            <w:tcW w:w="516" w:type="pct"/>
            <w:noWrap/>
            <w:vAlign w:val="center"/>
            <w:hideMark/>
          </w:tcPr>
          <w:p w14:paraId="553BE750" w14:textId="77777777" w:rsidR="00DE4516" w:rsidRPr="00A46ADC" w:rsidRDefault="00DE4516" w:rsidP="00DE4516">
            <w:pPr>
              <w:pStyle w:val="TableBody"/>
              <w:autoSpaceDE w:val="0"/>
              <w:autoSpaceDN w:val="0"/>
              <w:adjustRightInd w:val="0"/>
              <w:jc w:val="right"/>
              <w:rPr>
                <w:rFonts w:cs="Calibri"/>
                <w:color w:val="000000"/>
                <w:szCs w:val="16"/>
              </w:rPr>
            </w:pPr>
            <w:r w:rsidRPr="00A46ADC">
              <w:t>4,525</w:t>
            </w:r>
          </w:p>
        </w:tc>
        <w:tc>
          <w:tcPr>
            <w:tcW w:w="515" w:type="pct"/>
            <w:noWrap/>
            <w:vAlign w:val="center"/>
            <w:hideMark/>
          </w:tcPr>
          <w:p w14:paraId="7625D228" w14:textId="77777777" w:rsidR="00DE4516" w:rsidRPr="00A46ADC" w:rsidRDefault="00DE4516" w:rsidP="00DE4516">
            <w:pPr>
              <w:pStyle w:val="TableBody"/>
              <w:autoSpaceDE w:val="0"/>
              <w:autoSpaceDN w:val="0"/>
              <w:adjustRightInd w:val="0"/>
              <w:jc w:val="right"/>
              <w:rPr>
                <w:rFonts w:cs="Calibri"/>
                <w:color w:val="000000"/>
                <w:szCs w:val="16"/>
              </w:rPr>
            </w:pPr>
            <w:r w:rsidRPr="00A46ADC">
              <w:t>4,372</w:t>
            </w:r>
          </w:p>
        </w:tc>
        <w:tc>
          <w:tcPr>
            <w:tcW w:w="516" w:type="pct"/>
            <w:noWrap/>
            <w:vAlign w:val="center"/>
          </w:tcPr>
          <w:p w14:paraId="23FC5087" w14:textId="77777777" w:rsidR="00DE4516" w:rsidRPr="00A46ADC" w:rsidRDefault="00DE4516" w:rsidP="00DE4516">
            <w:pPr>
              <w:pStyle w:val="TableBody"/>
              <w:autoSpaceDE w:val="0"/>
              <w:autoSpaceDN w:val="0"/>
              <w:adjustRightInd w:val="0"/>
              <w:jc w:val="right"/>
              <w:rPr>
                <w:rFonts w:cs="Calibri"/>
                <w:color w:val="000000"/>
                <w:szCs w:val="16"/>
              </w:rPr>
            </w:pPr>
            <w:r w:rsidRPr="00A46ADC">
              <w:t>2,750</w:t>
            </w:r>
          </w:p>
        </w:tc>
      </w:tr>
      <w:tr w:rsidR="00DE4516" w:rsidRPr="00045A4A" w14:paraId="3C7F8910" w14:textId="77777777" w:rsidTr="002C718D">
        <w:trPr>
          <w:cantSplit/>
        </w:trPr>
        <w:tc>
          <w:tcPr>
            <w:tcW w:w="1392" w:type="pct"/>
            <w:noWrap/>
            <w:vAlign w:val="center"/>
            <w:hideMark/>
          </w:tcPr>
          <w:p w14:paraId="157E58FC" w14:textId="77777777" w:rsidR="00DE4516" w:rsidRPr="00A46ADC" w:rsidRDefault="00DE4516" w:rsidP="00DE4516">
            <w:pPr>
              <w:pStyle w:val="TableBody"/>
              <w:autoSpaceDE w:val="0"/>
              <w:autoSpaceDN w:val="0"/>
              <w:adjustRightInd w:val="0"/>
              <w:ind w:left="159"/>
              <w:jc w:val="both"/>
              <w:rPr>
                <w:rFonts w:cs="Calibri"/>
                <w:szCs w:val="16"/>
              </w:rPr>
            </w:pPr>
            <w:r w:rsidRPr="00A46ADC">
              <w:t>Sea transport</w:t>
            </w:r>
          </w:p>
        </w:tc>
        <w:tc>
          <w:tcPr>
            <w:tcW w:w="515" w:type="pct"/>
            <w:noWrap/>
            <w:vAlign w:val="center"/>
            <w:hideMark/>
          </w:tcPr>
          <w:p w14:paraId="2B288641" w14:textId="77777777" w:rsidR="00DE4516" w:rsidRPr="00A46ADC" w:rsidRDefault="00DE4516" w:rsidP="00DE4516">
            <w:pPr>
              <w:pStyle w:val="TableBody"/>
              <w:autoSpaceDE w:val="0"/>
              <w:autoSpaceDN w:val="0"/>
              <w:adjustRightInd w:val="0"/>
              <w:jc w:val="right"/>
              <w:rPr>
                <w:rFonts w:cs="Calibri"/>
                <w:color w:val="000000"/>
                <w:szCs w:val="16"/>
              </w:rPr>
            </w:pPr>
            <w:r w:rsidRPr="00A46ADC">
              <w:t>3,561</w:t>
            </w:r>
          </w:p>
        </w:tc>
        <w:tc>
          <w:tcPr>
            <w:tcW w:w="515" w:type="pct"/>
            <w:noWrap/>
            <w:vAlign w:val="center"/>
            <w:hideMark/>
          </w:tcPr>
          <w:p w14:paraId="4CB322C3" w14:textId="77777777" w:rsidR="00DE4516" w:rsidRPr="00A46ADC" w:rsidRDefault="00DE4516" w:rsidP="00DE4516">
            <w:pPr>
              <w:pStyle w:val="TableBody"/>
              <w:autoSpaceDE w:val="0"/>
              <w:autoSpaceDN w:val="0"/>
              <w:adjustRightInd w:val="0"/>
              <w:jc w:val="right"/>
              <w:rPr>
                <w:rFonts w:cs="Calibri"/>
                <w:color w:val="000000"/>
                <w:szCs w:val="16"/>
              </w:rPr>
            </w:pPr>
            <w:r w:rsidRPr="00A46ADC">
              <w:t>3,470</w:t>
            </w:r>
          </w:p>
        </w:tc>
        <w:tc>
          <w:tcPr>
            <w:tcW w:w="516" w:type="pct"/>
            <w:noWrap/>
            <w:vAlign w:val="center"/>
            <w:hideMark/>
          </w:tcPr>
          <w:p w14:paraId="0F4960B2" w14:textId="77777777" w:rsidR="00DE4516" w:rsidRPr="00A46ADC" w:rsidRDefault="00DE4516" w:rsidP="00DE4516">
            <w:pPr>
              <w:pStyle w:val="TableBody"/>
              <w:autoSpaceDE w:val="0"/>
              <w:autoSpaceDN w:val="0"/>
              <w:adjustRightInd w:val="0"/>
              <w:jc w:val="right"/>
              <w:rPr>
                <w:rFonts w:cs="Calibri"/>
                <w:color w:val="000000"/>
                <w:szCs w:val="16"/>
              </w:rPr>
            </w:pPr>
            <w:r w:rsidRPr="00A46ADC">
              <w:t>3,044</w:t>
            </w:r>
          </w:p>
        </w:tc>
        <w:tc>
          <w:tcPr>
            <w:tcW w:w="515" w:type="pct"/>
            <w:noWrap/>
            <w:vAlign w:val="center"/>
            <w:hideMark/>
          </w:tcPr>
          <w:p w14:paraId="0D0F3594" w14:textId="77777777" w:rsidR="00DE4516" w:rsidRPr="00A46ADC" w:rsidRDefault="00DE4516" w:rsidP="00DE4516">
            <w:pPr>
              <w:pStyle w:val="TableBody"/>
              <w:autoSpaceDE w:val="0"/>
              <w:autoSpaceDN w:val="0"/>
              <w:adjustRightInd w:val="0"/>
              <w:jc w:val="right"/>
              <w:rPr>
                <w:rFonts w:cs="Calibri"/>
                <w:color w:val="000000"/>
                <w:szCs w:val="16"/>
              </w:rPr>
            </w:pPr>
            <w:r w:rsidRPr="00A46ADC">
              <w:t>3,525</w:t>
            </w:r>
          </w:p>
        </w:tc>
        <w:tc>
          <w:tcPr>
            <w:tcW w:w="516" w:type="pct"/>
            <w:noWrap/>
            <w:vAlign w:val="center"/>
            <w:hideMark/>
          </w:tcPr>
          <w:p w14:paraId="1B8728FD" w14:textId="77777777" w:rsidR="00DE4516" w:rsidRPr="00A46ADC" w:rsidRDefault="00DE4516" w:rsidP="00DE4516">
            <w:pPr>
              <w:pStyle w:val="TableBody"/>
              <w:autoSpaceDE w:val="0"/>
              <w:autoSpaceDN w:val="0"/>
              <w:adjustRightInd w:val="0"/>
              <w:jc w:val="right"/>
              <w:rPr>
                <w:rFonts w:cs="Calibri"/>
                <w:color w:val="000000"/>
                <w:szCs w:val="16"/>
              </w:rPr>
            </w:pPr>
            <w:r w:rsidRPr="00A46ADC">
              <w:t>3,857</w:t>
            </w:r>
          </w:p>
        </w:tc>
        <w:tc>
          <w:tcPr>
            <w:tcW w:w="515" w:type="pct"/>
            <w:noWrap/>
            <w:vAlign w:val="center"/>
            <w:hideMark/>
          </w:tcPr>
          <w:p w14:paraId="2B3C2A8F" w14:textId="77777777" w:rsidR="00DE4516" w:rsidRPr="00A46ADC" w:rsidRDefault="00DE4516" w:rsidP="00DE4516">
            <w:pPr>
              <w:pStyle w:val="TableBody"/>
              <w:autoSpaceDE w:val="0"/>
              <w:autoSpaceDN w:val="0"/>
              <w:adjustRightInd w:val="0"/>
              <w:jc w:val="right"/>
              <w:rPr>
                <w:rFonts w:cs="Calibri"/>
                <w:color w:val="000000"/>
                <w:szCs w:val="16"/>
              </w:rPr>
            </w:pPr>
            <w:r w:rsidRPr="00A46ADC">
              <w:t>3,601</w:t>
            </w:r>
          </w:p>
        </w:tc>
        <w:tc>
          <w:tcPr>
            <w:tcW w:w="516" w:type="pct"/>
            <w:noWrap/>
            <w:vAlign w:val="center"/>
          </w:tcPr>
          <w:p w14:paraId="3E396FB7"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6C2D6E6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03B9EC87" w14:textId="77777777" w:rsidR="00DE4516" w:rsidRPr="00A46ADC" w:rsidRDefault="00DE4516" w:rsidP="00DE4516">
            <w:pPr>
              <w:pStyle w:val="TableBody"/>
              <w:autoSpaceDE w:val="0"/>
              <w:autoSpaceDN w:val="0"/>
              <w:adjustRightInd w:val="0"/>
              <w:ind w:left="159"/>
              <w:jc w:val="both"/>
              <w:rPr>
                <w:rFonts w:cs="Calibri"/>
                <w:szCs w:val="16"/>
              </w:rPr>
            </w:pPr>
            <w:r w:rsidRPr="00A46ADC">
              <w:t>Air transport</w:t>
            </w:r>
          </w:p>
        </w:tc>
        <w:tc>
          <w:tcPr>
            <w:tcW w:w="515" w:type="pct"/>
            <w:noWrap/>
            <w:vAlign w:val="center"/>
            <w:hideMark/>
          </w:tcPr>
          <w:p w14:paraId="0EB3B5FC" w14:textId="77777777" w:rsidR="00DE4516" w:rsidRPr="00A46ADC" w:rsidRDefault="00DE4516" w:rsidP="00DE4516">
            <w:pPr>
              <w:pStyle w:val="TableBody"/>
              <w:autoSpaceDE w:val="0"/>
              <w:autoSpaceDN w:val="0"/>
              <w:adjustRightInd w:val="0"/>
              <w:jc w:val="right"/>
              <w:rPr>
                <w:rFonts w:cs="Calibri"/>
                <w:color w:val="000000"/>
                <w:szCs w:val="16"/>
              </w:rPr>
            </w:pPr>
            <w:r w:rsidRPr="00A46ADC">
              <w:t>426</w:t>
            </w:r>
          </w:p>
        </w:tc>
        <w:tc>
          <w:tcPr>
            <w:tcW w:w="515" w:type="pct"/>
            <w:noWrap/>
            <w:vAlign w:val="center"/>
            <w:hideMark/>
          </w:tcPr>
          <w:p w14:paraId="1F594E34" w14:textId="77777777" w:rsidR="00DE4516" w:rsidRPr="00A46ADC" w:rsidRDefault="00DE4516" w:rsidP="00DE4516">
            <w:pPr>
              <w:pStyle w:val="TableBody"/>
              <w:autoSpaceDE w:val="0"/>
              <w:autoSpaceDN w:val="0"/>
              <w:adjustRightInd w:val="0"/>
              <w:jc w:val="right"/>
              <w:rPr>
                <w:rFonts w:cs="Calibri"/>
                <w:color w:val="000000"/>
                <w:szCs w:val="16"/>
              </w:rPr>
            </w:pPr>
            <w:r w:rsidRPr="00A46ADC">
              <w:t>439</w:t>
            </w:r>
          </w:p>
        </w:tc>
        <w:tc>
          <w:tcPr>
            <w:tcW w:w="516" w:type="pct"/>
            <w:noWrap/>
            <w:vAlign w:val="center"/>
            <w:hideMark/>
          </w:tcPr>
          <w:p w14:paraId="4019E992" w14:textId="77777777" w:rsidR="00DE4516" w:rsidRPr="00A46ADC" w:rsidRDefault="00DE4516" w:rsidP="00DE4516">
            <w:pPr>
              <w:pStyle w:val="TableBody"/>
              <w:autoSpaceDE w:val="0"/>
              <w:autoSpaceDN w:val="0"/>
              <w:adjustRightInd w:val="0"/>
              <w:jc w:val="right"/>
              <w:rPr>
                <w:rFonts w:cs="Calibri"/>
                <w:color w:val="000000"/>
                <w:szCs w:val="16"/>
              </w:rPr>
            </w:pPr>
            <w:r w:rsidRPr="00A46ADC">
              <w:t>505</w:t>
            </w:r>
          </w:p>
        </w:tc>
        <w:tc>
          <w:tcPr>
            <w:tcW w:w="515" w:type="pct"/>
            <w:noWrap/>
            <w:vAlign w:val="center"/>
            <w:hideMark/>
          </w:tcPr>
          <w:p w14:paraId="3D226739" w14:textId="77777777" w:rsidR="00DE4516" w:rsidRPr="00A46ADC" w:rsidRDefault="00DE4516" w:rsidP="00DE4516">
            <w:pPr>
              <w:pStyle w:val="TableBody"/>
              <w:autoSpaceDE w:val="0"/>
              <w:autoSpaceDN w:val="0"/>
              <w:adjustRightInd w:val="0"/>
              <w:jc w:val="right"/>
              <w:rPr>
                <w:rFonts w:cs="Calibri"/>
                <w:color w:val="000000"/>
                <w:szCs w:val="16"/>
              </w:rPr>
            </w:pPr>
            <w:r w:rsidRPr="00A46ADC">
              <w:t>580</w:t>
            </w:r>
          </w:p>
        </w:tc>
        <w:tc>
          <w:tcPr>
            <w:tcW w:w="516" w:type="pct"/>
            <w:noWrap/>
            <w:vAlign w:val="center"/>
            <w:hideMark/>
          </w:tcPr>
          <w:p w14:paraId="6BDEBFBC" w14:textId="77777777" w:rsidR="00DE4516" w:rsidRPr="00A46ADC" w:rsidRDefault="00DE4516" w:rsidP="00DE4516">
            <w:pPr>
              <w:pStyle w:val="TableBody"/>
              <w:autoSpaceDE w:val="0"/>
              <w:autoSpaceDN w:val="0"/>
              <w:adjustRightInd w:val="0"/>
              <w:jc w:val="right"/>
              <w:rPr>
                <w:rFonts w:cs="Calibri"/>
                <w:color w:val="000000"/>
                <w:szCs w:val="16"/>
              </w:rPr>
            </w:pPr>
            <w:r w:rsidRPr="00A46ADC">
              <w:t>668</w:t>
            </w:r>
          </w:p>
        </w:tc>
        <w:tc>
          <w:tcPr>
            <w:tcW w:w="515" w:type="pct"/>
            <w:noWrap/>
            <w:vAlign w:val="center"/>
            <w:hideMark/>
          </w:tcPr>
          <w:p w14:paraId="5B6E7AD1" w14:textId="77777777" w:rsidR="00DE4516" w:rsidRPr="00A46ADC" w:rsidRDefault="00DE4516" w:rsidP="00DE4516">
            <w:pPr>
              <w:pStyle w:val="TableBody"/>
              <w:autoSpaceDE w:val="0"/>
              <w:autoSpaceDN w:val="0"/>
              <w:adjustRightInd w:val="0"/>
              <w:jc w:val="right"/>
              <w:rPr>
                <w:rFonts w:cs="Calibri"/>
                <w:color w:val="000000"/>
                <w:szCs w:val="16"/>
              </w:rPr>
            </w:pPr>
            <w:r w:rsidRPr="00A46ADC">
              <w:t>771</w:t>
            </w:r>
          </w:p>
        </w:tc>
        <w:tc>
          <w:tcPr>
            <w:tcW w:w="516" w:type="pct"/>
            <w:noWrap/>
            <w:vAlign w:val="center"/>
          </w:tcPr>
          <w:p w14:paraId="386A96F1"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4D68F0FC" w14:textId="77777777" w:rsidTr="002C718D">
        <w:trPr>
          <w:cantSplit/>
        </w:trPr>
        <w:tc>
          <w:tcPr>
            <w:tcW w:w="1392" w:type="pct"/>
            <w:noWrap/>
            <w:vAlign w:val="center"/>
            <w:hideMark/>
          </w:tcPr>
          <w:p w14:paraId="25F1FB07" w14:textId="77777777" w:rsidR="00DE4516" w:rsidRPr="00A46ADC" w:rsidRDefault="00DE4516" w:rsidP="00DE4516">
            <w:pPr>
              <w:pStyle w:val="TableBody"/>
              <w:autoSpaceDE w:val="0"/>
              <w:autoSpaceDN w:val="0"/>
              <w:adjustRightInd w:val="0"/>
              <w:jc w:val="both"/>
              <w:rPr>
                <w:rFonts w:cs="Calibri"/>
                <w:szCs w:val="16"/>
              </w:rPr>
            </w:pPr>
            <w:r w:rsidRPr="00A46ADC">
              <w:t>Travel</w:t>
            </w:r>
          </w:p>
        </w:tc>
        <w:tc>
          <w:tcPr>
            <w:tcW w:w="515" w:type="pct"/>
            <w:noWrap/>
            <w:vAlign w:val="center"/>
            <w:hideMark/>
          </w:tcPr>
          <w:p w14:paraId="4F3814A2" w14:textId="77777777" w:rsidR="00DE4516" w:rsidRPr="00A46ADC" w:rsidRDefault="00DE4516" w:rsidP="00DE4516">
            <w:pPr>
              <w:pStyle w:val="TableBody"/>
              <w:autoSpaceDE w:val="0"/>
              <w:autoSpaceDN w:val="0"/>
              <w:adjustRightInd w:val="0"/>
              <w:jc w:val="right"/>
              <w:rPr>
                <w:rFonts w:cs="Calibri"/>
                <w:color w:val="000000"/>
                <w:szCs w:val="16"/>
              </w:rPr>
            </w:pPr>
            <w:r w:rsidRPr="00A46ADC">
              <w:t>1,655</w:t>
            </w:r>
          </w:p>
        </w:tc>
        <w:tc>
          <w:tcPr>
            <w:tcW w:w="515" w:type="pct"/>
            <w:noWrap/>
            <w:vAlign w:val="center"/>
            <w:hideMark/>
          </w:tcPr>
          <w:p w14:paraId="357C6391" w14:textId="77777777" w:rsidR="00DE4516" w:rsidRPr="00A46ADC" w:rsidRDefault="00DE4516" w:rsidP="00DE4516">
            <w:pPr>
              <w:pStyle w:val="TableBody"/>
              <w:autoSpaceDE w:val="0"/>
              <w:autoSpaceDN w:val="0"/>
              <w:adjustRightInd w:val="0"/>
              <w:jc w:val="right"/>
              <w:rPr>
                <w:rFonts w:cs="Calibri"/>
                <w:color w:val="000000"/>
                <w:szCs w:val="16"/>
              </w:rPr>
            </w:pPr>
            <w:r w:rsidRPr="00A46ADC">
              <w:t>1,769</w:t>
            </w:r>
          </w:p>
        </w:tc>
        <w:tc>
          <w:tcPr>
            <w:tcW w:w="516" w:type="pct"/>
            <w:noWrap/>
            <w:vAlign w:val="center"/>
            <w:hideMark/>
          </w:tcPr>
          <w:p w14:paraId="00048DEB" w14:textId="77777777" w:rsidR="00DE4516" w:rsidRPr="00A46ADC" w:rsidRDefault="00DE4516" w:rsidP="00DE4516">
            <w:pPr>
              <w:pStyle w:val="TableBody"/>
              <w:autoSpaceDE w:val="0"/>
              <w:autoSpaceDN w:val="0"/>
              <w:adjustRightInd w:val="0"/>
              <w:jc w:val="right"/>
              <w:rPr>
                <w:rFonts w:cs="Calibri"/>
                <w:color w:val="000000"/>
                <w:szCs w:val="16"/>
              </w:rPr>
            </w:pPr>
            <w:r w:rsidRPr="00A46ADC">
              <w:t>2,138</w:t>
            </w:r>
          </w:p>
        </w:tc>
        <w:tc>
          <w:tcPr>
            <w:tcW w:w="515" w:type="pct"/>
            <w:noWrap/>
            <w:vAlign w:val="center"/>
            <w:hideMark/>
          </w:tcPr>
          <w:p w14:paraId="49C5147C" w14:textId="77777777" w:rsidR="00DE4516" w:rsidRPr="00A46ADC" w:rsidRDefault="00DE4516" w:rsidP="00DE4516">
            <w:pPr>
              <w:pStyle w:val="TableBody"/>
              <w:autoSpaceDE w:val="0"/>
              <w:autoSpaceDN w:val="0"/>
              <w:adjustRightInd w:val="0"/>
              <w:jc w:val="right"/>
              <w:rPr>
                <w:rFonts w:cs="Calibri"/>
                <w:color w:val="000000"/>
                <w:szCs w:val="16"/>
              </w:rPr>
            </w:pPr>
            <w:r w:rsidRPr="00A46ADC">
              <w:t>2,335</w:t>
            </w:r>
          </w:p>
        </w:tc>
        <w:tc>
          <w:tcPr>
            <w:tcW w:w="516" w:type="pct"/>
            <w:noWrap/>
            <w:vAlign w:val="center"/>
            <w:hideMark/>
          </w:tcPr>
          <w:p w14:paraId="28AFC805" w14:textId="77777777" w:rsidR="00DE4516" w:rsidRPr="00A46ADC" w:rsidRDefault="00DE4516" w:rsidP="00DE4516">
            <w:pPr>
              <w:pStyle w:val="TableBody"/>
              <w:autoSpaceDE w:val="0"/>
              <w:autoSpaceDN w:val="0"/>
              <w:adjustRightInd w:val="0"/>
              <w:jc w:val="right"/>
              <w:rPr>
                <w:rFonts w:cs="Calibri"/>
                <w:color w:val="000000"/>
                <w:szCs w:val="16"/>
              </w:rPr>
            </w:pPr>
            <w:r w:rsidRPr="00A46ADC">
              <w:t>2,542</w:t>
            </w:r>
          </w:p>
        </w:tc>
        <w:tc>
          <w:tcPr>
            <w:tcW w:w="515" w:type="pct"/>
            <w:noWrap/>
            <w:vAlign w:val="center"/>
            <w:hideMark/>
          </w:tcPr>
          <w:p w14:paraId="7A992986" w14:textId="77777777" w:rsidR="00DE4516" w:rsidRPr="00A46ADC" w:rsidRDefault="00DE4516" w:rsidP="00DE4516">
            <w:pPr>
              <w:pStyle w:val="TableBody"/>
              <w:autoSpaceDE w:val="0"/>
              <w:autoSpaceDN w:val="0"/>
              <w:adjustRightInd w:val="0"/>
              <w:jc w:val="right"/>
              <w:rPr>
                <w:rFonts w:cs="Calibri"/>
                <w:color w:val="000000"/>
                <w:szCs w:val="16"/>
              </w:rPr>
            </w:pPr>
            <w:r w:rsidRPr="00A46ADC">
              <w:t>2,635</w:t>
            </w:r>
          </w:p>
        </w:tc>
        <w:tc>
          <w:tcPr>
            <w:tcW w:w="516" w:type="pct"/>
            <w:noWrap/>
            <w:vAlign w:val="center"/>
          </w:tcPr>
          <w:p w14:paraId="60DB0558" w14:textId="77777777" w:rsidR="00DE4516" w:rsidRPr="00A46ADC" w:rsidRDefault="00DE4516" w:rsidP="00DE4516">
            <w:pPr>
              <w:pStyle w:val="TableBody"/>
              <w:autoSpaceDE w:val="0"/>
              <w:autoSpaceDN w:val="0"/>
              <w:adjustRightInd w:val="0"/>
              <w:jc w:val="right"/>
              <w:rPr>
                <w:rFonts w:cs="Calibri"/>
                <w:color w:val="000000"/>
                <w:szCs w:val="16"/>
              </w:rPr>
            </w:pPr>
            <w:r w:rsidRPr="00A46ADC">
              <w:t>1,036</w:t>
            </w:r>
          </w:p>
        </w:tc>
      </w:tr>
      <w:tr w:rsidR="00DE4516" w:rsidRPr="00045A4A" w14:paraId="4B85807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4DF1E297" w14:textId="77777777" w:rsidR="00DE4516" w:rsidRPr="00A46ADC" w:rsidRDefault="00DE4516" w:rsidP="00DE4516">
            <w:pPr>
              <w:pStyle w:val="TableBody"/>
              <w:autoSpaceDE w:val="0"/>
              <w:autoSpaceDN w:val="0"/>
              <w:adjustRightInd w:val="0"/>
              <w:ind w:left="159"/>
              <w:jc w:val="both"/>
              <w:rPr>
                <w:rFonts w:cs="Calibri"/>
                <w:szCs w:val="16"/>
              </w:rPr>
            </w:pPr>
            <w:r w:rsidRPr="00A46ADC">
              <w:t>Business travel</w:t>
            </w:r>
          </w:p>
        </w:tc>
        <w:tc>
          <w:tcPr>
            <w:tcW w:w="515" w:type="pct"/>
            <w:noWrap/>
            <w:vAlign w:val="center"/>
            <w:hideMark/>
          </w:tcPr>
          <w:p w14:paraId="538E9C09" w14:textId="77777777" w:rsidR="00DE4516" w:rsidRPr="00A46ADC" w:rsidRDefault="00DE4516" w:rsidP="00DE4516">
            <w:pPr>
              <w:pStyle w:val="TableBody"/>
              <w:autoSpaceDE w:val="0"/>
              <w:autoSpaceDN w:val="0"/>
              <w:adjustRightInd w:val="0"/>
              <w:jc w:val="right"/>
              <w:rPr>
                <w:rFonts w:cs="Calibri"/>
                <w:color w:val="000000"/>
                <w:szCs w:val="16"/>
              </w:rPr>
            </w:pPr>
            <w:r w:rsidRPr="00A46ADC">
              <w:t>293</w:t>
            </w:r>
          </w:p>
        </w:tc>
        <w:tc>
          <w:tcPr>
            <w:tcW w:w="515" w:type="pct"/>
            <w:noWrap/>
            <w:vAlign w:val="center"/>
            <w:hideMark/>
          </w:tcPr>
          <w:p w14:paraId="2104F5AA" w14:textId="77777777" w:rsidR="00DE4516" w:rsidRPr="00A46ADC" w:rsidRDefault="00DE4516" w:rsidP="00DE4516">
            <w:pPr>
              <w:pStyle w:val="TableBody"/>
              <w:autoSpaceDE w:val="0"/>
              <w:autoSpaceDN w:val="0"/>
              <w:adjustRightInd w:val="0"/>
              <w:jc w:val="right"/>
              <w:rPr>
                <w:rFonts w:cs="Calibri"/>
                <w:color w:val="000000"/>
                <w:szCs w:val="16"/>
              </w:rPr>
            </w:pPr>
            <w:r w:rsidRPr="00A46ADC">
              <w:t>262</w:t>
            </w:r>
          </w:p>
        </w:tc>
        <w:tc>
          <w:tcPr>
            <w:tcW w:w="516" w:type="pct"/>
            <w:noWrap/>
            <w:vAlign w:val="center"/>
            <w:hideMark/>
          </w:tcPr>
          <w:p w14:paraId="56513FEA" w14:textId="77777777" w:rsidR="00DE4516" w:rsidRPr="00A46ADC" w:rsidRDefault="00DE4516" w:rsidP="00DE4516">
            <w:pPr>
              <w:pStyle w:val="TableBody"/>
              <w:autoSpaceDE w:val="0"/>
              <w:autoSpaceDN w:val="0"/>
              <w:adjustRightInd w:val="0"/>
              <w:jc w:val="right"/>
              <w:rPr>
                <w:rFonts w:cs="Calibri"/>
                <w:color w:val="000000"/>
                <w:szCs w:val="16"/>
              </w:rPr>
            </w:pPr>
            <w:r w:rsidRPr="00A46ADC">
              <w:t>295</w:t>
            </w:r>
          </w:p>
        </w:tc>
        <w:tc>
          <w:tcPr>
            <w:tcW w:w="515" w:type="pct"/>
            <w:noWrap/>
            <w:vAlign w:val="center"/>
            <w:hideMark/>
          </w:tcPr>
          <w:p w14:paraId="060DE6F4" w14:textId="77777777" w:rsidR="00DE4516" w:rsidRPr="00A46ADC" w:rsidRDefault="00DE4516" w:rsidP="00DE4516">
            <w:pPr>
              <w:pStyle w:val="TableBody"/>
              <w:autoSpaceDE w:val="0"/>
              <w:autoSpaceDN w:val="0"/>
              <w:adjustRightInd w:val="0"/>
              <w:jc w:val="right"/>
              <w:rPr>
                <w:rFonts w:cs="Calibri"/>
                <w:color w:val="000000"/>
                <w:szCs w:val="16"/>
              </w:rPr>
            </w:pPr>
            <w:r w:rsidRPr="00A46ADC">
              <w:t>362</w:t>
            </w:r>
          </w:p>
        </w:tc>
        <w:tc>
          <w:tcPr>
            <w:tcW w:w="516" w:type="pct"/>
            <w:noWrap/>
            <w:vAlign w:val="center"/>
            <w:hideMark/>
          </w:tcPr>
          <w:p w14:paraId="5E61C42E" w14:textId="77777777" w:rsidR="00DE4516" w:rsidRPr="00A46ADC" w:rsidRDefault="00DE4516" w:rsidP="00DE4516">
            <w:pPr>
              <w:pStyle w:val="TableBody"/>
              <w:autoSpaceDE w:val="0"/>
              <w:autoSpaceDN w:val="0"/>
              <w:adjustRightInd w:val="0"/>
              <w:jc w:val="right"/>
              <w:rPr>
                <w:rFonts w:cs="Calibri"/>
                <w:color w:val="000000"/>
                <w:szCs w:val="16"/>
              </w:rPr>
            </w:pPr>
            <w:r w:rsidRPr="00A46ADC">
              <w:t>369</w:t>
            </w:r>
          </w:p>
        </w:tc>
        <w:tc>
          <w:tcPr>
            <w:tcW w:w="515" w:type="pct"/>
            <w:noWrap/>
            <w:vAlign w:val="center"/>
            <w:hideMark/>
          </w:tcPr>
          <w:p w14:paraId="67AFF29F"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516" w:type="pct"/>
            <w:noWrap/>
            <w:vAlign w:val="center"/>
          </w:tcPr>
          <w:p w14:paraId="63FBBCC3"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312C484C" w14:textId="77777777" w:rsidTr="002C718D">
        <w:trPr>
          <w:cantSplit/>
        </w:trPr>
        <w:tc>
          <w:tcPr>
            <w:tcW w:w="1392" w:type="pct"/>
            <w:noWrap/>
            <w:vAlign w:val="center"/>
            <w:hideMark/>
          </w:tcPr>
          <w:p w14:paraId="5B9E708E" w14:textId="77777777" w:rsidR="00DE4516" w:rsidRPr="00A46ADC" w:rsidRDefault="00DE4516" w:rsidP="00DE4516">
            <w:pPr>
              <w:pStyle w:val="TableBody"/>
              <w:autoSpaceDE w:val="0"/>
              <w:autoSpaceDN w:val="0"/>
              <w:adjustRightInd w:val="0"/>
              <w:ind w:left="159"/>
              <w:jc w:val="both"/>
              <w:rPr>
                <w:rFonts w:cs="Calibri"/>
                <w:szCs w:val="16"/>
              </w:rPr>
            </w:pPr>
            <w:r w:rsidRPr="00A46ADC">
              <w:t>Personal travel</w:t>
            </w:r>
          </w:p>
        </w:tc>
        <w:tc>
          <w:tcPr>
            <w:tcW w:w="515" w:type="pct"/>
            <w:noWrap/>
            <w:vAlign w:val="center"/>
            <w:hideMark/>
          </w:tcPr>
          <w:p w14:paraId="6850E62E" w14:textId="77777777" w:rsidR="00DE4516" w:rsidRPr="00A46ADC" w:rsidRDefault="00DE4516" w:rsidP="00DE4516">
            <w:pPr>
              <w:pStyle w:val="TableBody"/>
              <w:autoSpaceDE w:val="0"/>
              <w:autoSpaceDN w:val="0"/>
              <w:adjustRightInd w:val="0"/>
              <w:jc w:val="right"/>
              <w:rPr>
                <w:rFonts w:cs="Calibri"/>
                <w:color w:val="000000"/>
                <w:szCs w:val="16"/>
              </w:rPr>
            </w:pPr>
            <w:r w:rsidRPr="00A46ADC">
              <w:t>1,362</w:t>
            </w:r>
          </w:p>
        </w:tc>
        <w:tc>
          <w:tcPr>
            <w:tcW w:w="515" w:type="pct"/>
            <w:noWrap/>
            <w:vAlign w:val="center"/>
            <w:hideMark/>
          </w:tcPr>
          <w:p w14:paraId="029B5073" w14:textId="77777777" w:rsidR="00DE4516" w:rsidRPr="00A46ADC" w:rsidRDefault="00DE4516" w:rsidP="00DE4516">
            <w:pPr>
              <w:pStyle w:val="TableBody"/>
              <w:autoSpaceDE w:val="0"/>
              <w:autoSpaceDN w:val="0"/>
              <w:adjustRightInd w:val="0"/>
              <w:jc w:val="right"/>
              <w:rPr>
                <w:rFonts w:cs="Calibri"/>
                <w:color w:val="000000"/>
                <w:szCs w:val="16"/>
              </w:rPr>
            </w:pPr>
            <w:r w:rsidRPr="00A46ADC">
              <w:t>1,507</w:t>
            </w:r>
          </w:p>
        </w:tc>
        <w:tc>
          <w:tcPr>
            <w:tcW w:w="516" w:type="pct"/>
            <w:noWrap/>
            <w:vAlign w:val="center"/>
            <w:hideMark/>
          </w:tcPr>
          <w:p w14:paraId="1B6A082C" w14:textId="77777777" w:rsidR="00DE4516" w:rsidRPr="00A46ADC" w:rsidRDefault="00DE4516" w:rsidP="00DE4516">
            <w:pPr>
              <w:pStyle w:val="TableBody"/>
              <w:autoSpaceDE w:val="0"/>
              <w:autoSpaceDN w:val="0"/>
              <w:adjustRightInd w:val="0"/>
              <w:jc w:val="right"/>
              <w:rPr>
                <w:rFonts w:cs="Calibri"/>
                <w:color w:val="000000"/>
                <w:szCs w:val="16"/>
              </w:rPr>
            </w:pPr>
            <w:r w:rsidRPr="00A46ADC">
              <w:t>1,843</w:t>
            </w:r>
          </w:p>
        </w:tc>
        <w:tc>
          <w:tcPr>
            <w:tcW w:w="515" w:type="pct"/>
            <w:noWrap/>
            <w:vAlign w:val="center"/>
            <w:hideMark/>
          </w:tcPr>
          <w:p w14:paraId="4DC842E6" w14:textId="77777777" w:rsidR="00DE4516" w:rsidRPr="00A46ADC" w:rsidRDefault="00DE4516" w:rsidP="00DE4516">
            <w:pPr>
              <w:pStyle w:val="TableBody"/>
              <w:autoSpaceDE w:val="0"/>
              <w:autoSpaceDN w:val="0"/>
              <w:adjustRightInd w:val="0"/>
              <w:jc w:val="right"/>
              <w:rPr>
                <w:rFonts w:cs="Calibri"/>
                <w:color w:val="000000"/>
                <w:szCs w:val="16"/>
              </w:rPr>
            </w:pPr>
            <w:r w:rsidRPr="00A46ADC">
              <w:t>1,974</w:t>
            </w:r>
          </w:p>
        </w:tc>
        <w:tc>
          <w:tcPr>
            <w:tcW w:w="516" w:type="pct"/>
            <w:noWrap/>
            <w:vAlign w:val="center"/>
            <w:hideMark/>
          </w:tcPr>
          <w:p w14:paraId="16BB43E7" w14:textId="77777777" w:rsidR="00DE4516" w:rsidRPr="00A46ADC" w:rsidRDefault="00DE4516" w:rsidP="00DE4516">
            <w:pPr>
              <w:pStyle w:val="TableBody"/>
              <w:autoSpaceDE w:val="0"/>
              <w:autoSpaceDN w:val="0"/>
              <w:adjustRightInd w:val="0"/>
              <w:jc w:val="right"/>
              <w:rPr>
                <w:rFonts w:cs="Calibri"/>
                <w:color w:val="000000"/>
                <w:szCs w:val="16"/>
              </w:rPr>
            </w:pPr>
            <w:r w:rsidRPr="00A46ADC">
              <w:t>2,172</w:t>
            </w:r>
          </w:p>
        </w:tc>
        <w:tc>
          <w:tcPr>
            <w:tcW w:w="515" w:type="pct"/>
            <w:noWrap/>
            <w:vAlign w:val="center"/>
            <w:hideMark/>
          </w:tcPr>
          <w:p w14:paraId="2928C04C"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516" w:type="pct"/>
            <w:noWrap/>
            <w:vAlign w:val="center"/>
          </w:tcPr>
          <w:p w14:paraId="1B65F31C"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78A66D2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0ADE5E42" w14:textId="77777777" w:rsidR="00DE4516" w:rsidRPr="00A46ADC" w:rsidRDefault="00DE4516" w:rsidP="00DE4516">
            <w:pPr>
              <w:pStyle w:val="TableBody"/>
              <w:autoSpaceDE w:val="0"/>
              <w:autoSpaceDN w:val="0"/>
              <w:adjustRightInd w:val="0"/>
              <w:ind w:left="159"/>
              <w:jc w:val="both"/>
              <w:rPr>
                <w:rFonts w:cs="Calibri"/>
                <w:szCs w:val="16"/>
              </w:rPr>
            </w:pPr>
            <w:r w:rsidRPr="00A46ADC">
              <w:t>Health-related</w:t>
            </w:r>
          </w:p>
        </w:tc>
        <w:tc>
          <w:tcPr>
            <w:tcW w:w="515" w:type="pct"/>
            <w:noWrap/>
            <w:vAlign w:val="center"/>
            <w:hideMark/>
          </w:tcPr>
          <w:p w14:paraId="0FD2CADE" w14:textId="77777777" w:rsidR="00DE4516" w:rsidRPr="00A46ADC" w:rsidRDefault="00DE4516" w:rsidP="00DE4516">
            <w:pPr>
              <w:pStyle w:val="TableBody"/>
              <w:autoSpaceDE w:val="0"/>
              <w:autoSpaceDN w:val="0"/>
              <w:adjustRightInd w:val="0"/>
              <w:jc w:val="right"/>
              <w:rPr>
                <w:rFonts w:cs="Calibri"/>
                <w:color w:val="000000"/>
                <w:szCs w:val="16"/>
              </w:rPr>
            </w:pPr>
            <w:r w:rsidRPr="00A46ADC">
              <w:t>376</w:t>
            </w:r>
          </w:p>
        </w:tc>
        <w:tc>
          <w:tcPr>
            <w:tcW w:w="515" w:type="pct"/>
            <w:noWrap/>
            <w:vAlign w:val="center"/>
            <w:hideMark/>
          </w:tcPr>
          <w:p w14:paraId="24BD65AA" w14:textId="77777777" w:rsidR="00DE4516" w:rsidRPr="00A46ADC" w:rsidRDefault="00DE4516" w:rsidP="00DE4516">
            <w:pPr>
              <w:pStyle w:val="TableBody"/>
              <w:autoSpaceDE w:val="0"/>
              <w:autoSpaceDN w:val="0"/>
              <w:adjustRightInd w:val="0"/>
              <w:jc w:val="right"/>
              <w:rPr>
                <w:rFonts w:cs="Calibri"/>
                <w:color w:val="000000"/>
                <w:szCs w:val="16"/>
              </w:rPr>
            </w:pPr>
            <w:r w:rsidRPr="00A46ADC">
              <w:t>410</w:t>
            </w:r>
          </w:p>
        </w:tc>
        <w:tc>
          <w:tcPr>
            <w:tcW w:w="516" w:type="pct"/>
            <w:noWrap/>
            <w:vAlign w:val="center"/>
            <w:hideMark/>
          </w:tcPr>
          <w:p w14:paraId="10F1FB62" w14:textId="77777777" w:rsidR="00DE4516" w:rsidRPr="00A46ADC" w:rsidRDefault="00DE4516" w:rsidP="00DE4516">
            <w:pPr>
              <w:pStyle w:val="TableBody"/>
              <w:autoSpaceDE w:val="0"/>
              <w:autoSpaceDN w:val="0"/>
              <w:adjustRightInd w:val="0"/>
              <w:jc w:val="right"/>
              <w:rPr>
                <w:rFonts w:cs="Calibri"/>
                <w:color w:val="000000"/>
                <w:szCs w:val="16"/>
              </w:rPr>
            </w:pPr>
            <w:r w:rsidRPr="00A46ADC">
              <w:t>459</w:t>
            </w:r>
          </w:p>
        </w:tc>
        <w:tc>
          <w:tcPr>
            <w:tcW w:w="515" w:type="pct"/>
            <w:noWrap/>
            <w:vAlign w:val="center"/>
            <w:hideMark/>
          </w:tcPr>
          <w:p w14:paraId="2E45A32A" w14:textId="77777777" w:rsidR="00DE4516" w:rsidRPr="00A46ADC" w:rsidRDefault="00DE4516" w:rsidP="00DE4516">
            <w:pPr>
              <w:pStyle w:val="TableBody"/>
              <w:autoSpaceDE w:val="0"/>
              <w:autoSpaceDN w:val="0"/>
              <w:adjustRightInd w:val="0"/>
              <w:jc w:val="right"/>
              <w:rPr>
                <w:rFonts w:cs="Calibri"/>
                <w:color w:val="000000"/>
                <w:szCs w:val="16"/>
              </w:rPr>
            </w:pPr>
            <w:r w:rsidRPr="00A46ADC">
              <w:t>491</w:t>
            </w:r>
          </w:p>
        </w:tc>
        <w:tc>
          <w:tcPr>
            <w:tcW w:w="516" w:type="pct"/>
            <w:noWrap/>
            <w:vAlign w:val="center"/>
            <w:hideMark/>
          </w:tcPr>
          <w:p w14:paraId="40913D74" w14:textId="77777777" w:rsidR="00DE4516" w:rsidRPr="00A46ADC" w:rsidRDefault="00DE4516" w:rsidP="00DE4516">
            <w:pPr>
              <w:pStyle w:val="TableBody"/>
              <w:autoSpaceDE w:val="0"/>
              <w:autoSpaceDN w:val="0"/>
              <w:adjustRightInd w:val="0"/>
              <w:jc w:val="right"/>
              <w:rPr>
                <w:rFonts w:cs="Calibri"/>
                <w:color w:val="000000"/>
                <w:szCs w:val="16"/>
              </w:rPr>
            </w:pPr>
            <w:r w:rsidRPr="00A46ADC">
              <w:t>560</w:t>
            </w:r>
          </w:p>
        </w:tc>
        <w:tc>
          <w:tcPr>
            <w:tcW w:w="515" w:type="pct"/>
            <w:noWrap/>
            <w:vAlign w:val="center"/>
            <w:hideMark/>
          </w:tcPr>
          <w:p w14:paraId="1EEF51A7"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516" w:type="pct"/>
            <w:noWrap/>
            <w:vAlign w:val="center"/>
          </w:tcPr>
          <w:p w14:paraId="5E1C2438"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7D9C429E" w14:textId="77777777" w:rsidTr="002C718D">
        <w:trPr>
          <w:cantSplit/>
        </w:trPr>
        <w:tc>
          <w:tcPr>
            <w:tcW w:w="1392" w:type="pct"/>
            <w:noWrap/>
            <w:vAlign w:val="center"/>
            <w:hideMark/>
          </w:tcPr>
          <w:p w14:paraId="23B67831" w14:textId="77777777" w:rsidR="00DE4516" w:rsidRPr="00A46ADC" w:rsidRDefault="00DE4516" w:rsidP="00DE4516">
            <w:pPr>
              <w:pStyle w:val="TableBody"/>
              <w:autoSpaceDE w:val="0"/>
              <w:autoSpaceDN w:val="0"/>
              <w:adjustRightInd w:val="0"/>
              <w:ind w:left="159"/>
              <w:jc w:val="both"/>
              <w:rPr>
                <w:rFonts w:cs="Calibri"/>
                <w:szCs w:val="16"/>
              </w:rPr>
            </w:pPr>
            <w:r w:rsidRPr="00A46ADC">
              <w:t>Education-related</w:t>
            </w:r>
          </w:p>
        </w:tc>
        <w:tc>
          <w:tcPr>
            <w:tcW w:w="515" w:type="pct"/>
            <w:noWrap/>
            <w:vAlign w:val="center"/>
            <w:hideMark/>
          </w:tcPr>
          <w:p w14:paraId="2A2DAF91" w14:textId="77777777" w:rsidR="00DE4516" w:rsidRPr="00A46ADC" w:rsidRDefault="00DE4516" w:rsidP="00DE4516">
            <w:pPr>
              <w:pStyle w:val="TableBody"/>
              <w:autoSpaceDE w:val="0"/>
              <w:autoSpaceDN w:val="0"/>
              <w:adjustRightInd w:val="0"/>
              <w:jc w:val="right"/>
              <w:rPr>
                <w:rFonts w:cs="Calibri"/>
                <w:color w:val="000000"/>
                <w:szCs w:val="16"/>
              </w:rPr>
            </w:pPr>
            <w:r w:rsidRPr="00A46ADC">
              <w:t>252</w:t>
            </w:r>
          </w:p>
        </w:tc>
        <w:tc>
          <w:tcPr>
            <w:tcW w:w="515" w:type="pct"/>
            <w:noWrap/>
            <w:vAlign w:val="center"/>
            <w:hideMark/>
          </w:tcPr>
          <w:p w14:paraId="35B51742" w14:textId="77777777" w:rsidR="00DE4516" w:rsidRPr="00A46ADC" w:rsidRDefault="00DE4516" w:rsidP="00DE4516">
            <w:pPr>
              <w:pStyle w:val="TableBody"/>
              <w:autoSpaceDE w:val="0"/>
              <w:autoSpaceDN w:val="0"/>
              <w:adjustRightInd w:val="0"/>
              <w:jc w:val="right"/>
              <w:rPr>
                <w:rFonts w:cs="Calibri"/>
                <w:color w:val="000000"/>
                <w:szCs w:val="16"/>
              </w:rPr>
            </w:pPr>
            <w:r w:rsidRPr="00A46ADC">
              <w:t>265</w:t>
            </w:r>
          </w:p>
        </w:tc>
        <w:tc>
          <w:tcPr>
            <w:tcW w:w="516" w:type="pct"/>
            <w:noWrap/>
            <w:vAlign w:val="center"/>
            <w:hideMark/>
          </w:tcPr>
          <w:p w14:paraId="7F4A00AF" w14:textId="77777777" w:rsidR="00DE4516" w:rsidRPr="00A46ADC" w:rsidRDefault="00DE4516" w:rsidP="00DE4516">
            <w:pPr>
              <w:pStyle w:val="TableBody"/>
              <w:autoSpaceDE w:val="0"/>
              <w:autoSpaceDN w:val="0"/>
              <w:adjustRightInd w:val="0"/>
              <w:jc w:val="right"/>
              <w:rPr>
                <w:rFonts w:cs="Calibri"/>
                <w:color w:val="000000"/>
                <w:szCs w:val="16"/>
              </w:rPr>
            </w:pPr>
            <w:r w:rsidRPr="00A46ADC">
              <w:t>289</w:t>
            </w:r>
          </w:p>
        </w:tc>
        <w:tc>
          <w:tcPr>
            <w:tcW w:w="515" w:type="pct"/>
            <w:noWrap/>
            <w:vAlign w:val="center"/>
            <w:hideMark/>
          </w:tcPr>
          <w:p w14:paraId="5509453D" w14:textId="77777777" w:rsidR="00DE4516" w:rsidRPr="00A46ADC" w:rsidRDefault="00DE4516" w:rsidP="00DE4516">
            <w:pPr>
              <w:pStyle w:val="TableBody"/>
              <w:autoSpaceDE w:val="0"/>
              <w:autoSpaceDN w:val="0"/>
              <w:adjustRightInd w:val="0"/>
              <w:jc w:val="right"/>
              <w:rPr>
                <w:rFonts w:cs="Calibri"/>
                <w:color w:val="000000"/>
                <w:szCs w:val="16"/>
              </w:rPr>
            </w:pPr>
            <w:r w:rsidRPr="00A46ADC">
              <w:t>341</w:t>
            </w:r>
          </w:p>
        </w:tc>
        <w:tc>
          <w:tcPr>
            <w:tcW w:w="516" w:type="pct"/>
            <w:noWrap/>
            <w:vAlign w:val="center"/>
            <w:hideMark/>
          </w:tcPr>
          <w:p w14:paraId="5FB2252D" w14:textId="77777777" w:rsidR="00DE4516" w:rsidRPr="00A46ADC" w:rsidRDefault="00DE4516" w:rsidP="00DE4516">
            <w:pPr>
              <w:pStyle w:val="TableBody"/>
              <w:autoSpaceDE w:val="0"/>
              <w:autoSpaceDN w:val="0"/>
              <w:adjustRightInd w:val="0"/>
              <w:jc w:val="right"/>
              <w:rPr>
                <w:rFonts w:cs="Calibri"/>
                <w:color w:val="000000"/>
                <w:szCs w:val="16"/>
              </w:rPr>
            </w:pPr>
            <w:r w:rsidRPr="00A46ADC">
              <w:t>432</w:t>
            </w:r>
          </w:p>
        </w:tc>
        <w:tc>
          <w:tcPr>
            <w:tcW w:w="515" w:type="pct"/>
            <w:noWrap/>
            <w:vAlign w:val="center"/>
            <w:hideMark/>
          </w:tcPr>
          <w:p w14:paraId="50491E64"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516" w:type="pct"/>
            <w:noWrap/>
            <w:vAlign w:val="center"/>
          </w:tcPr>
          <w:p w14:paraId="201FC383"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6798C92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6EB492EB" w14:textId="77777777" w:rsidR="00DE4516" w:rsidRPr="00A46ADC" w:rsidRDefault="00DE4516" w:rsidP="00DE4516">
            <w:pPr>
              <w:pStyle w:val="TableBody"/>
              <w:autoSpaceDE w:val="0"/>
              <w:autoSpaceDN w:val="0"/>
              <w:adjustRightInd w:val="0"/>
              <w:ind w:left="159"/>
              <w:jc w:val="both"/>
              <w:rPr>
                <w:rFonts w:cs="Calibri"/>
                <w:szCs w:val="16"/>
              </w:rPr>
            </w:pPr>
            <w:r w:rsidRPr="00A46ADC">
              <w:t>Other</w:t>
            </w:r>
          </w:p>
        </w:tc>
        <w:tc>
          <w:tcPr>
            <w:tcW w:w="515" w:type="pct"/>
            <w:noWrap/>
            <w:vAlign w:val="center"/>
            <w:hideMark/>
          </w:tcPr>
          <w:p w14:paraId="20753463" w14:textId="77777777" w:rsidR="00DE4516" w:rsidRPr="00A46ADC" w:rsidRDefault="00DE4516" w:rsidP="00DE4516">
            <w:pPr>
              <w:pStyle w:val="TableBody"/>
              <w:autoSpaceDE w:val="0"/>
              <w:autoSpaceDN w:val="0"/>
              <w:adjustRightInd w:val="0"/>
              <w:jc w:val="right"/>
              <w:rPr>
                <w:rFonts w:cs="Calibri"/>
                <w:color w:val="000000"/>
                <w:szCs w:val="16"/>
              </w:rPr>
            </w:pPr>
            <w:r w:rsidRPr="00A46ADC">
              <w:t>733</w:t>
            </w:r>
          </w:p>
        </w:tc>
        <w:tc>
          <w:tcPr>
            <w:tcW w:w="515" w:type="pct"/>
            <w:noWrap/>
            <w:vAlign w:val="center"/>
            <w:hideMark/>
          </w:tcPr>
          <w:p w14:paraId="4B678CE9" w14:textId="77777777" w:rsidR="00DE4516" w:rsidRPr="00A46ADC" w:rsidRDefault="00DE4516" w:rsidP="00DE4516">
            <w:pPr>
              <w:pStyle w:val="TableBody"/>
              <w:autoSpaceDE w:val="0"/>
              <w:autoSpaceDN w:val="0"/>
              <w:adjustRightInd w:val="0"/>
              <w:jc w:val="right"/>
              <w:rPr>
                <w:rFonts w:cs="Calibri"/>
                <w:color w:val="000000"/>
                <w:szCs w:val="16"/>
              </w:rPr>
            </w:pPr>
            <w:r w:rsidRPr="00A46ADC">
              <w:t>832</w:t>
            </w:r>
          </w:p>
        </w:tc>
        <w:tc>
          <w:tcPr>
            <w:tcW w:w="516" w:type="pct"/>
            <w:noWrap/>
            <w:vAlign w:val="center"/>
            <w:hideMark/>
          </w:tcPr>
          <w:p w14:paraId="5E95A367" w14:textId="77777777" w:rsidR="00DE4516" w:rsidRPr="00A46ADC" w:rsidRDefault="00DE4516" w:rsidP="00DE4516">
            <w:pPr>
              <w:pStyle w:val="TableBody"/>
              <w:autoSpaceDE w:val="0"/>
              <w:autoSpaceDN w:val="0"/>
              <w:adjustRightInd w:val="0"/>
              <w:jc w:val="right"/>
              <w:rPr>
                <w:rFonts w:cs="Calibri"/>
                <w:color w:val="000000"/>
                <w:szCs w:val="16"/>
              </w:rPr>
            </w:pPr>
            <w:r w:rsidRPr="00A46ADC">
              <w:t>1,095</w:t>
            </w:r>
          </w:p>
        </w:tc>
        <w:tc>
          <w:tcPr>
            <w:tcW w:w="515" w:type="pct"/>
            <w:noWrap/>
            <w:vAlign w:val="center"/>
            <w:hideMark/>
          </w:tcPr>
          <w:p w14:paraId="2DAAA1AD" w14:textId="77777777" w:rsidR="00DE4516" w:rsidRPr="00A46ADC" w:rsidRDefault="00DE4516" w:rsidP="00DE4516">
            <w:pPr>
              <w:pStyle w:val="TableBody"/>
              <w:autoSpaceDE w:val="0"/>
              <w:autoSpaceDN w:val="0"/>
              <w:adjustRightInd w:val="0"/>
              <w:jc w:val="right"/>
              <w:rPr>
                <w:rFonts w:cs="Calibri"/>
                <w:color w:val="000000"/>
                <w:szCs w:val="16"/>
              </w:rPr>
            </w:pPr>
            <w:r w:rsidRPr="00A46ADC">
              <w:t>1,142</w:t>
            </w:r>
          </w:p>
        </w:tc>
        <w:tc>
          <w:tcPr>
            <w:tcW w:w="516" w:type="pct"/>
            <w:noWrap/>
            <w:vAlign w:val="center"/>
            <w:hideMark/>
          </w:tcPr>
          <w:p w14:paraId="06093BF9" w14:textId="77777777" w:rsidR="00DE4516" w:rsidRPr="00A46ADC" w:rsidRDefault="00DE4516" w:rsidP="00DE4516">
            <w:pPr>
              <w:pStyle w:val="TableBody"/>
              <w:autoSpaceDE w:val="0"/>
              <w:autoSpaceDN w:val="0"/>
              <w:adjustRightInd w:val="0"/>
              <w:jc w:val="right"/>
              <w:rPr>
                <w:rFonts w:cs="Calibri"/>
                <w:color w:val="000000"/>
                <w:szCs w:val="16"/>
              </w:rPr>
            </w:pPr>
            <w:r w:rsidRPr="00A46ADC">
              <w:t>1,180</w:t>
            </w:r>
          </w:p>
        </w:tc>
        <w:tc>
          <w:tcPr>
            <w:tcW w:w="515" w:type="pct"/>
            <w:noWrap/>
            <w:vAlign w:val="center"/>
            <w:hideMark/>
          </w:tcPr>
          <w:p w14:paraId="2B4E75EE"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516" w:type="pct"/>
            <w:noWrap/>
            <w:vAlign w:val="center"/>
          </w:tcPr>
          <w:p w14:paraId="7C0F0752"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r>
      <w:tr w:rsidR="00DE4516" w:rsidRPr="00045A4A" w14:paraId="6C53D761" w14:textId="77777777" w:rsidTr="002C718D">
        <w:trPr>
          <w:cantSplit/>
        </w:trPr>
        <w:tc>
          <w:tcPr>
            <w:tcW w:w="1392" w:type="pct"/>
            <w:noWrap/>
            <w:vAlign w:val="center"/>
            <w:hideMark/>
          </w:tcPr>
          <w:p w14:paraId="6B69BA74" w14:textId="77777777" w:rsidR="00DE4516" w:rsidRPr="00A46ADC" w:rsidRDefault="00DE4516" w:rsidP="00DE4516">
            <w:pPr>
              <w:pStyle w:val="TableBody"/>
              <w:autoSpaceDE w:val="0"/>
              <w:autoSpaceDN w:val="0"/>
              <w:adjustRightInd w:val="0"/>
              <w:jc w:val="both"/>
              <w:rPr>
                <w:rFonts w:cs="Calibri"/>
                <w:szCs w:val="16"/>
              </w:rPr>
            </w:pPr>
            <w:r w:rsidRPr="00A46ADC">
              <w:t>Communications services</w:t>
            </w:r>
          </w:p>
        </w:tc>
        <w:tc>
          <w:tcPr>
            <w:tcW w:w="515" w:type="pct"/>
            <w:noWrap/>
            <w:vAlign w:val="center"/>
            <w:hideMark/>
          </w:tcPr>
          <w:p w14:paraId="5222D373" w14:textId="77777777" w:rsidR="00DE4516" w:rsidRPr="00A46ADC" w:rsidRDefault="00DE4516" w:rsidP="00DE4516">
            <w:pPr>
              <w:pStyle w:val="TableBody"/>
              <w:autoSpaceDE w:val="0"/>
              <w:autoSpaceDN w:val="0"/>
              <w:adjustRightInd w:val="0"/>
              <w:jc w:val="right"/>
              <w:rPr>
                <w:rFonts w:cs="Calibri"/>
                <w:color w:val="000000"/>
                <w:szCs w:val="16"/>
              </w:rPr>
            </w:pPr>
            <w:r w:rsidRPr="00A46ADC">
              <w:t>115</w:t>
            </w:r>
          </w:p>
        </w:tc>
        <w:tc>
          <w:tcPr>
            <w:tcW w:w="515" w:type="pct"/>
            <w:noWrap/>
            <w:vAlign w:val="center"/>
            <w:hideMark/>
          </w:tcPr>
          <w:p w14:paraId="1D16BE6B" w14:textId="77777777" w:rsidR="00DE4516" w:rsidRPr="00A46ADC" w:rsidRDefault="00DE4516" w:rsidP="00DE4516">
            <w:pPr>
              <w:pStyle w:val="TableBody"/>
              <w:autoSpaceDE w:val="0"/>
              <w:autoSpaceDN w:val="0"/>
              <w:adjustRightInd w:val="0"/>
              <w:jc w:val="right"/>
              <w:rPr>
                <w:rFonts w:cs="Calibri"/>
                <w:color w:val="000000"/>
                <w:szCs w:val="16"/>
              </w:rPr>
            </w:pPr>
            <w:r w:rsidRPr="00A46ADC">
              <w:t>114</w:t>
            </w:r>
          </w:p>
        </w:tc>
        <w:tc>
          <w:tcPr>
            <w:tcW w:w="516" w:type="pct"/>
            <w:noWrap/>
            <w:vAlign w:val="center"/>
            <w:hideMark/>
          </w:tcPr>
          <w:p w14:paraId="0C93C7F8" w14:textId="77777777" w:rsidR="00DE4516" w:rsidRPr="00A46ADC" w:rsidRDefault="00DE4516" w:rsidP="00DE4516">
            <w:pPr>
              <w:pStyle w:val="TableBody"/>
              <w:autoSpaceDE w:val="0"/>
              <w:autoSpaceDN w:val="0"/>
              <w:adjustRightInd w:val="0"/>
              <w:jc w:val="right"/>
              <w:rPr>
                <w:rFonts w:cs="Calibri"/>
                <w:color w:val="000000"/>
                <w:szCs w:val="16"/>
              </w:rPr>
            </w:pPr>
            <w:r w:rsidRPr="00A46ADC">
              <w:t>123</w:t>
            </w:r>
          </w:p>
        </w:tc>
        <w:tc>
          <w:tcPr>
            <w:tcW w:w="515" w:type="pct"/>
            <w:noWrap/>
            <w:vAlign w:val="center"/>
            <w:hideMark/>
          </w:tcPr>
          <w:p w14:paraId="1C6B384F" w14:textId="77777777" w:rsidR="00DE4516" w:rsidRPr="00A46ADC" w:rsidRDefault="00DE4516" w:rsidP="00DE4516">
            <w:pPr>
              <w:pStyle w:val="TableBody"/>
              <w:autoSpaceDE w:val="0"/>
              <w:autoSpaceDN w:val="0"/>
              <w:adjustRightInd w:val="0"/>
              <w:jc w:val="right"/>
              <w:rPr>
                <w:rFonts w:cs="Calibri"/>
                <w:color w:val="000000"/>
                <w:szCs w:val="16"/>
              </w:rPr>
            </w:pPr>
            <w:r w:rsidRPr="00A46ADC">
              <w:t>122</w:t>
            </w:r>
          </w:p>
        </w:tc>
        <w:tc>
          <w:tcPr>
            <w:tcW w:w="516" w:type="pct"/>
            <w:noWrap/>
            <w:vAlign w:val="center"/>
            <w:hideMark/>
          </w:tcPr>
          <w:p w14:paraId="585BDF8D" w14:textId="77777777" w:rsidR="00DE4516" w:rsidRPr="00A46ADC" w:rsidRDefault="00DE4516" w:rsidP="00DE4516">
            <w:pPr>
              <w:pStyle w:val="TableBody"/>
              <w:autoSpaceDE w:val="0"/>
              <w:autoSpaceDN w:val="0"/>
              <w:adjustRightInd w:val="0"/>
              <w:jc w:val="right"/>
              <w:rPr>
                <w:rFonts w:cs="Calibri"/>
                <w:color w:val="000000"/>
                <w:szCs w:val="16"/>
              </w:rPr>
            </w:pPr>
            <w:r w:rsidRPr="00A46ADC">
              <w:t>200</w:t>
            </w:r>
          </w:p>
        </w:tc>
        <w:tc>
          <w:tcPr>
            <w:tcW w:w="515" w:type="pct"/>
            <w:noWrap/>
            <w:vAlign w:val="center"/>
            <w:hideMark/>
          </w:tcPr>
          <w:p w14:paraId="579C0E8B" w14:textId="77777777" w:rsidR="00DE4516" w:rsidRPr="00A46ADC" w:rsidRDefault="00DE4516" w:rsidP="00DE4516">
            <w:pPr>
              <w:pStyle w:val="TableBody"/>
              <w:autoSpaceDE w:val="0"/>
              <w:autoSpaceDN w:val="0"/>
              <w:adjustRightInd w:val="0"/>
              <w:jc w:val="right"/>
              <w:rPr>
                <w:rFonts w:cs="Calibri"/>
                <w:color w:val="000000"/>
                <w:szCs w:val="16"/>
              </w:rPr>
            </w:pPr>
            <w:r w:rsidRPr="00A46ADC">
              <w:t>242</w:t>
            </w:r>
          </w:p>
        </w:tc>
        <w:tc>
          <w:tcPr>
            <w:tcW w:w="516" w:type="pct"/>
            <w:noWrap/>
            <w:vAlign w:val="center"/>
          </w:tcPr>
          <w:p w14:paraId="18E6E109" w14:textId="77777777" w:rsidR="00DE4516" w:rsidRPr="00A46ADC" w:rsidRDefault="00DE4516" w:rsidP="00DE4516">
            <w:pPr>
              <w:pStyle w:val="TableBody"/>
              <w:autoSpaceDE w:val="0"/>
              <w:autoSpaceDN w:val="0"/>
              <w:adjustRightInd w:val="0"/>
              <w:jc w:val="right"/>
              <w:rPr>
                <w:rFonts w:cs="Calibri"/>
                <w:color w:val="000000"/>
                <w:szCs w:val="16"/>
              </w:rPr>
            </w:pPr>
            <w:r w:rsidRPr="00A46ADC">
              <w:t>256</w:t>
            </w:r>
          </w:p>
        </w:tc>
      </w:tr>
      <w:tr w:rsidR="00DE4516" w:rsidRPr="00045A4A" w14:paraId="5C76C50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392" w:type="pct"/>
            <w:noWrap/>
            <w:vAlign w:val="center"/>
            <w:hideMark/>
          </w:tcPr>
          <w:p w14:paraId="677A9E85" w14:textId="77777777" w:rsidR="00DE4516" w:rsidRPr="00A46ADC" w:rsidRDefault="00DE4516" w:rsidP="00DE4516">
            <w:pPr>
              <w:pStyle w:val="TableBody"/>
              <w:autoSpaceDE w:val="0"/>
              <w:autoSpaceDN w:val="0"/>
              <w:adjustRightInd w:val="0"/>
              <w:jc w:val="both"/>
              <w:rPr>
                <w:rFonts w:cs="Calibri"/>
                <w:szCs w:val="16"/>
              </w:rPr>
            </w:pPr>
            <w:r w:rsidRPr="00A46ADC">
              <w:t>Insurance services</w:t>
            </w:r>
          </w:p>
        </w:tc>
        <w:tc>
          <w:tcPr>
            <w:tcW w:w="515" w:type="pct"/>
            <w:noWrap/>
            <w:vAlign w:val="center"/>
            <w:hideMark/>
          </w:tcPr>
          <w:p w14:paraId="66203EF0" w14:textId="77777777" w:rsidR="00DE4516" w:rsidRPr="00A46ADC" w:rsidRDefault="00DE4516" w:rsidP="00DE4516">
            <w:pPr>
              <w:pStyle w:val="TableBody"/>
              <w:autoSpaceDE w:val="0"/>
              <w:autoSpaceDN w:val="0"/>
              <w:adjustRightInd w:val="0"/>
              <w:jc w:val="right"/>
              <w:rPr>
                <w:rFonts w:cs="Calibri"/>
                <w:color w:val="000000"/>
                <w:szCs w:val="16"/>
              </w:rPr>
            </w:pPr>
            <w:r w:rsidRPr="00A46ADC">
              <w:t>917</w:t>
            </w:r>
          </w:p>
        </w:tc>
        <w:tc>
          <w:tcPr>
            <w:tcW w:w="515" w:type="pct"/>
            <w:noWrap/>
            <w:vAlign w:val="center"/>
            <w:hideMark/>
          </w:tcPr>
          <w:p w14:paraId="7E1B693B" w14:textId="77777777" w:rsidR="00DE4516" w:rsidRPr="00A46ADC" w:rsidRDefault="00DE4516" w:rsidP="00DE4516">
            <w:pPr>
              <w:pStyle w:val="TableBody"/>
              <w:autoSpaceDE w:val="0"/>
              <w:autoSpaceDN w:val="0"/>
              <w:adjustRightInd w:val="0"/>
              <w:jc w:val="right"/>
              <w:rPr>
                <w:rFonts w:cs="Calibri"/>
                <w:color w:val="000000"/>
                <w:szCs w:val="16"/>
              </w:rPr>
            </w:pPr>
            <w:r w:rsidRPr="00A46ADC">
              <w:t>1,006</w:t>
            </w:r>
          </w:p>
        </w:tc>
        <w:tc>
          <w:tcPr>
            <w:tcW w:w="516" w:type="pct"/>
            <w:noWrap/>
            <w:vAlign w:val="center"/>
            <w:hideMark/>
          </w:tcPr>
          <w:p w14:paraId="7CA0F9C9" w14:textId="77777777" w:rsidR="00DE4516" w:rsidRPr="00A46ADC" w:rsidRDefault="00DE4516" w:rsidP="00DE4516">
            <w:pPr>
              <w:pStyle w:val="TableBody"/>
              <w:autoSpaceDE w:val="0"/>
              <w:autoSpaceDN w:val="0"/>
              <w:adjustRightInd w:val="0"/>
              <w:jc w:val="right"/>
              <w:rPr>
                <w:rFonts w:cs="Calibri"/>
                <w:color w:val="000000"/>
                <w:szCs w:val="16"/>
              </w:rPr>
            </w:pPr>
            <w:r w:rsidRPr="00A46ADC">
              <w:t>938</w:t>
            </w:r>
          </w:p>
        </w:tc>
        <w:tc>
          <w:tcPr>
            <w:tcW w:w="515" w:type="pct"/>
            <w:noWrap/>
            <w:vAlign w:val="center"/>
            <w:hideMark/>
          </w:tcPr>
          <w:p w14:paraId="469B8FE0" w14:textId="77777777" w:rsidR="00DE4516" w:rsidRPr="00A46ADC" w:rsidRDefault="00DE4516" w:rsidP="00DE4516">
            <w:pPr>
              <w:pStyle w:val="TableBody"/>
              <w:autoSpaceDE w:val="0"/>
              <w:autoSpaceDN w:val="0"/>
              <w:adjustRightInd w:val="0"/>
              <w:jc w:val="right"/>
              <w:rPr>
                <w:rFonts w:cs="Calibri"/>
                <w:color w:val="000000"/>
                <w:szCs w:val="16"/>
              </w:rPr>
            </w:pPr>
            <w:r w:rsidRPr="00A46ADC">
              <w:t>1,024</w:t>
            </w:r>
          </w:p>
        </w:tc>
        <w:tc>
          <w:tcPr>
            <w:tcW w:w="516" w:type="pct"/>
            <w:noWrap/>
            <w:vAlign w:val="center"/>
            <w:hideMark/>
          </w:tcPr>
          <w:p w14:paraId="58EB67F4" w14:textId="77777777" w:rsidR="00DE4516" w:rsidRPr="00A46ADC" w:rsidRDefault="00DE4516" w:rsidP="00DE4516">
            <w:pPr>
              <w:pStyle w:val="TableBody"/>
              <w:autoSpaceDE w:val="0"/>
              <w:autoSpaceDN w:val="0"/>
              <w:adjustRightInd w:val="0"/>
              <w:jc w:val="right"/>
              <w:rPr>
                <w:rFonts w:cs="Calibri"/>
                <w:color w:val="000000"/>
                <w:szCs w:val="16"/>
              </w:rPr>
            </w:pPr>
            <w:r w:rsidRPr="00A46ADC">
              <w:t>1,064</w:t>
            </w:r>
          </w:p>
        </w:tc>
        <w:tc>
          <w:tcPr>
            <w:tcW w:w="515" w:type="pct"/>
            <w:noWrap/>
            <w:vAlign w:val="center"/>
            <w:hideMark/>
          </w:tcPr>
          <w:p w14:paraId="59FFE4D7" w14:textId="77777777" w:rsidR="00DE4516" w:rsidRPr="00A46ADC" w:rsidRDefault="00DE4516" w:rsidP="00DE4516">
            <w:pPr>
              <w:pStyle w:val="TableBody"/>
              <w:autoSpaceDE w:val="0"/>
              <w:autoSpaceDN w:val="0"/>
              <w:adjustRightInd w:val="0"/>
              <w:jc w:val="right"/>
              <w:rPr>
                <w:rFonts w:cs="Calibri"/>
                <w:color w:val="000000"/>
                <w:szCs w:val="16"/>
              </w:rPr>
            </w:pPr>
            <w:r w:rsidRPr="00A46ADC">
              <w:t>1,077</w:t>
            </w:r>
          </w:p>
        </w:tc>
        <w:tc>
          <w:tcPr>
            <w:tcW w:w="516" w:type="pct"/>
            <w:noWrap/>
            <w:vAlign w:val="center"/>
          </w:tcPr>
          <w:p w14:paraId="48FAE6D8" w14:textId="77777777" w:rsidR="00DE4516" w:rsidRPr="00A46ADC" w:rsidRDefault="00DE4516" w:rsidP="00DE4516">
            <w:pPr>
              <w:pStyle w:val="TableBody"/>
              <w:autoSpaceDE w:val="0"/>
              <w:autoSpaceDN w:val="0"/>
              <w:adjustRightInd w:val="0"/>
              <w:jc w:val="right"/>
              <w:rPr>
                <w:rFonts w:cs="Calibri"/>
                <w:color w:val="000000"/>
                <w:szCs w:val="16"/>
              </w:rPr>
            </w:pPr>
            <w:r w:rsidRPr="00A46ADC">
              <w:t>1,060</w:t>
            </w:r>
          </w:p>
        </w:tc>
      </w:tr>
      <w:tr w:rsidR="00DE4516" w:rsidRPr="00045A4A" w14:paraId="4FE8942C" w14:textId="77777777" w:rsidTr="002C718D">
        <w:trPr>
          <w:cantSplit/>
        </w:trPr>
        <w:tc>
          <w:tcPr>
            <w:tcW w:w="1392" w:type="pct"/>
            <w:tcBorders>
              <w:bottom w:val="single" w:sz="4" w:space="0" w:color="auto"/>
            </w:tcBorders>
            <w:noWrap/>
            <w:vAlign w:val="center"/>
            <w:hideMark/>
          </w:tcPr>
          <w:p w14:paraId="5371B892" w14:textId="77777777" w:rsidR="00DE4516" w:rsidRPr="00A46ADC" w:rsidRDefault="00DE4516" w:rsidP="00DE4516">
            <w:pPr>
              <w:pStyle w:val="TableBody"/>
              <w:autoSpaceDE w:val="0"/>
              <w:autoSpaceDN w:val="0"/>
              <w:adjustRightInd w:val="0"/>
              <w:jc w:val="both"/>
              <w:rPr>
                <w:rFonts w:cs="Calibri"/>
                <w:szCs w:val="16"/>
              </w:rPr>
            </w:pPr>
            <w:r w:rsidRPr="00A46ADC">
              <w:t>Other business services</w:t>
            </w:r>
          </w:p>
        </w:tc>
        <w:tc>
          <w:tcPr>
            <w:tcW w:w="515" w:type="pct"/>
            <w:tcBorders>
              <w:bottom w:val="single" w:sz="4" w:space="0" w:color="auto"/>
            </w:tcBorders>
            <w:noWrap/>
            <w:vAlign w:val="center"/>
            <w:hideMark/>
          </w:tcPr>
          <w:p w14:paraId="4CC28BC2" w14:textId="77777777" w:rsidR="00DE4516" w:rsidRPr="00A46ADC" w:rsidRDefault="00DE4516" w:rsidP="00DE4516">
            <w:pPr>
              <w:pStyle w:val="TableBody"/>
              <w:autoSpaceDE w:val="0"/>
              <w:autoSpaceDN w:val="0"/>
              <w:adjustRightInd w:val="0"/>
              <w:jc w:val="right"/>
              <w:rPr>
                <w:rFonts w:cs="Calibri"/>
                <w:color w:val="000000"/>
                <w:szCs w:val="16"/>
              </w:rPr>
            </w:pPr>
            <w:r w:rsidRPr="00A46ADC">
              <w:t>3,326</w:t>
            </w:r>
          </w:p>
        </w:tc>
        <w:tc>
          <w:tcPr>
            <w:tcW w:w="515" w:type="pct"/>
            <w:tcBorders>
              <w:bottom w:val="single" w:sz="4" w:space="0" w:color="auto"/>
            </w:tcBorders>
            <w:noWrap/>
            <w:vAlign w:val="center"/>
            <w:hideMark/>
          </w:tcPr>
          <w:p w14:paraId="5E787FB2" w14:textId="77777777" w:rsidR="00DE4516" w:rsidRPr="00A46ADC" w:rsidRDefault="00DE4516" w:rsidP="00DE4516">
            <w:pPr>
              <w:pStyle w:val="TableBody"/>
              <w:autoSpaceDE w:val="0"/>
              <w:autoSpaceDN w:val="0"/>
              <w:adjustRightInd w:val="0"/>
              <w:jc w:val="right"/>
              <w:rPr>
                <w:rFonts w:cs="Calibri"/>
                <w:color w:val="000000"/>
                <w:szCs w:val="16"/>
              </w:rPr>
            </w:pPr>
            <w:r w:rsidRPr="00A46ADC">
              <w:t>3,382</w:t>
            </w:r>
          </w:p>
        </w:tc>
        <w:tc>
          <w:tcPr>
            <w:tcW w:w="516" w:type="pct"/>
            <w:tcBorders>
              <w:bottom w:val="single" w:sz="4" w:space="0" w:color="auto"/>
            </w:tcBorders>
            <w:noWrap/>
            <w:vAlign w:val="center"/>
            <w:hideMark/>
          </w:tcPr>
          <w:p w14:paraId="4FC7B0EC" w14:textId="77777777" w:rsidR="00DE4516" w:rsidRPr="00A46ADC" w:rsidRDefault="00DE4516" w:rsidP="00DE4516">
            <w:pPr>
              <w:pStyle w:val="TableBody"/>
              <w:autoSpaceDE w:val="0"/>
              <w:autoSpaceDN w:val="0"/>
              <w:adjustRightInd w:val="0"/>
              <w:jc w:val="right"/>
              <w:rPr>
                <w:rFonts w:cs="Calibri"/>
                <w:color w:val="000000"/>
                <w:szCs w:val="16"/>
              </w:rPr>
            </w:pPr>
            <w:r w:rsidRPr="00A46ADC">
              <w:t>3,176</w:t>
            </w:r>
          </w:p>
        </w:tc>
        <w:tc>
          <w:tcPr>
            <w:tcW w:w="515" w:type="pct"/>
            <w:tcBorders>
              <w:bottom w:val="single" w:sz="4" w:space="0" w:color="auto"/>
            </w:tcBorders>
            <w:noWrap/>
            <w:vAlign w:val="center"/>
            <w:hideMark/>
          </w:tcPr>
          <w:p w14:paraId="3ADB1EBC" w14:textId="77777777" w:rsidR="00DE4516" w:rsidRPr="00A46ADC" w:rsidRDefault="00DE4516" w:rsidP="00DE4516">
            <w:pPr>
              <w:pStyle w:val="TableBody"/>
              <w:autoSpaceDE w:val="0"/>
              <w:autoSpaceDN w:val="0"/>
              <w:adjustRightInd w:val="0"/>
              <w:jc w:val="right"/>
              <w:rPr>
                <w:rFonts w:cs="Calibri"/>
                <w:color w:val="000000"/>
                <w:szCs w:val="16"/>
              </w:rPr>
            </w:pPr>
            <w:r w:rsidRPr="00A46ADC">
              <w:t>3,254</w:t>
            </w:r>
          </w:p>
        </w:tc>
        <w:tc>
          <w:tcPr>
            <w:tcW w:w="516" w:type="pct"/>
            <w:tcBorders>
              <w:bottom w:val="single" w:sz="4" w:space="0" w:color="auto"/>
            </w:tcBorders>
            <w:noWrap/>
            <w:vAlign w:val="center"/>
            <w:hideMark/>
          </w:tcPr>
          <w:p w14:paraId="0336D357" w14:textId="77777777" w:rsidR="00DE4516" w:rsidRPr="00A46ADC" w:rsidRDefault="00DE4516" w:rsidP="00DE4516">
            <w:pPr>
              <w:pStyle w:val="TableBody"/>
              <w:autoSpaceDE w:val="0"/>
              <w:autoSpaceDN w:val="0"/>
              <w:adjustRightInd w:val="0"/>
              <w:jc w:val="right"/>
              <w:rPr>
                <w:rFonts w:cs="Calibri"/>
                <w:color w:val="000000"/>
                <w:szCs w:val="16"/>
              </w:rPr>
            </w:pPr>
            <w:r w:rsidRPr="00A46ADC">
              <w:t>3,399</w:t>
            </w:r>
          </w:p>
        </w:tc>
        <w:tc>
          <w:tcPr>
            <w:tcW w:w="515" w:type="pct"/>
            <w:tcBorders>
              <w:bottom w:val="single" w:sz="4" w:space="0" w:color="auto"/>
            </w:tcBorders>
            <w:noWrap/>
            <w:vAlign w:val="center"/>
            <w:hideMark/>
          </w:tcPr>
          <w:p w14:paraId="69565731" w14:textId="77777777" w:rsidR="00DE4516" w:rsidRPr="00A46ADC" w:rsidRDefault="00DE4516" w:rsidP="00DE4516">
            <w:pPr>
              <w:pStyle w:val="TableBody"/>
              <w:autoSpaceDE w:val="0"/>
              <w:autoSpaceDN w:val="0"/>
              <w:adjustRightInd w:val="0"/>
              <w:jc w:val="right"/>
              <w:rPr>
                <w:rFonts w:cs="Calibri"/>
                <w:color w:val="000000"/>
                <w:szCs w:val="16"/>
              </w:rPr>
            </w:pPr>
            <w:r w:rsidRPr="00A46ADC">
              <w:t>3,787</w:t>
            </w:r>
          </w:p>
        </w:tc>
        <w:tc>
          <w:tcPr>
            <w:tcW w:w="516" w:type="pct"/>
            <w:tcBorders>
              <w:bottom w:val="single" w:sz="4" w:space="0" w:color="auto"/>
            </w:tcBorders>
            <w:noWrap/>
            <w:vAlign w:val="center"/>
          </w:tcPr>
          <w:p w14:paraId="305BE18C" w14:textId="77777777" w:rsidR="00DE4516" w:rsidRPr="00A46ADC" w:rsidRDefault="00DE4516" w:rsidP="00DE4516">
            <w:pPr>
              <w:pStyle w:val="TableBody"/>
              <w:autoSpaceDE w:val="0"/>
              <w:autoSpaceDN w:val="0"/>
              <w:adjustRightInd w:val="0"/>
              <w:jc w:val="right"/>
              <w:rPr>
                <w:rFonts w:cs="Calibri"/>
                <w:color w:val="000000"/>
                <w:szCs w:val="16"/>
              </w:rPr>
            </w:pPr>
            <w:r w:rsidRPr="00A46ADC">
              <w:t>3,232</w:t>
            </w:r>
          </w:p>
        </w:tc>
      </w:tr>
    </w:tbl>
    <w:p w14:paraId="31A0BFCF" w14:textId="2B1C7107" w:rsidR="00DE4516" w:rsidRDefault="00DE4516">
      <w:pPr>
        <w:pStyle w:val="TableNote"/>
        <w:autoSpaceDE w:val="0"/>
        <w:autoSpaceDN w:val="0"/>
        <w:adjustRightInd w:val="0"/>
        <w:contextualSpacing w:val="0"/>
      </w:pPr>
      <w:r>
        <w:t>..</w:t>
      </w:r>
      <w:r>
        <w:tab/>
        <w:t>Not available.</w:t>
      </w:r>
    </w:p>
    <w:p w14:paraId="7EEB42C9" w14:textId="77777777" w:rsidR="00DE4516" w:rsidRDefault="00DE4516">
      <w:pPr>
        <w:pStyle w:val="TableSource"/>
        <w:autoSpaceDE w:val="0"/>
        <w:autoSpaceDN w:val="0"/>
        <w:adjustRightInd w:val="0"/>
        <w:rPr>
          <w:szCs w:val="24"/>
        </w:rPr>
      </w:pPr>
      <w:r>
        <w:rPr>
          <w:szCs w:val="24"/>
        </w:rPr>
        <w:t>Source:</w:t>
      </w:r>
      <w:r>
        <w:rPr>
          <w:szCs w:val="24"/>
        </w:rPr>
        <w:tab/>
        <w:t>National Centre for Statistics and Information.</w:t>
      </w:r>
    </w:p>
    <w:p w14:paraId="226E0A03" w14:textId="77777777" w:rsidR="00DE4516" w:rsidRDefault="00DE4516">
      <w:pPr>
        <w:pStyle w:val="Heading30"/>
        <w:autoSpaceDE w:val="0"/>
        <w:autoSpaceDN w:val="0"/>
        <w:adjustRightInd w:val="0"/>
        <w:rPr>
          <w:szCs w:val="24"/>
        </w:rPr>
      </w:pPr>
      <w:r>
        <w:rPr>
          <w:szCs w:val="24"/>
        </w:rPr>
        <w:t>Trends and patterns in FDI</w:t>
      </w:r>
    </w:p>
    <w:p w14:paraId="7282EBA1" w14:textId="77777777" w:rsidR="00DE4516" w:rsidRDefault="00DE4516">
      <w:pPr>
        <w:pStyle w:val="BodyText0"/>
        <w:autoSpaceDE w:val="0"/>
        <w:autoSpaceDN w:val="0"/>
        <w:adjustRightInd w:val="0"/>
        <w:rPr>
          <w:szCs w:val="24"/>
        </w:rPr>
      </w:pPr>
      <w:r>
        <w:rPr>
          <w:szCs w:val="24"/>
        </w:rPr>
        <w:t xml:space="preserve">During the review period, FDI stock in Oman nearly doubled, from USD 19.7 million in 2014 to USD 37.9 million in 2019. In terms of capital sources, the United Kingdom was the largest investor, </w:t>
      </w:r>
      <w:r>
        <w:rPr>
          <w:szCs w:val="24"/>
        </w:rPr>
        <w:lastRenderedPageBreak/>
        <w:t>accounting for 52% of FDI stock, followed by the United States (12%), the United Arab Emirates (8%), and the State of Kuwait (6%) (</w:t>
      </w:r>
      <w:r>
        <w:rPr>
          <w:rStyle w:val="citetbl"/>
          <w:szCs w:val="24"/>
        </w:rPr>
        <w:t>Table 1.6</w:t>
      </w:r>
      <w:r>
        <w:rPr>
          <w:szCs w:val="24"/>
        </w:rPr>
        <w:t>).</w:t>
      </w:r>
    </w:p>
    <w:p w14:paraId="239677D3" w14:textId="77777777" w:rsidR="00DE4516" w:rsidRDefault="00DE4516">
      <w:pPr>
        <w:pStyle w:val="TableTitle"/>
        <w:autoSpaceDE w:val="0"/>
        <w:autoSpaceDN w:val="0"/>
        <w:adjustRightInd w:val="0"/>
      </w:pPr>
      <w:r>
        <w:t>Table 1.6 FDI stock, 2014-19</w:t>
      </w:r>
    </w:p>
    <w:p w14:paraId="5E7FA8B3" w14:textId="77777777" w:rsidR="00DE4516" w:rsidRDefault="00DE4516">
      <w:pPr>
        <w:pStyle w:val="TableTitleCont"/>
        <w:autoSpaceDE w:val="0"/>
        <w:autoSpaceDN w:val="0"/>
        <w:adjustRightInd w:val="0"/>
        <w:rPr>
          <w:b/>
          <w:color w:val="006283"/>
        </w:rPr>
      </w:pPr>
      <w:r>
        <w:rPr>
          <w:b/>
          <w:color w:val="006283"/>
        </w:rPr>
        <w:t>(USD million)</w:t>
      </w:r>
    </w:p>
    <w:tbl>
      <w:tblPr>
        <w:tblStyle w:val="WTOTable1"/>
        <w:tblW w:w="5000" w:type="pct"/>
        <w:tblLook w:val="05E0" w:firstRow="1" w:lastRow="1" w:firstColumn="1" w:lastColumn="1" w:noHBand="0" w:noVBand="1"/>
      </w:tblPr>
      <w:tblGrid>
        <w:gridCol w:w="4442"/>
        <w:gridCol w:w="763"/>
        <w:gridCol w:w="763"/>
        <w:gridCol w:w="763"/>
        <w:gridCol w:w="763"/>
        <w:gridCol w:w="763"/>
        <w:gridCol w:w="759"/>
      </w:tblGrid>
      <w:tr w:rsidR="00DE4516" w:rsidRPr="007F015E" w14:paraId="663FEC4F" w14:textId="77777777" w:rsidTr="002F793E">
        <w:trPr>
          <w:cnfStyle w:val="100000000000" w:firstRow="1" w:lastRow="0" w:firstColumn="0" w:lastColumn="0" w:oddVBand="0" w:evenVBand="0" w:oddHBand="0" w:evenHBand="0" w:firstRowFirstColumn="0" w:firstRowLastColumn="0" w:lastRowFirstColumn="0" w:lastRowLastColumn="0"/>
          <w:cantSplit/>
        </w:trPr>
        <w:tc>
          <w:tcPr>
            <w:tcW w:w="2464" w:type="pct"/>
            <w:tcBorders>
              <w:top w:val="single" w:sz="4" w:space="0" w:color="auto"/>
            </w:tcBorders>
            <w:noWrap/>
            <w:vAlign w:val="center"/>
            <w:hideMark/>
          </w:tcPr>
          <w:p w14:paraId="2902F08D" w14:textId="77777777" w:rsidR="00DE4516" w:rsidRPr="007F015E" w:rsidRDefault="00DE4516" w:rsidP="00DE4516">
            <w:pPr>
              <w:pStyle w:val="TableSubhead"/>
              <w:autoSpaceDE w:val="0"/>
              <w:autoSpaceDN w:val="0"/>
              <w:adjustRightInd w:val="0"/>
              <w:rPr>
                <w:b/>
              </w:rPr>
            </w:pPr>
          </w:p>
        </w:tc>
        <w:tc>
          <w:tcPr>
            <w:tcW w:w="423" w:type="pct"/>
            <w:tcBorders>
              <w:top w:val="single" w:sz="4" w:space="0" w:color="auto"/>
            </w:tcBorders>
            <w:noWrap/>
            <w:vAlign w:val="center"/>
            <w:hideMark/>
          </w:tcPr>
          <w:p w14:paraId="70D30FDC" w14:textId="77777777" w:rsidR="00DE4516" w:rsidRPr="007F015E" w:rsidRDefault="00DE4516" w:rsidP="00DE4516">
            <w:pPr>
              <w:pStyle w:val="TableSubhead"/>
              <w:autoSpaceDE w:val="0"/>
              <w:autoSpaceDN w:val="0"/>
              <w:adjustRightInd w:val="0"/>
              <w:jc w:val="right"/>
              <w:rPr>
                <w:rFonts w:cs="Calibri"/>
                <w:b/>
                <w:szCs w:val="16"/>
              </w:rPr>
            </w:pPr>
            <w:r w:rsidRPr="007F015E">
              <w:rPr>
                <w:b/>
                <w:szCs w:val="24"/>
              </w:rPr>
              <w:t>2014</w:t>
            </w:r>
          </w:p>
        </w:tc>
        <w:tc>
          <w:tcPr>
            <w:tcW w:w="423" w:type="pct"/>
            <w:tcBorders>
              <w:top w:val="single" w:sz="4" w:space="0" w:color="auto"/>
            </w:tcBorders>
            <w:noWrap/>
            <w:vAlign w:val="center"/>
            <w:hideMark/>
          </w:tcPr>
          <w:p w14:paraId="6C14656D" w14:textId="77777777" w:rsidR="00DE4516" w:rsidRPr="007F015E" w:rsidRDefault="00DE4516" w:rsidP="00DE4516">
            <w:pPr>
              <w:pStyle w:val="TableSubhead"/>
              <w:autoSpaceDE w:val="0"/>
              <w:autoSpaceDN w:val="0"/>
              <w:adjustRightInd w:val="0"/>
              <w:jc w:val="right"/>
              <w:rPr>
                <w:rFonts w:cs="Calibri"/>
                <w:b/>
                <w:szCs w:val="16"/>
              </w:rPr>
            </w:pPr>
            <w:r w:rsidRPr="007F015E">
              <w:rPr>
                <w:b/>
                <w:szCs w:val="24"/>
              </w:rPr>
              <w:t>2015</w:t>
            </w:r>
          </w:p>
        </w:tc>
        <w:tc>
          <w:tcPr>
            <w:tcW w:w="423" w:type="pct"/>
            <w:tcBorders>
              <w:top w:val="single" w:sz="4" w:space="0" w:color="auto"/>
            </w:tcBorders>
            <w:noWrap/>
            <w:vAlign w:val="center"/>
            <w:hideMark/>
          </w:tcPr>
          <w:p w14:paraId="65840633" w14:textId="77777777" w:rsidR="00DE4516" w:rsidRPr="007F015E" w:rsidRDefault="00DE4516" w:rsidP="00DE4516">
            <w:pPr>
              <w:pStyle w:val="TableSubhead"/>
              <w:autoSpaceDE w:val="0"/>
              <w:autoSpaceDN w:val="0"/>
              <w:adjustRightInd w:val="0"/>
              <w:jc w:val="right"/>
              <w:rPr>
                <w:rFonts w:cs="Calibri"/>
                <w:b/>
                <w:szCs w:val="16"/>
              </w:rPr>
            </w:pPr>
            <w:r w:rsidRPr="007F015E">
              <w:rPr>
                <w:b/>
                <w:szCs w:val="24"/>
              </w:rPr>
              <w:t>2016</w:t>
            </w:r>
          </w:p>
        </w:tc>
        <w:tc>
          <w:tcPr>
            <w:tcW w:w="423" w:type="pct"/>
            <w:tcBorders>
              <w:top w:val="single" w:sz="4" w:space="0" w:color="auto"/>
            </w:tcBorders>
            <w:noWrap/>
            <w:vAlign w:val="center"/>
            <w:hideMark/>
          </w:tcPr>
          <w:p w14:paraId="14EEB942" w14:textId="77777777" w:rsidR="00DE4516" w:rsidRPr="007F015E" w:rsidRDefault="00DE4516" w:rsidP="00DE4516">
            <w:pPr>
              <w:pStyle w:val="TableSubhead"/>
              <w:autoSpaceDE w:val="0"/>
              <w:autoSpaceDN w:val="0"/>
              <w:adjustRightInd w:val="0"/>
              <w:jc w:val="right"/>
              <w:rPr>
                <w:rFonts w:cs="Calibri"/>
                <w:b/>
                <w:szCs w:val="16"/>
              </w:rPr>
            </w:pPr>
            <w:r w:rsidRPr="007F015E">
              <w:rPr>
                <w:b/>
                <w:szCs w:val="24"/>
              </w:rPr>
              <w:t>2017</w:t>
            </w:r>
          </w:p>
        </w:tc>
        <w:tc>
          <w:tcPr>
            <w:tcW w:w="423" w:type="pct"/>
            <w:tcBorders>
              <w:top w:val="single" w:sz="4" w:space="0" w:color="auto"/>
            </w:tcBorders>
            <w:noWrap/>
            <w:vAlign w:val="center"/>
            <w:hideMark/>
          </w:tcPr>
          <w:p w14:paraId="2545CD94" w14:textId="77777777" w:rsidR="00DE4516" w:rsidRPr="007F015E" w:rsidRDefault="00DE4516" w:rsidP="00DE4516">
            <w:pPr>
              <w:pStyle w:val="TableSubhead"/>
              <w:autoSpaceDE w:val="0"/>
              <w:autoSpaceDN w:val="0"/>
              <w:adjustRightInd w:val="0"/>
              <w:jc w:val="right"/>
              <w:rPr>
                <w:rFonts w:cs="Calibri"/>
                <w:b/>
                <w:szCs w:val="16"/>
              </w:rPr>
            </w:pPr>
            <w:r w:rsidRPr="007F015E">
              <w:rPr>
                <w:b/>
                <w:szCs w:val="24"/>
              </w:rPr>
              <w:t>2018</w:t>
            </w:r>
          </w:p>
        </w:tc>
        <w:tc>
          <w:tcPr>
            <w:tcW w:w="422" w:type="pct"/>
            <w:tcBorders>
              <w:top w:val="single" w:sz="4" w:space="0" w:color="auto"/>
            </w:tcBorders>
            <w:noWrap/>
            <w:vAlign w:val="center"/>
            <w:hideMark/>
          </w:tcPr>
          <w:p w14:paraId="01EC6DE0" w14:textId="77777777" w:rsidR="00DE4516" w:rsidRPr="007F015E" w:rsidRDefault="00DE4516" w:rsidP="00DE4516">
            <w:pPr>
              <w:pStyle w:val="TableSubhead"/>
              <w:autoSpaceDE w:val="0"/>
              <w:autoSpaceDN w:val="0"/>
              <w:adjustRightInd w:val="0"/>
              <w:jc w:val="right"/>
              <w:rPr>
                <w:rFonts w:cs="Calibri"/>
                <w:b/>
                <w:szCs w:val="16"/>
              </w:rPr>
            </w:pPr>
            <w:r w:rsidRPr="007F015E">
              <w:rPr>
                <w:b/>
                <w:szCs w:val="24"/>
              </w:rPr>
              <w:t>2019</w:t>
            </w:r>
          </w:p>
        </w:tc>
      </w:tr>
      <w:tr w:rsidR="00DE4516" w:rsidRPr="00045A4A" w14:paraId="1E1AE8ED" w14:textId="77777777" w:rsidTr="002F793E">
        <w:trPr>
          <w:cantSplit/>
        </w:trPr>
        <w:tc>
          <w:tcPr>
            <w:tcW w:w="2464" w:type="pct"/>
            <w:noWrap/>
            <w:vAlign w:val="center"/>
            <w:hideMark/>
          </w:tcPr>
          <w:p w14:paraId="3D598CE9" w14:textId="77777777" w:rsidR="00DE4516" w:rsidRPr="00A46ADC" w:rsidRDefault="00DE4516" w:rsidP="00DE4516">
            <w:pPr>
              <w:pStyle w:val="TableBody"/>
              <w:autoSpaceDE w:val="0"/>
              <w:autoSpaceDN w:val="0"/>
              <w:adjustRightInd w:val="0"/>
              <w:jc w:val="both"/>
              <w:rPr>
                <w:rFonts w:cs="Calibri"/>
                <w:b/>
                <w:bCs/>
                <w:szCs w:val="16"/>
              </w:rPr>
            </w:pPr>
            <w:r w:rsidRPr="00A46ADC">
              <w:rPr>
                <w:b/>
              </w:rPr>
              <w:t>Total</w:t>
            </w:r>
          </w:p>
        </w:tc>
        <w:tc>
          <w:tcPr>
            <w:tcW w:w="423" w:type="pct"/>
            <w:noWrap/>
            <w:vAlign w:val="center"/>
            <w:hideMark/>
          </w:tcPr>
          <w:p w14:paraId="2F7F9AF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19.7</w:t>
            </w:r>
          </w:p>
        </w:tc>
        <w:tc>
          <w:tcPr>
            <w:tcW w:w="423" w:type="pct"/>
            <w:noWrap/>
            <w:vAlign w:val="center"/>
            <w:hideMark/>
          </w:tcPr>
          <w:p w14:paraId="4D67D04A"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17.9</w:t>
            </w:r>
          </w:p>
        </w:tc>
        <w:tc>
          <w:tcPr>
            <w:tcW w:w="423" w:type="pct"/>
            <w:noWrap/>
            <w:vAlign w:val="center"/>
            <w:hideMark/>
          </w:tcPr>
          <w:p w14:paraId="22AE7E54"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21.0</w:t>
            </w:r>
          </w:p>
        </w:tc>
        <w:tc>
          <w:tcPr>
            <w:tcW w:w="423" w:type="pct"/>
            <w:noWrap/>
            <w:vAlign w:val="center"/>
            <w:hideMark/>
          </w:tcPr>
          <w:p w14:paraId="1B310F0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27.7</w:t>
            </w:r>
          </w:p>
        </w:tc>
        <w:tc>
          <w:tcPr>
            <w:tcW w:w="423" w:type="pct"/>
            <w:noWrap/>
            <w:vAlign w:val="center"/>
            <w:hideMark/>
          </w:tcPr>
          <w:p w14:paraId="4419F6A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33.0</w:t>
            </w:r>
          </w:p>
        </w:tc>
        <w:tc>
          <w:tcPr>
            <w:tcW w:w="422" w:type="pct"/>
            <w:noWrap/>
            <w:vAlign w:val="center"/>
            <w:hideMark/>
          </w:tcPr>
          <w:p w14:paraId="331740BA"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37.9</w:t>
            </w:r>
          </w:p>
        </w:tc>
      </w:tr>
      <w:tr w:rsidR="00DE4516" w:rsidRPr="00045A4A" w14:paraId="1C1DD2F0"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2464" w:type="pct"/>
            <w:noWrap/>
            <w:vAlign w:val="center"/>
            <w:hideMark/>
          </w:tcPr>
          <w:p w14:paraId="09669F46" w14:textId="77777777" w:rsidR="00DE4516" w:rsidRPr="00A46ADC" w:rsidRDefault="00DE4516" w:rsidP="00DE4516">
            <w:pPr>
              <w:pStyle w:val="TableBody"/>
              <w:autoSpaceDE w:val="0"/>
              <w:autoSpaceDN w:val="0"/>
              <w:adjustRightInd w:val="0"/>
              <w:jc w:val="both"/>
              <w:rPr>
                <w:rFonts w:cs="Calibri"/>
                <w:szCs w:val="16"/>
              </w:rPr>
            </w:pPr>
            <w:r w:rsidRPr="00A46ADC">
              <w:t>By origin</w:t>
            </w:r>
          </w:p>
        </w:tc>
        <w:tc>
          <w:tcPr>
            <w:tcW w:w="423" w:type="pct"/>
            <w:noWrap/>
            <w:vAlign w:val="center"/>
            <w:hideMark/>
          </w:tcPr>
          <w:p w14:paraId="40F8E55F" w14:textId="77777777" w:rsidR="00DE4516" w:rsidRPr="00A46ADC" w:rsidRDefault="00DE4516" w:rsidP="00DE4516">
            <w:pPr>
              <w:pStyle w:val="TableBody"/>
              <w:autoSpaceDE w:val="0"/>
              <w:autoSpaceDN w:val="0"/>
              <w:adjustRightInd w:val="0"/>
            </w:pPr>
          </w:p>
        </w:tc>
        <w:tc>
          <w:tcPr>
            <w:tcW w:w="423" w:type="pct"/>
            <w:noWrap/>
            <w:vAlign w:val="center"/>
            <w:hideMark/>
          </w:tcPr>
          <w:p w14:paraId="2784360B" w14:textId="77777777" w:rsidR="00DE4516" w:rsidRPr="00A46ADC" w:rsidRDefault="00DE4516" w:rsidP="00DE4516">
            <w:pPr>
              <w:pStyle w:val="TableBody"/>
              <w:autoSpaceDE w:val="0"/>
              <w:autoSpaceDN w:val="0"/>
              <w:adjustRightInd w:val="0"/>
            </w:pPr>
          </w:p>
        </w:tc>
        <w:tc>
          <w:tcPr>
            <w:tcW w:w="423" w:type="pct"/>
            <w:noWrap/>
            <w:vAlign w:val="center"/>
            <w:hideMark/>
          </w:tcPr>
          <w:p w14:paraId="161A173F" w14:textId="77777777" w:rsidR="00DE4516" w:rsidRPr="00A46ADC" w:rsidRDefault="00DE4516" w:rsidP="00DE4516">
            <w:pPr>
              <w:pStyle w:val="TableBody"/>
              <w:autoSpaceDE w:val="0"/>
              <w:autoSpaceDN w:val="0"/>
              <w:adjustRightInd w:val="0"/>
            </w:pPr>
          </w:p>
        </w:tc>
        <w:tc>
          <w:tcPr>
            <w:tcW w:w="423" w:type="pct"/>
            <w:noWrap/>
            <w:vAlign w:val="center"/>
            <w:hideMark/>
          </w:tcPr>
          <w:p w14:paraId="01FA77CC" w14:textId="77777777" w:rsidR="00DE4516" w:rsidRPr="00A46ADC" w:rsidRDefault="00DE4516" w:rsidP="00DE4516">
            <w:pPr>
              <w:pStyle w:val="TableBody"/>
              <w:autoSpaceDE w:val="0"/>
              <w:autoSpaceDN w:val="0"/>
              <w:adjustRightInd w:val="0"/>
            </w:pPr>
          </w:p>
        </w:tc>
        <w:tc>
          <w:tcPr>
            <w:tcW w:w="423" w:type="pct"/>
            <w:noWrap/>
            <w:vAlign w:val="center"/>
            <w:hideMark/>
          </w:tcPr>
          <w:p w14:paraId="00D29186" w14:textId="77777777" w:rsidR="00DE4516" w:rsidRPr="00A46ADC" w:rsidRDefault="00DE4516" w:rsidP="00DE4516">
            <w:pPr>
              <w:pStyle w:val="TableBody"/>
              <w:autoSpaceDE w:val="0"/>
              <w:autoSpaceDN w:val="0"/>
              <w:adjustRightInd w:val="0"/>
            </w:pPr>
          </w:p>
        </w:tc>
        <w:tc>
          <w:tcPr>
            <w:tcW w:w="422" w:type="pct"/>
            <w:noWrap/>
            <w:vAlign w:val="center"/>
            <w:hideMark/>
          </w:tcPr>
          <w:p w14:paraId="29256EF1" w14:textId="77777777" w:rsidR="00DE4516" w:rsidRPr="00A46ADC" w:rsidRDefault="00DE4516" w:rsidP="00DE4516">
            <w:pPr>
              <w:pStyle w:val="TableBody"/>
              <w:autoSpaceDE w:val="0"/>
              <w:autoSpaceDN w:val="0"/>
              <w:adjustRightInd w:val="0"/>
            </w:pPr>
          </w:p>
        </w:tc>
      </w:tr>
      <w:tr w:rsidR="00DE4516" w:rsidRPr="00045A4A" w14:paraId="46D514DB" w14:textId="77777777" w:rsidTr="002F793E">
        <w:trPr>
          <w:cantSplit/>
        </w:trPr>
        <w:tc>
          <w:tcPr>
            <w:tcW w:w="2464" w:type="pct"/>
            <w:noWrap/>
            <w:vAlign w:val="center"/>
            <w:hideMark/>
          </w:tcPr>
          <w:p w14:paraId="3F31FB25" w14:textId="77777777" w:rsidR="00DE4516" w:rsidRPr="00A46ADC" w:rsidRDefault="00DE4516" w:rsidP="00DE4516">
            <w:pPr>
              <w:pStyle w:val="TableBody"/>
              <w:autoSpaceDE w:val="0"/>
              <w:autoSpaceDN w:val="0"/>
              <w:adjustRightInd w:val="0"/>
              <w:ind w:left="159"/>
              <w:jc w:val="both"/>
              <w:rPr>
                <w:rFonts w:cs="Calibri"/>
                <w:szCs w:val="16"/>
              </w:rPr>
            </w:pPr>
            <w:r w:rsidRPr="00A46ADC">
              <w:t>United Arab Emirates</w:t>
            </w:r>
          </w:p>
        </w:tc>
        <w:tc>
          <w:tcPr>
            <w:tcW w:w="423" w:type="pct"/>
            <w:noWrap/>
            <w:vAlign w:val="center"/>
            <w:hideMark/>
          </w:tcPr>
          <w:p w14:paraId="7B7C943D" w14:textId="77777777" w:rsidR="00DE4516" w:rsidRPr="00A46ADC" w:rsidRDefault="00DE4516" w:rsidP="00DE4516">
            <w:pPr>
              <w:pStyle w:val="TableBody"/>
              <w:autoSpaceDE w:val="0"/>
              <w:autoSpaceDN w:val="0"/>
              <w:adjustRightInd w:val="0"/>
              <w:jc w:val="right"/>
              <w:rPr>
                <w:rFonts w:cs="Calibri"/>
                <w:color w:val="000000"/>
                <w:szCs w:val="16"/>
              </w:rPr>
            </w:pPr>
            <w:r w:rsidRPr="00A46ADC">
              <w:t>2.2</w:t>
            </w:r>
          </w:p>
        </w:tc>
        <w:tc>
          <w:tcPr>
            <w:tcW w:w="423" w:type="pct"/>
            <w:noWrap/>
            <w:vAlign w:val="center"/>
            <w:hideMark/>
          </w:tcPr>
          <w:p w14:paraId="754FEFED" w14:textId="77777777" w:rsidR="00DE4516" w:rsidRPr="00A46ADC" w:rsidRDefault="00DE4516" w:rsidP="00DE4516">
            <w:pPr>
              <w:pStyle w:val="TableBody"/>
              <w:autoSpaceDE w:val="0"/>
              <w:autoSpaceDN w:val="0"/>
              <w:adjustRightInd w:val="0"/>
              <w:jc w:val="right"/>
              <w:rPr>
                <w:rFonts w:cs="Calibri"/>
                <w:color w:val="000000"/>
                <w:szCs w:val="16"/>
              </w:rPr>
            </w:pPr>
            <w:r w:rsidRPr="00A46ADC">
              <w:t>2.2</w:t>
            </w:r>
          </w:p>
        </w:tc>
        <w:tc>
          <w:tcPr>
            <w:tcW w:w="423" w:type="pct"/>
            <w:noWrap/>
            <w:vAlign w:val="center"/>
            <w:hideMark/>
          </w:tcPr>
          <w:p w14:paraId="16B45C66" w14:textId="77777777" w:rsidR="00DE4516" w:rsidRPr="00A46ADC" w:rsidRDefault="00DE4516" w:rsidP="00DE4516">
            <w:pPr>
              <w:pStyle w:val="TableBody"/>
              <w:autoSpaceDE w:val="0"/>
              <w:autoSpaceDN w:val="0"/>
              <w:adjustRightInd w:val="0"/>
              <w:jc w:val="right"/>
              <w:rPr>
                <w:rFonts w:cs="Calibri"/>
                <w:color w:val="000000"/>
                <w:szCs w:val="16"/>
              </w:rPr>
            </w:pPr>
            <w:r w:rsidRPr="00A46ADC">
              <w:t>2.6</w:t>
            </w:r>
          </w:p>
        </w:tc>
        <w:tc>
          <w:tcPr>
            <w:tcW w:w="423" w:type="pct"/>
            <w:noWrap/>
            <w:vAlign w:val="center"/>
            <w:hideMark/>
          </w:tcPr>
          <w:p w14:paraId="20496DED" w14:textId="77777777" w:rsidR="00DE4516" w:rsidRPr="00A46ADC" w:rsidRDefault="00DE4516" w:rsidP="00DE4516">
            <w:pPr>
              <w:pStyle w:val="TableBody"/>
              <w:autoSpaceDE w:val="0"/>
              <w:autoSpaceDN w:val="0"/>
              <w:adjustRightInd w:val="0"/>
              <w:jc w:val="right"/>
              <w:rPr>
                <w:rFonts w:cs="Calibri"/>
                <w:color w:val="000000"/>
                <w:szCs w:val="16"/>
              </w:rPr>
            </w:pPr>
            <w:r w:rsidRPr="00A46ADC">
              <w:t>2.7</w:t>
            </w:r>
          </w:p>
        </w:tc>
        <w:tc>
          <w:tcPr>
            <w:tcW w:w="423" w:type="pct"/>
            <w:noWrap/>
            <w:vAlign w:val="center"/>
            <w:hideMark/>
          </w:tcPr>
          <w:p w14:paraId="3C0AF1C4" w14:textId="77777777" w:rsidR="00DE4516" w:rsidRPr="00A46ADC" w:rsidRDefault="00DE4516" w:rsidP="00DE4516">
            <w:pPr>
              <w:pStyle w:val="TableBody"/>
              <w:autoSpaceDE w:val="0"/>
              <w:autoSpaceDN w:val="0"/>
              <w:adjustRightInd w:val="0"/>
              <w:jc w:val="right"/>
              <w:rPr>
                <w:rFonts w:cs="Calibri"/>
                <w:color w:val="000000"/>
                <w:szCs w:val="16"/>
              </w:rPr>
            </w:pPr>
            <w:r w:rsidRPr="00A46ADC">
              <w:t>2.7</w:t>
            </w:r>
          </w:p>
        </w:tc>
        <w:tc>
          <w:tcPr>
            <w:tcW w:w="422" w:type="pct"/>
            <w:noWrap/>
            <w:vAlign w:val="center"/>
            <w:hideMark/>
          </w:tcPr>
          <w:p w14:paraId="0AE9CFC9" w14:textId="77777777" w:rsidR="00DE4516" w:rsidRPr="00A46ADC" w:rsidRDefault="00DE4516" w:rsidP="00DE4516">
            <w:pPr>
              <w:pStyle w:val="TableBody"/>
              <w:autoSpaceDE w:val="0"/>
              <w:autoSpaceDN w:val="0"/>
              <w:adjustRightInd w:val="0"/>
              <w:jc w:val="right"/>
              <w:rPr>
                <w:rFonts w:cs="Calibri"/>
                <w:color w:val="000000"/>
                <w:szCs w:val="16"/>
              </w:rPr>
            </w:pPr>
            <w:r w:rsidRPr="00A46ADC">
              <w:t>3.1</w:t>
            </w:r>
          </w:p>
        </w:tc>
      </w:tr>
      <w:tr w:rsidR="00DE4516" w:rsidRPr="00045A4A" w14:paraId="13FDEBAB"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2464" w:type="pct"/>
            <w:noWrap/>
            <w:vAlign w:val="center"/>
            <w:hideMark/>
          </w:tcPr>
          <w:p w14:paraId="778DF04B" w14:textId="77777777" w:rsidR="00DE4516" w:rsidRPr="00A46ADC" w:rsidRDefault="00DE4516" w:rsidP="00DE4516">
            <w:pPr>
              <w:pStyle w:val="TableBody"/>
              <w:autoSpaceDE w:val="0"/>
              <w:autoSpaceDN w:val="0"/>
              <w:adjustRightInd w:val="0"/>
              <w:ind w:left="159"/>
              <w:jc w:val="both"/>
              <w:rPr>
                <w:rFonts w:cs="Calibri"/>
                <w:szCs w:val="16"/>
              </w:rPr>
            </w:pPr>
            <w:r w:rsidRPr="00A46ADC">
              <w:t>Qatar</w:t>
            </w:r>
          </w:p>
        </w:tc>
        <w:tc>
          <w:tcPr>
            <w:tcW w:w="423" w:type="pct"/>
            <w:noWrap/>
            <w:vAlign w:val="center"/>
            <w:hideMark/>
          </w:tcPr>
          <w:p w14:paraId="1B486C2D"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446AC8CC"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23" w:type="pct"/>
            <w:noWrap/>
            <w:vAlign w:val="center"/>
            <w:hideMark/>
          </w:tcPr>
          <w:p w14:paraId="4FA61AC4"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23" w:type="pct"/>
            <w:noWrap/>
            <w:vAlign w:val="center"/>
            <w:hideMark/>
          </w:tcPr>
          <w:p w14:paraId="325DB72F"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23" w:type="pct"/>
            <w:noWrap/>
            <w:vAlign w:val="center"/>
            <w:hideMark/>
          </w:tcPr>
          <w:p w14:paraId="504941B7"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22" w:type="pct"/>
            <w:noWrap/>
            <w:vAlign w:val="center"/>
            <w:hideMark/>
          </w:tcPr>
          <w:p w14:paraId="256AF9CD"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r>
      <w:tr w:rsidR="00DE4516" w:rsidRPr="00045A4A" w14:paraId="73E1A256" w14:textId="77777777" w:rsidTr="002F793E">
        <w:trPr>
          <w:cantSplit/>
        </w:trPr>
        <w:tc>
          <w:tcPr>
            <w:tcW w:w="2464" w:type="pct"/>
            <w:noWrap/>
            <w:vAlign w:val="center"/>
            <w:hideMark/>
          </w:tcPr>
          <w:p w14:paraId="0F46A975" w14:textId="77777777" w:rsidR="00DE4516" w:rsidRPr="00A46ADC" w:rsidRDefault="00DE4516" w:rsidP="00DE4516">
            <w:pPr>
              <w:pStyle w:val="TableBody"/>
              <w:autoSpaceDE w:val="0"/>
              <w:autoSpaceDN w:val="0"/>
              <w:adjustRightInd w:val="0"/>
              <w:ind w:left="159"/>
              <w:jc w:val="both"/>
              <w:rPr>
                <w:rFonts w:cs="Calibri"/>
                <w:szCs w:val="16"/>
              </w:rPr>
            </w:pPr>
            <w:r w:rsidRPr="00A46ADC">
              <w:t>Kuwait, State of</w:t>
            </w:r>
          </w:p>
        </w:tc>
        <w:tc>
          <w:tcPr>
            <w:tcW w:w="423" w:type="pct"/>
            <w:noWrap/>
            <w:vAlign w:val="center"/>
            <w:hideMark/>
          </w:tcPr>
          <w:p w14:paraId="24DFB909"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23" w:type="pct"/>
            <w:noWrap/>
            <w:vAlign w:val="center"/>
            <w:hideMark/>
          </w:tcPr>
          <w:p w14:paraId="35CA4558"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23" w:type="pct"/>
            <w:noWrap/>
            <w:vAlign w:val="center"/>
            <w:hideMark/>
          </w:tcPr>
          <w:p w14:paraId="2BD307DA"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c>
          <w:tcPr>
            <w:tcW w:w="423" w:type="pct"/>
            <w:noWrap/>
            <w:vAlign w:val="center"/>
            <w:hideMark/>
          </w:tcPr>
          <w:p w14:paraId="59E10997"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c>
          <w:tcPr>
            <w:tcW w:w="423" w:type="pct"/>
            <w:noWrap/>
            <w:vAlign w:val="center"/>
            <w:hideMark/>
          </w:tcPr>
          <w:p w14:paraId="2939C611"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22" w:type="pct"/>
            <w:noWrap/>
            <w:vAlign w:val="center"/>
            <w:hideMark/>
          </w:tcPr>
          <w:p w14:paraId="28703658" w14:textId="77777777" w:rsidR="00DE4516" w:rsidRPr="00A46ADC" w:rsidRDefault="00DE4516" w:rsidP="00DE4516">
            <w:pPr>
              <w:pStyle w:val="TableBody"/>
              <w:autoSpaceDE w:val="0"/>
              <w:autoSpaceDN w:val="0"/>
              <w:adjustRightInd w:val="0"/>
              <w:jc w:val="right"/>
              <w:rPr>
                <w:rFonts w:cs="Calibri"/>
                <w:color w:val="000000"/>
                <w:szCs w:val="16"/>
              </w:rPr>
            </w:pPr>
            <w:r w:rsidRPr="00A46ADC">
              <w:t>2.2</w:t>
            </w:r>
          </w:p>
        </w:tc>
      </w:tr>
      <w:tr w:rsidR="00DE4516" w:rsidRPr="00045A4A" w14:paraId="28667EBA"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2464" w:type="pct"/>
            <w:noWrap/>
            <w:vAlign w:val="center"/>
            <w:hideMark/>
          </w:tcPr>
          <w:p w14:paraId="321DAB50" w14:textId="77777777" w:rsidR="00DE4516" w:rsidRPr="00A46ADC" w:rsidRDefault="00DE4516" w:rsidP="00DE4516">
            <w:pPr>
              <w:pStyle w:val="TableBody"/>
              <w:autoSpaceDE w:val="0"/>
              <w:autoSpaceDN w:val="0"/>
              <w:adjustRightInd w:val="0"/>
              <w:ind w:left="159"/>
              <w:jc w:val="both"/>
              <w:rPr>
                <w:rFonts w:cs="Calibri"/>
                <w:szCs w:val="16"/>
              </w:rPr>
            </w:pPr>
            <w:r w:rsidRPr="00A46ADC">
              <w:t>Bahrain, Kingdom of</w:t>
            </w:r>
          </w:p>
        </w:tc>
        <w:tc>
          <w:tcPr>
            <w:tcW w:w="423" w:type="pct"/>
            <w:noWrap/>
            <w:vAlign w:val="center"/>
            <w:hideMark/>
          </w:tcPr>
          <w:p w14:paraId="3741EF75"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778C3BB5" w14:textId="77777777" w:rsidR="00DE4516" w:rsidRPr="00A46ADC" w:rsidRDefault="00DE4516" w:rsidP="00DE4516">
            <w:pPr>
              <w:pStyle w:val="TableBody"/>
              <w:autoSpaceDE w:val="0"/>
              <w:autoSpaceDN w:val="0"/>
              <w:adjustRightInd w:val="0"/>
              <w:jc w:val="right"/>
              <w:rPr>
                <w:rFonts w:cs="Calibri"/>
                <w:color w:val="000000"/>
                <w:szCs w:val="16"/>
              </w:rPr>
            </w:pPr>
            <w:r w:rsidRPr="00A46ADC">
              <w:t>0.8</w:t>
            </w:r>
          </w:p>
        </w:tc>
        <w:tc>
          <w:tcPr>
            <w:tcW w:w="423" w:type="pct"/>
            <w:noWrap/>
            <w:vAlign w:val="center"/>
            <w:hideMark/>
          </w:tcPr>
          <w:p w14:paraId="59DB97A6"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23" w:type="pct"/>
            <w:noWrap/>
            <w:vAlign w:val="center"/>
            <w:hideMark/>
          </w:tcPr>
          <w:p w14:paraId="58558FBF"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23" w:type="pct"/>
            <w:noWrap/>
            <w:vAlign w:val="center"/>
            <w:hideMark/>
          </w:tcPr>
          <w:p w14:paraId="6578876C"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22" w:type="pct"/>
            <w:noWrap/>
            <w:vAlign w:val="center"/>
            <w:hideMark/>
          </w:tcPr>
          <w:p w14:paraId="5BF02FCC"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r>
      <w:tr w:rsidR="00DE4516" w:rsidRPr="00045A4A" w14:paraId="28CE77AB" w14:textId="77777777" w:rsidTr="002F793E">
        <w:trPr>
          <w:cantSplit/>
        </w:trPr>
        <w:tc>
          <w:tcPr>
            <w:tcW w:w="2464" w:type="pct"/>
            <w:noWrap/>
            <w:vAlign w:val="center"/>
            <w:hideMark/>
          </w:tcPr>
          <w:p w14:paraId="7F186255" w14:textId="77777777" w:rsidR="00DE4516" w:rsidRPr="00A46ADC" w:rsidRDefault="00DE4516" w:rsidP="00DE4516">
            <w:pPr>
              <w:pStyle w:val="TableBody"/>
              <w:autoSpaceDE w:val="0"/>
              <w:autoSpaceDN w:val="0"/>
              <w:adjustRightInd w:val="0"/>
              <w:ind w:left="159"/>
              <w:jc w:val="both"/>
              <w:rPr>
                <w:rFonts w:cs="Calibri"/>
                <w:szCs w:val="16"/>
              </w:rPr>
            </w:pPr>
            <w:r w:rsidRPr="00A46ADC">
              <w:t>India</w:t>
            </w:r>
          </w:p>
        </w:tc>
        <w:tc>
          <w:tcPr>
            <w:tcW w:w="423" w:type="pct"/>
            <w:noWrap/>
            <w:vAlign w:val="center"/>
            <w:hideMark/>
          </w:tcPr>
          <w:p w14:paraId="658162FE" w14:textId="77777777" w:rsidR="00DE4516" w:rsidRPr="00A46ADC" w:rsidRDefault="00DE4516" w:rsidP="00DE4516">
            <w:pPr>
              <w:pStyle w:val="TableBody"/>
              <w:autoSpaceDE w:val="0"/>
              <w:autoSpaceDN w:val="0"/>
              <w:adjustRightInd w:val="0"/>
              <w:jc w:val="right"/>
              <w:rPr>
                <w:rFonts w:cs="Calibri"/>
                <w:color w:val="000000"/>
                <w:szCs w:val="16"/>
              </w:rPr>
            </w:pPr>
            <w:r w:rsidRPr="00A46ADC">
              <w:t>0.8</w:t>
            </w:r>
          </w:p>
        </w:tc>
        <w:tc>
          <w:tcPr>
            <w:tcW w:w="423" w:type="pct"/>
            <w:noWrap/>
            <w:vAlign w:val="center"/>
            <w:hideMark/>
          </w:tcPr>
          <w:p w14:paraId="2FBF9DE4"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6518F1B8" w14:textId="77777777" w:rsidR="00DE4516" w:rsidRPr="00A46ADC" w:rsidRDefault="00DE4516" w:rsidP="00DE4516">
            <w:pPr>
              <w:pStyle w:val="TableBody"/>
              <w:autoSpaceDE w:val="0"/>
              <w:autoSpaceDN w:val="0"/>
              <w:adjustRightInd w:val="0"/>
              <w:jc w:val="right"/>
              <w:rPr>
                <w:rFonts w:cs="Calibri"/>
                <w:color w:val="000000"/>
                <w:szCs w:val="16"/>
              </w:rPr>
            </w:pPr>
            <w:r w:rsidRPr="00A46ADC">
              <w:t>0.6</w:t>
            </w:r>
          </w:p>
        </w:tc>
        <w:tc>
          <w:tcPr>
            <w:tcW w:w="423" w:type="pct"/>
            <w:noWrap/>
            <w:vAlign w:val="center"/>
            <w:hideMark/>
          </w:tcPr>
          <w:p w14:paraId="08FDFB09"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12943DEC"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2" w:type="pct"/>
            <w:noWrap/>
            <w:vAlign w:val="center"/>
            <w:hideMark/>
          </w:tcPr>
          <w:p w14:paraId="5C183C4F" w14:textId="77777777" w:rsidR="00DE4516" w:rsidRPr="00A46ADC" w:rsidRDefault="00DE4516" w:rsidP="00DE4516">
            <w:pPr>
              <w:pStyle w:val="TableBody"/>
              <w:autoSpaceDE w:val="0"/>
              <w:autoSpaceDN w:val="0"/>
              <w:adjustRightInd w:val="0"/>
              <w:jc w:val="right"/>
              <w:rPr>
                <w:rFonts w:cs="Calibri"/>
                <w:color w:val="000000"/>
                <w:szCs w:val="16"/>
              </w:rPr>
            </w:pPr>
            <w:r w:rsidRPr="00A46ADC">
              <w:t>0.8</w:t>
            </w:r>
          </w:p>
        </w:tc>
      </w:tr>
      <w:tr w:rsidR="00DE4516" w:rsidRPr="00045A4A" w14:paraId="2A0005BA"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2464" w:type="pct"/>
            <w:noWrap/>
            <w:vAlign w:val="center"/>
            <w:hideMark/>
          </w:tcPr>
          <w:p w14:paraId="13D1B437" w14:textId="77777777" w:rsidR="00DE4516" w:rsidRPr="00A46ADC" w:rsidRDefault="00DE4516" w:rsidP="00DE4516">
            <w:pPr>
              <w:pStyle w:val="TableBody"/>
              <w:autoSpaceDE w:val="0"/>
              <w:autoSpaceDN w:val="0"/>
              <w:adjustRightInd w:val="0"/>
              <w:ind w:left="159"/>
              <w:jc w:val="both"/>
              <w:rPr>
                <w:rFonts w:cs="Calibri"/>
                <w:szCs w:val="16"/>
              </w:rPr>
            </w:pPr>
            <w:r w:rsidRPr="00A46ADC">
              <w:t>China</w:t>
            </w:r>
          </w:p>
        </w:tc>
        <w:tc>
          <w:tcPr>
            <w:tcW w:w="423" w:type="pct"/>
            <w:noWrap/>
            <w:vAlign w:val="center"/>
            <w:hideMark/>
          </w:tcPr>
          <w:p w14:paraId="6EFB5454"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23" w:type="pct"/>
            <w:noWrap/>
            <w:vAlign w:val="center"/>
            <w:hideMark/>
          </w:tcPr>
          <w:p w14:paraId="3ADF1D1E"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23" w:type="pct"/>
            <w:noWrap/>
            <w:vAlign w:val="center"/>
            <w:hideMark/>
          </w:tcPr>
          <w:p w14:paraId="1C6CD274"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23" w:type="pct"/>
            <w:noWrap/>
            <w:vAlign w:val="center"/>
            <w:hideMark/>
          </w:tcPr>
          <w:p w14:paraId="15D27BB8"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23" w:type="pct"/>
            <w:noWrap/>
            <w:vAlign w:val="center"/>
            <w:hideMark/>
          </w:tcPr>
          <w:p w14:paraId="46E0F193"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22" w:type="pct"/>
            <w:noWrap/>
            <w:vAlign w:val="center"/>
            <w:hideMark/>
          </w:tcPr>
          <w:p w14:paraId="3EA062ED" w14:textId="77777777" w:rsidR="00DE4516" w:rsidRPr="00A46ADC" w:rsidRDefault="00DE4516" w:rsidP="00DE4516">
            <w:pPr>
              <w:pStyle w:val="TableBody"/>
              <w:autoSpaceDE w:val="0"/>
              <w:autoSpaceDN w:val="0"/>
              <w:adjustRightInd w:val="0"/>
              <w:jc w:val="right"/>
              <w:rPr>
                <w:rFonts w:cs="Calibri"/>
                <w:color w:val="000000"/>
                <w:szCs w:val="16"/>
              </w:rPr>
            </w:pPr>
            <w:r w:rsidRPr="00A46ADC">
              <w:t>0.2</w:t>
            </w:r>
          </w:p>
        </w:tc>
      </w:tr>
      <w:tr w:rsidR="00DE4516" w:rsidRPr="00045A4A" w14:paraId="166D5D2A" w14:textId="77777777" w:rsidTr="002F793E">
        <w:trPr>
          <w:cantSplit/>
        </w:trPr>
        <w:tc>
          <w:tcPr>
            <w:tcW w:w="2464" w:type="pct"/>
            <w:noWrap/>
            <w:vAlign w:val="center"/>
            <w:hideMark/>
          </w:tcPr>
          <w:p w14:paraId="5DE86C10" w14:textId="77777777" w:rsidR="00DE4516" w:rsidRPr="00A46ADC" w:rsidRDefault="00DE4516" w:rsidP="00DE4516">
            <w:pPr>
              <w:pStyle w:val="TableBody"/>
              <w:autoSpaceDE w:val="0"/>
              <w:autoSpaceDN w:val="0"/>
              <w:adjustRightInd w:val="0"/>
              <w:ind w:left="159"/>
              <w:jc w:val="both"/>
              <w:rPr>
                <w:rFonts w:cs="Calibri"/>
                <w:szCs w:val="16"/>
              </w:rPr>
            </w:pPr>
            <w:r w:rsidRPr="00A46ADC">
              <w:t>United Kingdom</w:t>
            </w:r>
          </w:p>
        </w:tc>
        <w:tc>
          <w:tcPr>
            <w:tcW w:w="423" w:type="pct"/>
            <w:noWrap/>
            <w:vAlign w:val="center"/>
            <w:hideMark/>
          </w:tcPr>
          <w:p w14:paraId="38868432" w14:textId="77777777" w:rsidR="00DE4516" w:rsidRPr="00A46ADC" w:rsidRDefault="00DE4516" w:rsidP="00DE4516">
            <w:pPr>
              <w:pStyle w:val="TableBody"/>
              <w:autoSpaceDE w:val="0"/>
              <w:autoSpaceDN w:val="0"/>
              <w:adjustRightInd w:val="0"/>
              <w:jc w:val="right"/>
              <w:rPr>
                <w:rFonts w:cs="Calibri"/>
                <w:color w:val="000000"/>
                <w:szCs w:val="16"/>
              </w:rPr>
            </w:pPr>
            <w:r w:rsidRPr="00A46ADC">
              <w:t>9.4</w:t>
            </w:r>
          </w:p>
        </w:tc>
        <w:tc>
          <w:tcPr>
            <w:tcW w:w="423" w:type="pct"/>
            <w:noWrap/>
            <w:vAlign w:val="center"/>
            <w:hideMark/>
          </w:tcPr>
          <w:p w14:paraId="1B8A3899" w14:textId="77777777" w:rsidR="00DE4516" w:rsidRPr="00A46ADC" w:rsidRDefault="00DE4516" w:rsidP="00DE4516">
            <w:pPr>
              <w:pStyle w:val="TableBody"/>
              <w:autoSpaceDE w:val="0"/>
              <w:autoSpaceDN w:val="0"/>
              <w:adjustRightInd w:val="0"/>
              <w:jc w:val="right"/>
              <w:rPr>
                <w:rFonts w:cs="Calibri"/>
                <w:color w:val="000000"/>
                <w:szCs w:val="16"/>
              </w:rPr>
            </w:pPr>
            <w:r w:rsidRPr="00A46ADC">
              <w:t>6.7</w:t>
            </w:r>
          </w:p>
        </w:tc>
        <w:tc>
          <w:tcPr>
            <w:tcW w:w="423" w:type="pct"/>
            <w:noWrap/>
            <w:vAlign w:val="center"/>
            <w:hideMark/>
          </w:tcPr>
          <w:p w14:paraId="20AA1588" w14:textId="77777777" w:rsidR="00DE4516" w:rsidRPr="00A46ADC" w:rsidRDefault="00DE4516" w:rsidP="00DE4516">
            <w:pPr>
              <w:pStyle w:val="TableBody"/>
              <w:autoSpaceDE w:val="0"/>
              <w:autoSpaceDN w:val="0"/>
              <w:adjustRightInd w:val="0"/>
              <w:jc w:val="right"/>
              <w:rPr>
                <w:rFonts w:cs="Calibri"/>
                <w:color w:val="000000"/>
                <w:szCs w:val="16"/>
              </w:rPr>
            </w:pPr>
            <w:r w:rsidRPr="00A46ADC">
              <w:t>9.1</w:t>
            </w:r>
          </w:p>
        </w:tc>
        <w:tc>
          <w:tcPr>
            <w:tcW w:w="423" w:type="pct"/>
            <w:noWrap/>
            <w:vAlign w:val="center"/>
            <w:hideMark/>
          </w:tcPr>
          <w:p w14:paraId="3808D4FA" w14:textId="77777777" w:rsidR="00DE4516" w:rsidRPr="00A46ADC" w:rsidRDefault="00DE4516" w:rsidP="00DE4516">
            <w:pPr>
              <w:pStyle w:val="TableBody"/>
              <w:autoSpaceDE w:val="0"/>
              <w:autoSpaceDN w:val="0"/>
              <w:adjustRightInd w:val="0"/>
              <w:jc w:val="right"/>
              <w:rPr>
                <w:rFonts w:cs="Calibri"/>
                <w:color w:val="000000"/>
                <w:szCs w:val="16"/>
              </w:rPr>
            </w:pPr>
            <w:r w:rsidRPr="00A46ADC">
              <w:t>13.6</w:t>
            </w:r>
          </w:p>
        </w:tc>
        <w:tc>
          <w:tcPr>
            <w:tcW w:w="423" w:type="pct"/>
            <w:noWrap/>
            <w:vAlign w:val="center"/>
            <w:hideMark/>
          </w:tcPr>
          <w:p w14:paraId="45DF5B1A" w14:textId="77777777" w:rsidR="00DE4516" w:rsidRPr="00A46ADC" w:rsidRDefault="00DE4516" w:rsidP="00DE4516">
            <w:pPr>
              <w:pStyle w:val="TableBody"/>
              <w:autoSpaceDE w:val="0"/>
              <w:autoSpaceDN w:val="0"/>
              <w:adjustRightInd w:val="0"/>
              <w:jc w:val="right"/>
              <w:rPr>
                <w:rFonts w:cs="Calibri"/>
                <w:color w:val="000000"/>
                <w:szCs w:val="16"/>
              </w:rPr>
            </w:pPr>
            <w:r w:rsidRPr="00A46ADC">
              <w:t>17.2</w:t>
            </w:r>
          </w:p>
        </w:tc>
        <w:tc>
          <w:tcPr>
            <w:tcW w:w="422" w:type="pct"/>
            <w:noWrap/>
            <w:vAlign w:val="center"/>
            <w:hideMark/>
          </w:tcPr>
          <w:p w14:paraId="24B6DDF2" w14:textId="77777777" w:rsidR="00DE4516" w:rsidRPr="00A46ADC" w:rsidRDefault="00DE4516" w:rsidP="00DE4516">
            <w:pPr>
              <w:pStyle w:val="TableBody"/>
              <w:autoSpaceDE w:val="0"/>
              <w:autoSpaceDN w:val="0"/>
              <w:adjustRightInd w:val="0"/>
              <w:jc w:val="right"/>
              <w:rPr>
                <w:rFonts w:cs="Calibri"/>
                <w:color w:val="000000"/>
                <w:szCs w:val="16"/>
              </w:rPr>
            </w:pPr>
            <w:r w:rsidRPr="00A46ADC">
              <w:t>19.7</w:t>
            </w:r>
          </w:p>
        </w:tc>
      </w:tr>
      <w:tr w:rsidR="00DE4516" w:rsidRPr="00045A4A" w14:paraId="5AA89A9E"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2464" w:type="pct"/>
            <w:noWrap/>
            <w:vAlign w:val="center"/>
            <w:hideMark/>
          </w:tcPr>
          <w:p w14:paraId="7C9BDC56" w14:textId="77777777" w:rsidR="00DE4516" w:rsidRPr="00A46ADC" w:rsidRDefault="00DE4516" w:rsidP="00DE4516">
            <w:pPr>
              <w:pStyle w:val="TableBody"/>
              <w:autoSpaceDE w:val="0"/>
              <w:autoSpaceDN w:val="0"/>
              <w:adjustRightInd w:val="0"/>
              <w:ind w:left="159"/>
              <w:jc w:val="both"/>
              <w:rPr>
                <w:rFonts w:cs="Calibri"/>
                <w:szCs w:val="16"/>
              </w:rPr>
            </w:pPr>
            <w:r w:rsidRPr="00A46ADC">
              <w:t>Netherlands</w:t>
            </w:r>
          </w:p>
        </w:tc>
        <w:tc>
          <w:tcPr>
            <w:tcW w:w="423" w:type="pct"/>
            <w:noWrap/>
            <w:vAlign w:val="center"/>
            <w:hideMark/>
          </w:tcPr>
          <w:p w14:paraId="0260C568" w14:textId="77777777" w:rsidR="00DE4516" w:rsidRPr="00A46ADC" w:rsidRDefault="00DE4516" w:rsidP="00DE4516">
            <w:pPr>
              <w:pStyle w:val="TableBody"/>
              <w:autoSpaceDE w:val="0"/>
              <w:autoSpaceDN w:val="0"/>
              <w:adjustRightInd w:val="0"/>
              <w:jc w:val="right"/>
              <w:rPr>
                <w:rFonts w:cs="Calibri"/>
                <w:color w:val="000000"/>
                <w:szCs w:val="16"/>
              </w:rPr>
            </w:pPr>
            <w:r w:rsidRPr="00A46ADC">
              <w:t>0.5</w:t>
            </w:r>
          </w:p>
        </w:tc>
        <w:tc>
          <w:tcPr>
            <w:tcW w:w="423" w:type="pct"/>
            <w:noWrap/>
            <w:vAlign w:val="center"/>
            <w:hideMark/>
          </w:tcPr>
          <w:p w14:paraId="5581EB7D"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743409E7" w14:textId="77777777" w:rsidR="00DE4516" w:rsidRPr="00A46ADC" w:rsidRDefault="00DE4516" w:rsidP="00DE4516">
            <w:pPr>
              <w:pStyle w:val="TableBody"/>
              <w:autoSpaceDE w:val="0"/>
              <w:autoSpaceDN w:val="0"/>
              <w:adjustRightInd w:val="0"/>
              <w:jc w:val="right"/>
              <w:rPr>
                <w:rFonts w:cs="Calibri"/>
                <w:color w:val="000000"/>
                <w:szCs w:val="16"/>
              </w:rPr>
            </w:pPr>
            <w:r w:rsidRPr="00A46ADC">
              <w:t>0.6</w:t>
            </w:r>
          </w:p>
        </w:tc>
        <w:tc>
          <w:tcPr>
            <w:tcW w:w="423" w:type="pct"/>
            <w:noWrap/>
            <w:vAlign w:val="center"/>
            <w:hideMark/>
          </w:tcPr>
          <w:p w14:paraId="0B6CDE8E" w14:textId="77777777" w:rsidR="00DE4516" w:rsidRPr="00A46ADC" w:rsidRDefault="00DE4516" w:rsidP="00DE4516">
            <w:pPr>
              <w:pStyle w:val="TableBody"/>
              <w:autoSpaceDE w:val="0"/>
              <w:autoSpaceDN w:val="0"/>
              <w:adjustRightInd w:val="0"/>
              <w:jc w:val="right"/>
              <w:rPr>
                <w:rFonts w:cs="Calibri"/>
                <w:color w:val="000000"/>
                <w:szCs w:val="16"/>
              </w:rPr>
            </w:pPr>
            <w:r w:rsidRPr="00A46ADC">
              <w:t>0.6</w:t>
            </w:r>
          </w:p>
        </w:tc>
        <w:tc>
          <w:tcPr>
            <w:tcW w:w="423" w:type="pct"/>
            <w:noWrap/>
            <w:vAlign w:val="center"/>
            <w:hideMark/>
          </w:tcPr>
          <w:p w14:paraId="6AA295F8"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2" w:type="pct"/>
            <w:noWrap/>
            <w:vAlign w:val="center"/>
            <w:hideMark/>
          </w:tcPr>
          <w:p w14:paraId="7A60479F" w14:textId="77777777" w:rsidR="00DE4516" w:rsidRPr="00A46ADC" w:rsidRDefault="00DE4516" w:rsidP="00DE4516">
            <w:pPr>
              <w:pStyle w:val="TableBody"/>
              <w:autoSpaceDE w:val="0"/>
              <w:autoSpaceDN w:val="0"/>
              <w:adjustRightInd w:val="0"/>
              <w:jc w:val="right"/>
              <w:rPr>
                <w:rFonts w:cs="Calibri"/>
                <w:color w:val="000000"/>
                <w:szCs w:val="16"/>
              </w:rPr>
            </w:pPr>
            <w:r w:rsidRPr="00A46ADC">
              <w:t>0.8</w:t>
            </w:r>
          </w:p>
        </w:tc>
      </w:tr>
      <w:tr w:rsidR="00DE4516" w:rsidRPr="00045A4A" w14:paraId="3373BEF7" w14:textId="77777777" w:rsidTr="002F793E">
        <w:trPr>
          <w:cantSplit/>
        </w:trPr>
        <w:tc>
          <w:tcPr>
            <w:tcW w:w="2464" w:type="pct"/>
            <w:noWrap/>
            <w:vAlign w:val="center"/>
            <w:hideMark/>
          </w:tcPr>
          <w:p w14:paraId="114082FB" w14:textId="77777777" w:rsidR="00DE4516" w:rsidRPr="00A46ADC" w:rsidRDefault="00DE4516" w:rsidP="00DE4516">
            <w:pPr>
              <w:pStyle w:val="TableBody"/>
              <w:autoSpaceDE w:val="0"/>
              <w:autoSpaceDN w:val="0"/>
              <w:adjustRightInd w:val="0"/>
              <w:ind w:left="159"/>
              <w:jc w:val="both"/>
              <w:rPr>
                <w:rFonts w:cs="Calibri"/>
                <w:szCs w:val="16"/>
              </w:rPr>
            </w:pPr>
            <w:r w:rsidRPr="00A46ADC">
              <w:t>Switzerland</w:t>
            </w:r>
          </w:p>
        </w:tc>
        <w:tc>
          <w:tcPr>
            <w:tcW w:w="423" w:type="pct"/>
            <w:noWrap/>
            <w:vAlign w:val="center"/>
            <w:hideMark/>
          </w:tcPr>
          <w:p w14:paraId="72ED9A04" w14:textId="77777777" w:rsidR="00DE4516" w:rsidRPr="00A46ADC" w:rsidRDefault="00DE4516" w:rsidP="00DE4516">
            <w:pPr>
              <w:pStyle w:val="TableBody"/>
              <w:autoSpaceDE w:val="0"/>
              <w:autoSpaceDN w:val="0"/>
              <w:adjustRightInd w:val="0"/>
              <w:jc w:val="right"/>
              <w:rPr>
                <w:rFonts w:cs="Calibri"/>
                <w:color w:val="000000"/>
                <w:szCs w:val="16"/>
              </w:rPr>
            </w:pPr>
            <w:r w:rsidRPr="00A46ADC">
              <w:t>0.4</w:t>
            </w:r>
          </w:p>
        </w:tc>
        <w:tc>
          <w:tcPr>
            <w:tcW w:w="423" w:type="pct"/>
            <w:noWrap/>
            <w:vAlign w:val="center"/>
            <w:hideMark/>
          </w:tcPr>
          <w:p w14:paraId="203A8C8F"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012EFC3B"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028F1258"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45BF6235" w14:textId="77777777" w:rsidR="00DE4516" w:rsidRPr="00A46ADC" w:rsidRDefault="00DE4516" w:rsidP="00DE4516">
            <w:pPr>
              <w:pStyle w:val="TableBody"/>
              <w:autoSpaceDE w:val="0"/>
              <w:autoSpaceDN w:val="0"/>
              <w:adjustRightInd w:val="0"/>
              <w:jc w:val="right"/>
              <w:rPr>
                <w:rFonts w:cs="Calibri"/>
                <w:color w:val="000000"/>
                <w:szCs w:val="16"/>
              </w:rPr>
            </w:pPr>
            <w:r w:rsidRPr="00A46ADC">
              <w:t>0.6</w:t>
            </w:r>
          </w:p>
        </w:tc>
        <w:tc>
          <w:tcPr>
            <w:tcW w:w="422" w:type="pct"/>
            <w:noWrap/>
            <w:vAlign w:val="center"/>
            <w:hideMark/>
          </w:tcPr>
          <w:p w14:paraId="5A275EFC"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r>
      <w:tr w:rsidR="00DE4516" w:rsidRPr="00045A4A" w14:paraId="5B2394CB"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2464" w:type="pct"/>
            <w:noWrap/>
            <w:vAlign w:val="center"/>
            <w:hideMark/>
          </w:tcPr>
          <w:p w14:paraId="7A71E643" w14:textId="77777777" w:rsidR="00DE4516" w:rsidRPr="00A46ADC" w:rsidRDefault="00DE4516" w:rsidP="00DE4516">
            <w:pPr>
              <w:pStyle w:val="TableBody"/>
              <w:autoSpaceDE w:val="0"/>
              <w:autoSpaceDN w:val="0"/>
              <w:adjustRightInd w:val="0"/>
              <w:ind w:left="159"/>
              <w:jc w:val="both"/>
              <w:rPr>
                <w:rFonts w:cs="Calibri"/>
                <w:szCs w:val="16"/>
              </w:rPr>
            </w:pPr>
            <w:r w:rsidRPr="00A46ADC">
              <w:t>United States</w:t>
            </w:r>
          </w:p>
        </w:tc>
        <w:tc>
          <w:tcPr>
            <w:tcW w:w="423" w:type="pct"/>
            <w:noWrap/>
            <w:vAlign w:val="center"/>
            <w:hideMark/>
          </w:tcPr>
          <w:p w14:paraId="7E9BA50D"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3417E8B9"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23" w:type="pct"/>
            <w:noWrap/>
            <w:vAlign w:val="center"/>
            <w:hideMark/>
          </w:tcPr>
          <w:p w14:paraId="1447C492" w14:textId="77777777" w:rsidR="00DE4516" w:rsidRPr="00A46ADC" w:rsidRDefault="00DE4516" w:rsidP="00DE4516">
            <w:pPr>
              <w:pStyle w:val="TableBody"/>
              <w:autoSpaceDE w:val="0"/>
              <w:autoSpaceDN w:val="0"/>
              <w:adjustRightInd w:val="0"/>
              <w:jc w:val="right"/>
              <w:rPr>
                <w:rFonts w:cs="Calibri"/>
                <w:color w:val="000000"/>
                <w:szCs w:val="16"/>
              </w:rPr>
            </w:pPr>
            <w:r w:rsidRPr="00A46ADC">
              <w:t>0.6</w:t>
            </w:r>
          </w:p>
        </w:tc>
        <w:tc>
          <w:tcPr>
            <w:tcW w:w="423" w:type="pct"/>
            <w:noWrap/>
            <w:vAlign w:val="center"/>
            <w:hideMark/>
          </w:tcPr>
          <w:p w14:paraId="204CD3D5" w14:textId="77777777" w:rsidR="00DE4516" w:rsidRPr="00A46ADC" w:rsidRDefault="00DE4516" w:rsidP="00DE4516">
            <w:pPr>
              <w:pStyle w:val="TableBody"/>
              <w:autoSpaceDE w:val="0"/>
              <w:autoSpaceDN w:val="0"/>
              <w:adjustRightInd w:val="0"/>
              <w:jc w:val="right"/>
              <w:rPr>
                <w:rFonts w:cs="Calibri"/>
                <w:color w:val="000000"/>
                <w:szCs w:val="16"/>
              </w:rPr>
            </w:pPr>
            <w:r w:rsidRPr="00A46ADC">
              <w:t>2.4</w:t>
            </w:r>
          </w:p>
        </w:tc>
        <w:tc>
          <w:tcPr>
            <w:tcW w:w="423" w:type="pct"/>
            <w:noWrap/>
            <w:vAlign w:val="center"/>
            <w:hideMark/>
          </w:tcPr>
          <w:p w14:paraId="3E674E19" w14:textId="77777777" w:rsidR="00DE4516" w:rsidRPr="00A46ADC" w:rsidRDefault="00DE4516" w:rsidP="00DE4516">
            <w:pPr>
              <w:pStyle w:val="TableBody"/>
              <w:autoSpaceDE w:val="0"/>
              <w:autoSpaceDN w:val="0"/>
              <w:adjustRightInd w:val="0"/>
              <w:jc w:val="right"/>
              <w:rPr>
                <w:rFonts w:cs="Calibri"/>
                <w:color w:val="000000"/>
                <w:szCs w:val="16"/>
              </w:rPr>
            </w:pPr>
            <w:r w:rsidRPr="00A46ADC">
              <w:t>4.0</w:t>
            </w:r>
          </w:p>
        </w:tc>
        <w:tc>
          <w:tcPr>
            <w:tcW w:w="422" w:type="pct"/>
            <w:noWrap/>
            <w:vAlign w:val="center"/>
            <w:hideMark/>
          </w:tcPr>
          <w:p w14:paraId="1C2BE602" w14:textId="77777777" w:rsidR="00DE4516" w:rsidRPr="00A46ADC" w:rsidRDefault="00DE4516" w:rsidP="00DE4516">
            <w:pPr>
              <w:pStyle w:val="TableBody"/>
              <w:autoSpaceDE w:val="0"/>
              <w:autoSpaceDN w:val="0"/>
              <w:adjustRightInd w:val="0"/>
              <w:jc w:val="right"/>
              <w:rPr>
                <w:rFonts w:cs="Calibri"/>
                <w:color w:val="000000"/>
                <w:szCs w:val="16"/>
              </w:rPr>
            </w:pPr>
            <w:r w:rsidRPr="00A46ADC">
              <w:t>4.7</w:t>
            </w:r>
          </w:p>
        </w:tc>
      </w:tr>
      <w:tr w:rsidR="00DE4516" w:rsidRPr="00045A4A" w14:paraId="23CC543F" w14:textId="77777777" w:rsidTr="002F793E">
        <w:trPr>
          <w:cantSplit/>
        </w:trPr>
        <w:tc>
          <w:tcPr>
            <w:tcW w:w="2464" w:type="pct"/>
            <w:noWrap/>
            <w:vAlign w:val="center"/>
            <w:hideMark/>
          </w:tcPr>
          <w:p w14:paraId="7F10272E" w14:textId="77777777" w:rsidR="00DE4516" w:rsidRPr="00A46ADC" w:rsidRDefault="00DE4516" w:rsidP="00DE4516">
            <w:pPr>
              <w:pStyle w:val="TableBody"/>
              <w:autoSpaceDE w:val="0"/>
              <w:autoSpaceDN w:val="0"/>
              <w:adjustRightInd w:val="0"/>
              <w:ind w:left="159"/>
              <w:jc w:val="both"/>
              <w:rPr>
                <w:rFonts w:cs="Calibri"/>
                <w:szCs w:val="16"/>
              </w:rPr>
            </w:pPr>
            <w:r w:rsidRPr="00A46ADC">
              <w:t>Other</w:t>
            </w:r>
          </w:p>
        </w:tc>
        <w:tc>
          <w:tcPr>
            <w:tcW w:w="423" w:type="pct"/>
            <w:noWrap/>
            <w:vAlign w:val="center"/>
            <w:hideMark/>
          </w:tcPr>
          <w:p w14:paraId="29BBFE15" w14:textId="77777777" w:rsidR="00DE4516" w:rsidRPr="00A46ADC" w:rsidRDefault="00DE4516" w:rsidP="00DE4516">
            <w:pPr>
              <w:pStyle w:val="TableBody"/>
              <w:autoSpaceDE w:val="0"/>
              <w:autoSpaceDN w:val="0"/>
              <w:adjustRightInd w:val="0"/>
              <w:jc w:val="right"/>
              <w:rPr>
                <w:rFonts w:cs="Calibri"/>
                <w:color w:val="000000"/>
                <w:szCs w:val="16"/>
              </w:rPr>
            </w:pPr>
            <w:r w:rsidRPr="00A46ADC">
              <w:t>3.5</w:t>
            </w:r>
          </w:p>
        </w:tc>
        <w:tc>
          <w:tcPr>
            <w:tcW w:w="423" w:type="pct"/>
            <w:noWrap/>
            <w:vAlign w:val="center"/>
            <w:hideMark/>
          </w:tcPr>
          <w:p w14:paraId="2C0F3489" w14:textId="77777777" w:rsidR="00DE4516" w:rsidRPr="00A46ADC" w:rsidRDefault="00DE4516" w:rsidP="00DE4516">
            <w:pPr>
              <w:pStyle w:val="TableBody"/>
              <w:autoSpaceDE w:val="0"/>
              <w:autoSpaceDN w:val="0"/>
              <w:adjustRightInd w:val="0"/>
              <w:jc w:val="right"/>
              <w:rPr>
                <w:rFonts w:cs="Calibri"/>
                <w:color w:val="000000"/>
                <w:szCs w:val="16"/>
              </w:rPr>
            </w:pPr>
            <w:r w:rsidRPr="00A46ADC">
              <w:t>3.5</w:t>
            </w:r>
          </w:p>
        </w:tc>
        <w:tc>
          <w:tcPr>
            <w:tcW w:w="423" w:type="pct"/>
            <w:noWrap/>
            <w:vAlign w:val="center"/>
            <w:hideMark/>
          </w:tcPr>
          <w:p w14:paraId="5E5F3B7E" w14:textId="77777777" w:rsidR="00DE4516" w:rsidRPr="00A46ADC" w:rsidRDefault="00DE4516" w:rsidP="00DE4516">
            <w:pPr>
              <w:pStyle w:val="TableBody"/>
              <w:autoSpaceDE w:val="0"/>
              <w:autoSpaceDN w:val="0"/>
              <w:adjustRightInd w:val="0"/>
              <w:jc w:val="right"/>
              <w:rPr>
                <w:rFonts w:cs="Calibri"/>
                <w:color w:val="000000"/>
                <w:szCs w:val="16"/>
              </w:rPr>
            </w:pPr>
            <w:r w:rsidRPr="00A46ADC">
              <w:t>3.7</w:t>
            </w:r>
          </w:p>
        </w:tc>
        <w:tc>
          <w:tcPr>
            <w:tcW w:w="423" w:type="pct"/>
            <w:noWrap/>
            <w:vAlign w:val="center"/>
            <w:hideMark/>
          </w:tcPr>
          <w:p w14:paraId="067A34CE" w14:textId="77777777" w:rsidR="00DE4516" w:rsidRPr="00A46ADC" w:rsidRDefault="00DE4516" w:rsidP="00DE4516">
            <w:pPr>
              <w:pStyle w:val="TableBody"/>
              <w:autoSpaceDE w:val="0"/>
              <w:autoSpaceDN w:val="0"/>
              <w:adjustRightInd w:val="0"/>
              <w:jc w:val="right"/>
              <w:rPr>
                <w:rFonts w:cs="Calibri"/>
                <w:color w:val="000000"/>
                <w:szCs w:val="16"/>
              </w:rPr>
            </w:pPr>
            <w:r w:rsidRPr="00A46ADC">
              <w:t>4.1</w:t>
            </w:r>
          </w:p>
        </w:tc>
        <w:tc>
          <w:tcPr>
            <w:tcW w:w="423" w:type="pct"/>
            <w:noWrap/>
            <w:vAlign w:val="center"/>
            <w:hideMark/>
          </w:tcPr>
          <w:p w14:paraId="1948891F" w14:textId="77777777" w:rsidR="00DE4516" w:rsidRPr="00A46ADC" w:rsidRDefault="00DE4516" w:rsidP="00DE4516">
            <w:pPr>
              <w:pStyle w:val="TableBody"/>
              <w:autoSpaceDE w:val="0"/>
              <w:autoSpaceDN w:val="0"/>
              <w:adjustRightInd w:val="0"/>
              <w:jc w:val="right"/>
              <w:rPr>
                <w:rFonts w:cs="Calibri"/>
                <w:color w:val="000000"/>
                <w:szCs w:val="16"/>
              </w:rPr>
            </w:pPr>
            <w:r w:rsidRPr="00A46ADC">
              <w:t>4.3</w:t>
            </w:r>
          </w:p>
        </w:tc>
        <w:tc>
          <w:tcPr>
            <w:tcW w:w="422" w:type="pct"/>
            <w:noWrap/>
            <w:vAlign w:val="center"/>
            <w:hideMark/>
          </w:tcPr>
          <w:p w14:paraId="0EC12C47" w14:textId="77777777" w:rsidR="00DE4516" w:rsidRPr="00A46ADC" w:rsidRDefault="00DE4516" w:rsidP="00DE4516">
            <w:pPr>
              <w:pStyle w:val="TableBody"/>
              <w:autoSpaceDE w:val="0"/>
              <w:autoSpaceDN w:val="0"/>
              <w:adjustRightInd w:val="0"/>
              <w:jc w:val="right"/>
              <w:rPr>
                <w:rFonts w:cs="Calibri"/>
                <w:color w:val="000000"/>
                <w:szCs w:val="16"/>
              </w:rPr>
            </w:pPr>
            <w:r w:rsidRPr="00A46ADC">
              <w:t>3.7</w:t>
            </w:r>
          </w:p>
        </w:tc>
      </w:tr>
      <w:tr w:rsidR="00DE4516" w:rsidRPr="00045A4A" w14:paraId="734E8C00"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2464" w:type="pct"/>
            <w:noWrap/>
            <w:vAlign w:val="center"/>
            <w:hideMark/>
          </w:tcPr>
          <w:p w14:paraId="70C8AE0E" w14:textId="77777777" w:rsidR="00DE4516" w:rsidRPr="00A46ADC" w:rsidRDefault="00DE4516" w:rsidP="00DE4516">
            <w:pPr>
              <w:pStyle w:val="TableBody"/>
              <w:autoSpaceDE w:val="0"/>
              <w:autoSpaceDN w:val="0"/>
              <w:adjustRightInd w:val="0"/>
              <w:jc w:val="both"/>
              <w:rPr>
                <w:rFonts w:cs="Calibri"/>
                <w:szCs w:val="16"/>
              </w:rPr>
            </w:pPr>
            <w:r w:rsidRPr="00A46ADC">
              <w:t>By sector</w:t>
            </w:r>
          </w:p>
        </w:tc>
        <w:tc>
          <w:tcPr>
            <w:tcW w:w="423" w:type="pct"/>
            <w:noWrap/>
            <w:vAlign w:val="center"/>
            <w:hideMark/>
          </w:tcPr>
          <w:p w14:paraId="5DCA3FA0" w14:textId="77777777" w:rsidR="00DE4516" w:rsidRPr="00A46ADC" w:rsidRDefault="00DE4516" w:rsidP="00DE4516">
            <w:pPr>
              <w:pStyle w:val="TableBody"/>
              <w:autoSpaceDE w:val="0"/>
              <w:autoSpaceDN w:val="0"/>
              <w:adjustRightInd w:val="0"/>
            </w:pPr>
          </w:p>
        </w:tc>
        <w:tc>
          <w:tcPr>
            <w:tcW w:w="423" w:type="pct"/>
            <w:noWrap/>
            <w:vAlign w:val="center"/>
            <w:hideMark/>
          </w:tcPr>
          <w:p w14:paraId="32F7D6BC" w14:textId="77777777" w:rsidR="00DE4516" w:rsidRPr="00A46ADC" w:rsidRDefault="00DE4516" w:rsidP="00DE4516">
            <w:pPr>
              <w:pStyle w:val="TableBody"/>
              <w:autoSpaceDE w:val="0"/>
              <w:autoSpaceDN w:val="0"/>
              <w:adjustRightInd w:val="0"/>
            </w:pPr>
          </w:p>
        </w:tc>
        <w:tc>
          <w:tcPr>
            <w:tcW w:w="423" w:type="pct"/>
            <w:noWrap/>
            <w:vAlign w:val="center"/>
            <w:hideMark/>
          </w:tcPr>
          <w:p w14:paraId="68F5BC91" w14:textId="77777777" w:rsidR="00DE4516" w:rsidRPr="00A46ADC" w:rsidRDefault="00DE4516" w:rsidP="00DE4516">
            <w:pPr>
              <w:pStyle w:val="TableBody"/>
              <w:autoSpaceDE w:val="0"/>
              <w:autoSpaceDN w:val="0"/>
              <w:adjustRightInd w:val="0"/>
            </w:pPr>
          </w:p>
        </w:tc>
        <w:tc>
          <w:tcPr>
            <w:tcW w:w="423" w:type="pct"/>
            <w:noWrap/>
            <w:vAlign w:val="center"/>
            <w:hideMark/>
          </w:tcPr>
          <w:p w14:paraId="364FF173" w14:textId="77777777" w:rsidR="00DE4516" w:rsidRPr="00A46ADC" w:rsidRDefault="00DE4516" w:rsidP="00DE4516">
            <w:pPr>
              <w:pStyle w:val="TableBody"/>
              <w:autoSpaceDE w:val="0"/>
              <w:autoSpaceDN w:val="0"/>
              <w:adjustRightInd w:val="0"/>
            </w:pPr>
          </w:p>
        </w:tc>
        <w:tc>
          <w:tcPr>
            <w:tcW w:w="423" w:type="pct"/>
            <w:noWrap/>
            <w:vAlign w:val="center"/>
            <w:hideMark/>
          </w:tcPr>
          <w:p w14:paraId="33EE9C66" w14:textId="77777777" w:rsidR="00DE4516" w:rsidRPr="00A46ADC" w:rsidRDefault="00DE4516" w:rsidP="00DE4516">
            <w:pPr>
              <w:pStyle w:val="TableBody"/>
              <w:autoSpaceDE w:val="0"/>
              <w:autoSpaceDN w:val="0"/>
              <w:adjustRightInd w:val="0"/>
            </w:pPr>
          </w:p>
        </w:tc>
        <w:tc>
          <w:tcPr>
            <w:tcW w:w="422" w:type="pct"/>
            <w:noWrap/>
            <w:vAlign w:val="center"/>
            <w:hideMark/>
          </w:tcPr>
          <w:p w14:paraId="63F2C3CD" w14:textId="77777777" w:rsidR="00DE4516" w:rsidRPr="00A46ADC" w:rsidRDefault="00DE4516" w:rsidP="00DE4516">
            <w:pPr>
              <w:pStyle w:val="TableBody"/>
              <w:autoSpaceDE w:val="0"/>
              <w:autoSpaceDN w:val="0"/>
              <w:adjustRightInd w:val="0"/>
            </w:pPr>
          </w:p>
        </w:tc>
      </w:tr>
      <w:tr w:rsidR="00DE4516" w:rsidRPr="00045A4A" w14:paraId="731EDC48" w14:textId="77777777" w:rsidTr="002F793E">
        <w:trPr>
          <w:cantSplit/>
        </w:trPr>
        <w:tc>
          <w:tcPr>
            <w:tcW w:w="2464" w:type="pct"/>
            <w:noWrap/>
            <w:vAlign w:val="center"/>
            <w:hideMark/>
          </w:tcPr>
          <w:p w14:paraId="275DD7DC" w14:textId="77777777" w:rsidR="00DE4516" w:rsidRPr="00A46ADC" w:rsidRDefault="00DE4516" w:rsidP="00DE4516">
            <w:pPr>
              <w:pStyle w:val="TableBody"/>
              <w:autoSpaceDE w:val="0"/>
              <w:autoSpaceDN w:val="0"/>
              <w:adjustRightInd w:val="0"/>
              <w:ind w:left="159"/>
              <w:jc w:val="both"/>
              <w:rPr>
                <w:rFonts w:cs="Calibri"/>
                <w:szCs w:val="16"/>
              </w:rPr>
            </w:pPr>
            <w:r w:rsidRPr="00A46ADC">
              <w:t>Oil and gas exploration</w:t>
            </w:r>
          </w:p>
        </w:tc>
        <w:tc>
          <w:tcPr>
            <w:tcW w:w="423" w:type="pct"/>
            <w:noWrap/>
            <w:vAlign w:val="center"/>
            <w:hideMark/>
          </w:tcPr>
          <w:p w14:paraId="562ED023" w14:textId="77777777" w:rsidR="00DE4516" w:rsidRPr="00A46ADC" w:rsidRDefault="00DE4516" w:rsidP="00DE4516">
            <w:pPr>
              <w:pStyle w:val="TableBody"/>
              <w:autoSpaceDE w:val="0"/>
              <w:autoSpaceDN w:val="0"/>
              <w:adjustRightInd w:val="0"/>
              <w:jc w:val="right"/>
              <w:rPr>
                <w:rFonts w:cs="Calibri"/>
                <w:color w:val="000000"/>
                <w:szCs w:val="16"/>
              </w:rPr>
            </w:pPr>
            <w:r w:rsidRPr="00A46ADC">
              <w:t>10.6</w:t>
            </w:r>
          </w:p>
        </w:tc>
        <w:tc>
          <w:tcPr>
            <w:tcW w:w="423" w:type="pct"/>
            <w:noWrap/>
            <w:vAlign w:val="center"/>
            <w:hideMark/>
          </w:tcPr>
          <w:p w14:paraId="5CF3B7EA" w14:textId="77777777" w:rsidR="00DE4516" w:rsidRPr="00A46ADC" w:rsidRDefault="00DE4516" w:rsidP="00DE4516">
            <w:pPr>
              <w:pStyle w:val="TableBody"/>
              <w:autoSpaceDE w:val="0"/>
              <w:autoSpaceDN w:val="0"/>
              <w:adjustRightInd w:val="0"/>
              <w:jc w:val="right"/>
              <w:rPr>
                <w:rFonts w:cs="Calibri"/>
                <w:color w:val="000000"/>
                <w:szCs w:val="16"/>
              </w:rPr>
            </w:pPr>
            <w:r w:rsidRPr="00A46ADC">
              <w:t>7.8</w:t>
            </w:r>
          </w:p>
        </w:tc>
        <w:tc>
          <w:tcPr>
            <w:tcW w:w="423" w:type="pct"/>
            <w:noWrap/>
            <w:vAlign w:val="center"/>
            <w:hideMark/>
          </w:tcPr>
          <w:p w14:paraId="0CE366C0" w14:textId="77777777" w:rsidR="00DE4516" w:rsidRPr="00A46ADC" w:rsidRDefault="00DE4516" w:rsidP="00DE4516">
            <w:pPr>
              <w:pStyle w:val="TableBody"/>
              <w:autoSpaceDE w:val="0"/>
              <w:autoSpaceDN w:val="0"/>
              <w:adjustRightInd w:val="0"/>
              <w:jc w:val="right"/>
              <w:rPr>
                <w:rFonts w:cs="Calibri"/>
                <w:color w:val="000000"/>
                <w:szCs w:val="16"/>
              </w:rPr>
            </w:pPr>
            <w:r w:rsidRPr="00A46ADC">
              <w:t>10.3</w:t>
            </w:r>
          </w:p>
        </w:tc>
        <w:tc>
          <w:tcPr>
            <w:tcW w:w="423" w:type="pct"/>
            <w:noWrap/>
            <w:vAlign w:val="center"/>
            <w:hideMark/>
          </w:tcPr>
          <w:p w14:paraId="0AE985F5" w14:textId="77777777" w:rsidR="00DE4516" w:rsidRPr="00A46ADC" w:rsidRDefault="00DE4516" w:rsidP="00DE4516">
            <w:pPr>
              <w:pStyle w:val="TableBody"/>
              <w:autoSpaceDE w:val="0"/>
              <w:autoSpaceDN w:val="0"/>
              <w:adjustRightInd w:val="0"/>
              <w:jc w:val="right"/>
              <w:rPr>
                <w:rFonts w:cs="Calibri"/>
                <w:color w:val="000000"/>
                <w:szCs w:val="16"/>
              </w:rPr>
            </w:pPr>
            <w:r w:rsidRPr="00A46ADC">
              <w:t>16.4</w:t>
            </w:r>
          </w:p>
        </w:tc>
        <w:tc>
          <w:tcPr>
            <w:tcW w:w="423" w:type="pct"/>
            <w:noWrap/>
            <w:vAlign w:val="center"/>
            <w:hideMark/>
          </w:tcPr>
          <w:p w14:paraId="3BC4AFF1" w14:textId="77777777" w:rsidR="00DE4516" w:rsidRPr="00A46ADC" w:rsidRDefault="00DE4516" w:rsidP="00DE4516">
            <w:pPr>
              <w:pStyle w:val="TableBody"/>
              <w:autoSpaceDE w:val="0"/>
              <w:autoSpaceDN w:val="0"/>
              <w:adjustRightInd w:val="0"/>
              <w:jc w:val="right"/>
              <w:rPr>
                <w:rFonts w:cs="Calibri"/>
                <w:color w:val="000000"/>
                <w:szCs w:val="16"/>
              </w:rPr>
            </w:pPr>
            <w:r w:rsidRPr="00A46ADC">
              <w:t>22.2</w:t>
            </w:r>
          </w:p>
        </w:tc>
        <w:tc>
          <w:tcPr>
            <w:tcW w:w="422" w:type="pct"/>
            <w:noWrap/>
            <w:vAlign w:val="center"/>
            <w:hideMark/>
          </w:tcPr>
          <w:p w14:paraId="039E8347" w14:textId="77777777" w:rsidR="00DE4516" w:rsidRPr="00A46ADC" w:rsidRDefault="00DE4516" w:rsidP="00DE4516">
            <w:pPr>
              <w:pStyle w:val="TableBody"/>
              <w:autoSpaceDE w:val="0"/>
              <w:autoSpaceDN w:val="0"/>
              <w:adjustRightInd w:val="0"/>
              <w:jc w:val="right"/>
              <w:rPr>
                <w:rFonts w:cs="Calibri"/>
                <w:color w:val="000000"/>
                <w:szCs w:val="16"/>
              </w:rPr>
            </w:pPr>
            <w:r w:rsidRPr="00A46ADC">
              <w:t>25.3</w:t>
            </w:r>
          </w:p>
        </w:tc>
      </w:tr>
      <w:tr w:rsidR="00DE4516" w:rsidRPr="00045A4A" w14:paraId="307A2CEF"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2464" w:type="pct"/>
            <w:noWrap/>
            <w:vAlign w:val="center"/>
            <w:hideMark/>
          </w:tcPr>
          <w:p w14:paraId="01F5BDC8" w14:textId="77777777" w:rsidR="00DE4516" w:rsidRPr="00A46ADC" w:rsidRDefault="00DE4516" w:rsidP="00DE4516">
            <w:pPr>
              <w:pStyle w:val="TableBody"/>
              <w:autoSpaceDE w:val="0"/>
              <w:autoSpaceDN w:val="0"/>
              <w:adjustRightInd w:val="0"/>
              <w:ind w:left="159"/>
              <w:jc w:val="both"/>
              <w:rPr>
                <w:rFonts w:cs="Calibri"/>
                <w:szCs w:val="16"/>
              </w:rPr>
            </w:pPr>
            <w:r w:rsidRPr="00A46ADC">
              <w:t>Financial intermediation</w:t>
            </w:r>
          </w:p>
        </w:tc>
        <w:tc>
          <w:tcPr>
            <w:tcW w:w="423" w:type="pct"/>
            <w:noWrap/>
            <w:vAlign w:val="center"/>
            <w:hideMark/>
          </w:tcPr>
          <w:p w14:paraId="4B7E4C71"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c>
          <w:tcPr>
            <w:tcW w:w="423" w:type="pct"/>
            <w:noWrap/>
            <w:vAlign w:val="center"/>
            <w:hideMark/>
          </w:tcPr>
          <w:p w14:paraId="47475A07" w14:textId="77777777" w:rsidR="00DE4516" w:rsidRPr="00A46ADC" w:rsidRDefault="00DE4516" w:rsidP="00DE4516">
            <w:pPr>
              <w:pStyle w:val="TableBody"/>
              <w:autoSpaceDE w:val="0"/>
              <w:autoSpaceDN w:val="0"/>
              <w:adjustRightInd w:val="0"/>
              <w:jc w:val="right"/>
              <w:rPr>
                <w:rFonts w:cs="Calibri"/>
                <w:color w:val="000000"/>
                <w:szCs w:val="16"/>
              </w:rPr>
            </w:pPr>
            <w:r w:rsidRPr="00A46ADC">
              <w:t>3.6</w:t>
            </w:r>
          </w:p>
        </w:tc>
        <w:tc>
          <w:tcPr>
            <w:tcW w:w="423" w:type="pct"/>
            <w:noWrap/>
            <w:vAlign w:val="center"/>
            <w:hideMark/>
          </w:tcPr>
          <w:p w14:paraId="17559A42" w14:textId="77777777" w:rsidR="00DE4516" w:rsidRPr="00A46ADC" w:rsidRDefault="00DE4516" w:rsidP="00DE4516">
            <w:pPr>
              <w:pStyle w:val="TableBody"/>
              <w:autoSpaceDE w:val="0"/>
              <w:autoSpaceDN w:val="0"/>
              <w:adjustRightInd w:val="0"/>
              <w:jc w:val="right"/>
              <w:rPr>
                <w:rFonts w:cs="Calibri"/>
                <w:color w:val="000000"/>
                <w:szCs w:val="16"/>
              </w:rPr>
            </w:pPr>
            <w:r w:rsidRPr="00A46ADC">
              <w:t>3.7</w:t>
            </w:r>
          </w:p>
        </w:tc>
        <w:tc>
          <w:tcPr>
            <w:tcW w:w="423" w:type="pct"/>
            <w:noWrap/>
            <w:vAlign w:val="center"/>
            <w:hideMark/>
          </w:tcPr>
          <w:p w14:paraId="4A0B960A" w14:textId="77777777" w:rsidR="00DE4516" w:rsidRPr="00A46ADC" w:rsidRDefault="00DE4516" w:rsidP="00DE4516">
            <w:pPr>
              <w:pStyle w:val="TableBody"/>
              <w:autoSpaceDE w:val="0"/>
              <w:autoSpaceDN w:val="0"/>
              <w:adjustRightInd w:val="0"/>
              <w:jc w:val="right"/>
              <w:rPr>
                <w:rFonts w:cs="Calibri"/>
                <w:color w:val="000000"/>
                <w:szCs w:val="16"/>
              </w:rPr>
            </w:pPr>
            <w:r w:rsidRPr="00A46ADC">
              <w:t>3.8</w:t>
            </w:r>
          </w:p>
        </w:tc>
        <w:tc>
          <w:tcPr>
            <w:tcW w:w="423" w:type="pct"/>
            <w:noWrap/>
            <w:vAlign w:val="center"/>
            <w:hideMark/>
          </w:tcPr>
          <w:p w14:paraId="3987E316" w14:textId="77777777" w:rsidR="00DE4516" w:rsidRPr="00A46ADC" w:rsidRDefault="00DE4516" w:rsidP="00DE4516">
            <w:pPr>
              <w:pStyle w:val="TableBody"/>
              <w:autoSpaceDE w:val="0"/>
              <w:autoSpaceDN w:val="0"/>
              <w:adjustRightInd w:val="0"/>
              <w:jc w:val="right"/>
              <w:rPr>
                <w:rFonts w:cs="Calibri"/>
                <w:color w:val="000000"/>
                <w:szCs w:val="16"/>
              </w:rPr>
            </w:pPr>
            <w:r w:rsidRPr="00A46ADC">
              <w:t>3.8</w:t>
            </w:r>
          </w:p>
        </w:tc>
        <w:tc>
          <w:tcPr>
            <w:tcW w:w="422" w:type="pct"/>
            <w:noWrap/>
            <w:vAlign w:val="center"/>
            <w:hideMark/>
          </w:tcPr>
          <w:p w14:paraId="2D1F9A96" w14:textId="77777777" w:rsidR="00DE4516" w:rsidRPr="00A46ADC" w:rsidRDefault="00DE4516" w:rsidP="00DE4516">
            <w:pPr>
              <w:pStyle w:val="TableBody"/>
              <w:autoSpaceDE w:val="0"/>
              <w:autoSpaceDN w:val="0"/>
              <w:adjustRightInd w:val="0"/>
              <w:jc w:val="right"/>
              <w:rPr>
                <w:rFonts w:cs="Calibri"/>
                <w:color w:val="000000"/>
                <w:szCs w:val="16"/>
              </w:rPr>
            </w:pPr>
            <w:r w:rsidRPr="00A46ADC">
              <w:t>3.7</w:t>
            </w:r>
          </w:p>
        </w:tc>
      </w:tr>
      <w:tr w:rsidR="00DE4516" w:rsidRPr="00045A4A" w14:paraId="11D16A6C" w14:textId="77777777" w:rsidTr="002F793E">
        <w:trPr>
          <w:cantSplit/>
        </w:trPr>
        <w:tc>
          <w:tcPr>
            <w:tcW w:w="2464" w:type="pct"/>
            <w:noWrap/>
            <w:vAlign w:val="center"/>
            <w:hideMark/>
          </w:tcPr>
          <w:p w14:paraId="5A1A8864" w14:textId="77777777" w:rsidR="00DE4516" w:rsidRPr="00A46ADC" w:rsidRDefault="00DE4516" w:rsidP="00DE4516">
            <w:pPr>
              <w:pStyle w:val="TableBody"/>
              <w:autoSpaceDE w:val="0"/>
              <w:autoSpaceDN w:val="0"/>
              <w:adjustRightInd w:val="0"/>
              <w:ind w:left="159"/>
              <w:jc w:val="both"/>
              <w:rPr>
                <w:rFonts w:cs="Calibri"/>
                <w:szCs w:val="16"/>
              </w:rPr>
            </w:pPr>
            <w:r w:rsidRPr="00A46ADC">
              <w:t>Manufacturing</w:t>
            </w:r>
          </w:p>
        </w:tc>
        <w:tc>
          <w:tcPr>
            <w:tcW w:w="423" w:type="pct"/>
            <w:noWrap/>
            <w:vAlign w:val="center"/>
            <w:hideMark/>
          </w:tcPr>
          <w:p w14:paraId="46EF4DAD" w14:textId="77777777" w:rsidR="00DE4516" w:rsidRPr="00A46ADC" w:rsidRDefault="00DE4516" w:rsidP="00DE4516">
            <w:pPr>
              <w:pStyle w:val="TableBody"/>
              <w:autoSpaceDE w:val="0"/>
              <w:autoSpaceDN w:val="0"/>
              <w:adjustRightInd w:val="0"/>
              <w:jc w:val="right"/>
              <w:rPr>
                <w:rFonts w:cs="Calibri"/>
                <w:color w:val="000000"/>
                <w:szCs w:val="16"/>
              </w:rPr>
            </w:pPr>
            <w:r w:rsidRPr="00A46ADC">
              <w:t>2.4</w:t>
            </w:r>
          </w:p>
        </w:tc>
        <w:tc>
          <w:tcPr>
            <w:tcW w:w="423" w:type="pct"/>
            <w:noWrap/>
            <w:vAlign w:val="center"/>
            <w:hideMark/>
          </w:tcPr>
          <w:p w14:paraId="6583CE85" w14:textId="77777777" w:rsidR="00DE4516" w:rsidRPr="00A46ADC" w:rsidRDefault="00DE4516" w:rsidP="00DE4516">
            <w:pPr>
              <w:pStyle w:val="TableBody"/>
              <w:autoSpaceDE w:val="0"/>
              <w:autoSpaceDN w:val="0"/>
              <w:adjustRightInd w:val="0"/>
              <w:jc w:val="right"/>
              <w:rPr>
                <w:rFonts w:cs="Calibri"/>
                <w:color w:val="000000"/>
                <w:szCs w:val="16"/>
              </w:rPr>
            </w:pPr>
            <w:r w:rsidRPr="00A46ADC">
              <w:t>2.7</w:t>
            </w:r>
          </w:p>
        </w:tc>
        <w:tc>
          <w:tcPr>
            <w:tcW w:w="423" w:type="pct"/>
            <w:noWrap/>
            <w:vAlign w:val="center"/>
            <w:hideMark/>
          </w:tcPr>
          <w:p w14:paraId="0C96BB02" w14:textId="77777777" w:rsidR="00DE4516" w:rsidRPr="00A46ADC" w:rsidRDefault="00DE4516" w:rsidP="00DE4516">
            <w:pPr>
              <w:pStyle w:val="TableBody"/>
              <w:autoSpaceDE w:val="0"/>
              <w:autoSpaceDN w:val="0"/>
              <w:adjustRightInd w:val="0"/>
              <w:jc w:val="right"/>
              <w:rPr>
                <w:rFonts w:cs="Calibri"/>
                <w:color w:val="000000"/>
                <w:szCs w:val="16"/>
              </w:rPr>
            </w:pPr>
            <w:r w:rsidRPr="00A46ADC">
              <w:t>2.7</w:t>
            </w:r>
          </w:p>
        </w:tc>
        <w:tc>
          <w:tcPr>
            <w:tcW w:w="423" w:type="pct"/>
            <w:noWrap/>
            <w:vAlign w:val="center"/>
            <w:hideMark/>
          </w:tcPr>
          <w:p w14:paraId="0D90E46B"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c>
          <w:tcPr>
            <w:tcW w:w="423" w:type="pct"/>
            <w:noWrap/>
            <w:vAlign w:val="center"/>
            <w:hideMark/>
          </w:tcPr>
          <w:p w14:paraId="0A978230" w14:textId="77777777" w:rsidR="00DE4516" w:rsidRPr="00A46ADC" w:rsidRDefault="00DE4516" w:rsidP="00DE4516">
            <w:pPr>
              <w:pStyle w:val="TableBody"/>
              <w:autoSpaceDE w:val="0"/>
              <w:autoSpaceDN w:val="0"/>
              <w:adjustRightInd w:val="0"/>
              <w:jc w:val="right"/>
              <w:rPr>
                <w:rFonts w:cs="Calibri"/>
                <w:color w:val="000000"/>
                <w:szCs w:val="16"/>
              </w:rPr>
            </w:pPr>
            <w:r w:rsidRPr="00A46ADC">
              <w:t>3.0</w:t>
            </w:r>
          </w:p>
        </w:tc>
        <w:tc>
          <w:tcPr>
            <w:tcW w:w="422" w:type="pct"/>
            <w:noWrap/>
            <w:vAlign w:val="center"/>
            <w:hideMark/>
          </w:tcPr>
          <w:p w14:paraId="716A3072" w14:textId="77777777" w:rsidR="00DE4516" w:rsidRPr="00A46ADC" w:rsidRDefault="00DE4516" w:rsidP="00DE4516">
            <w:pPr>
              <w:pStyle w:val="TableBody"/>
              <w:autoSpaceDE w:val="0"/>
              <w:autoSpaceDN w:val="0"/>
              <w:adjustRightInd w:val="0"/>
              <w:jc w:val="right"/>
              <w:rPr>
                <w:rFonts w:cs="Calibri"/>
                <w:color w:val="000000"/>
                <w:szCs w:val="16"/>
              </w:rPr>
            </w:pPr>
            <w:r w:rsidRPr="00A46ADC">
              <w:t>4.3</w:t>
            </w:r>
          </w:p>
        </w:tc>
      </w:tr>
      <w:tr w:rsidR="00DE4516" w:rsidRPr="00045A4A" w14:paraId="7C622702"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2464" w:type="pct"/>
            <w:noWrap/>
            <w:vAlign w:val="center"/>
            <w:hideMark/>
          </w:tcPr>
          <w:p w14:paraId="29EC5F04" w14:textId="77777777" w:rsidR="00DE4516" w:rsidRPr="00A46ADC" w:rsidRDefault="00DE4516" w:rsidP="00DE4516">
            <w:pPr>
              <w:pStyle w:val="TableBody"/>
              <w:autoSpaceDE w:val="0"/>
              <w:autoSpaceDN w:val="0"/>
              <w:adjustRightInd w:val="0"/>
              <w:ind w:left="159"/>
              <w:jc w:val="both"/>
              <w:rPr>
                <w:rFonts w:cs="Calibri"/>
                <w:szCs w:val="16"/>
              </w:rPr>
            </w:pPr>
            <w:r w:rsidRPr="00A46ADC">
              <w:t>Real estate – renting and business activities</w:t>
            </w:r>
          </w:p>
        </w:tc>
        <w:tc>
          <w:tcPr>
            <w:tcW w:w="423" w:type="pct"/>
            <w:noWrap/>
            <w:vAlign w:val="center"/>
            <w:hideMark/>
          </w:tcPr>
          <w:p w14:paraId="6C05F59E" w14:textId="77777777" w:rsidR="00DE4516" w:rsidRPr="00A46ADC" w:rsidRDefault="00DE4516" w:rsidP="00DE4516">
            <w:pPr>
              <w:pStyle w:val="TableBody"/>
              <w:autoSpaceDE w:val="0"/>
              <w:autoSpaceDN w:val="0"/>
              <w:adjustRightInd w:val="0"/>
              <w:jc w:val="right"/>
              <w:rPr>
                <w:rFonts w:cs="Calibri"/>
                <w:color w:val="000000"/>
                <w:szCs w:val="16"/>
              </w:rPr>
            </w:pPr>
            <w:r w:rsidRPr="00A46ADC">
              <w:t>1.3</w:t>
            </w:r>
          </w:p>
        </w:tc>
        <w:tc>
          <w:tcPr>
            <w:tcW w:w="423" w:type="pct"/>
            <w:noWrap/>
            <w:vAlign w:val="center"/>
            <w:hideMark/>
          </w:tcPr>
          <w:p w14:paraId="3BAC8E15" w14:textId="77777777" w:rsidR="00DE4516" w:rsidRPr="00A46ADC" w:rsidRDefault="00DE4516" w:rsidP="00DE4516">
            <w:pPr>
              <w:pStyle w:val="TableBody"/>
              <w:autoSpaceDE w:val="0"/>
              <w:autoSpaceDN w:val="0"/>
              <w:adjustRightInd w:val="0"/>
              <w:jc w:val="right"/>
              <w:rPr>
                <w:rFonts w:cs="Calibri"/>
                <w:color w:val="000000"/>
                <w:szCs w:val="16"/>
              </w:rPr>
            </w:pPr>
            <w:r w:rsidRPr="00A46ADC">
              <w:t>1.4</w:t>
            </w:r>
          </w:p>
        </w:tc>
        <w:tc>
          <w:tcPr>
            <w:tcW w:w="423" w:type="pct"/>
            <w:noWrap/>
            <w:vAlign w:val="center"/>
            <w:hideMark/>
          </w:tcPr>
          <w:p w14:paraId="65D393D1" w14:textId="77777777" w:rsidR="00DE4516" w:rsidRPr="00A46ADC" w:rsidRDefault="00DE4516" w:rsidP="00DE4516">
            <w:pPr>
              <w:pStyle w:val="TableBody"/>
              <w:autoSpaceDE w:val="0"/>
              <w:autoSpaceDN w:val="0"/>
              <w:adjustRightInd w:val="0"/>
              <w:jc w:val="right"/>
              <w:rPr>
                <w:rFonts w:cs="Calibri"/>
                <w:color w:val="000000"/>
                <w:szCs w:val="16"/>
              </w:rPr>
            </w:pPr>
            <w:r w:rsidRPr="00A46ADC">
              <w:t>1.6</w:t>
            </w:r>
          </w:p>
        </w:tc>
        <w:tc>
          <w:tcPr>
            <w:tcW w:w="423" w:type="pct"/>
            <w:noWrap/>
            <w:vAlign w:val="center"/>
            <w:hideMark/>
          </w:tcPr>
          <w:p w14:paraId="00DAB11D" w14:textId="77777777" w:rsidR="00DE4516" w:rsidRPr="00A46ADC" w:rsidRDefault="00DE4516" w:rsidP="00DE4516">
            <w:pPr>
              <w:pStyle w:val="TableBody"/>
              <w:autoSpaceDE w:val="0"/>
              <w:autoSpaceDN w:val="0"/>
              <w:adjustRightInd w:val="0"/>
              <w:jc w:val="right"/>
              <w:rPr>
                <w:rFonts w:cs="Calibri"/>
                <w:color w:val="000000"/>
                <w:szCs w:val="16"/>
              </w:rPr>
            </w:pPr>
            <w:r w:rsidRPr="00A46ADC">
              <w:t>1.7</w:t>
            </w:r>
          </w:p>
        </w:tc>
        <w:tc>
          <w:tcPr>
            <w:tcW w:w="423" w:type="pct"/>
            <w:noWrap/>
            <w:vAlign w:val="center"/>
            <w:hideMark/>
          </w:tcPr>
          <w:p w14:paraId="60C9667F" w14:textId="77777777" w:rsidR="00DE4516" w:rsidRPr="00A46ADC" w:rsidRDefault="00DE4516" w:rsidP="00DE4516">
            <w:pPr>
              <w:pStyle w:val="TableBody"/>
              <w:autoSpaceDE w:val="0"/>
              <w:autoSpaceDN w:val="0"/>
              <w:adjustRightInd w:val="0"/>
              <w:jc w:val="right"/>
              <w:rPr>
                <w:rFonts w:cs="Calibri"/>
                <w:color w:val="000000"/>
                <w:szCs w:val="16"/>
              </w:rPr>
            </w:pPr>
            <w:r w:rsidRPr="00A46ADC">
              <w:t>1.6</w:t>
            </w:r>
          </w:p>
        </w:tc>
        <w:tc>
          <w:tcPr>
            <w:tcW w:w="422" w:type="pct"/>
            <w:noWrap/>
            <w:vAlign w:val="center"/>
            <w:hideMark/>
          </w:tcPr>
          <w:p w14:paraId="296E027C" w14:textId="77777777" w:rsidR="00DE4516" w:rsidRPr="00A46ADC" w:rsidRDefault="00DE4516" w:rsidP="00DE4516">
            <w:pPr>
              <w:pStyle w:val="TableBody"/>
              <w:autoSpaceDE w:val="0"/>
              <w:autoSpaceDN w:val="0"/>
              <w:adjustRightInd w:val="0"/>
              <w:jc w:val="right"/>
              <w:rPr>
                <w:rFonts w:cs="Calibri"/>
                <w:color w:val="000000"/>
                <w:szCs w:val="16"/>
              </w:rPr>
            </w:pPr>
            <w:r w:rsidRPr="00A46ADC">
              <w:t>2.0</w:t>
            </w:r>
          </w:p>
        </w:tc>
      </w:tr>
      <w:tr w:rsidR="00DE4516" w:rsidRPr="00045A4A" w14:paraId="4B856257" w14:textId="77777777" w:rsidTr="002F793E">
        <w:trPr>
          <w:cantSplit/>
        </w:trPr>
        <w:tc>
          <w:tcPr>
            <w:tcW w:w="2464" w:type="pct"/>
            <w:tcBorders>
              <w:bottom w:val="single" w:sz="4" w:space="0" w:color="auto"/>
            </w:tcBorders>
            <w:noWrap/>
            <w:vAlign w:val="center"/>
            <w:hideMark/>
          </w:tcPr>
          <w:p w14:paraId="5C7F815E" w14:textId="77777777" w:rsidR="00DE4516" w:rsidRPr="00A46ADC" w:rsidRDefault="00DE4516" w:rsidP="00DE4516">
            <w:pPr>
              <w:pStyle w:val="TableBody"/>
              <w:autoSpaceDE w:val="0"/>
              <w:autoSpaceDN w:val="0"/>
              <w:adjustRightInd w:val="0"/>
              <w:ind w:left="159"/>
              <w:jc w:val="both"/>
              <w:rPr>
                <w:rFonts w:cs="Calibri"/>
                <w:szCs w:val="16"/>
              </w:rPr>
            </w:pPr>
            <w:r w:rsidRPr="00A46ADC">
              <w:t>Other</w:t>
            </w:r>
          </w:p>
        </w:tc>
        <w:tc>
          <w:tcPr>
            <w:tcW w:w="423" w:type="pct"/>
            <w:tcBorders>
              <w:bottom w:val="single" w:sz="4" w:space="0" w:color="auto"/>
            </w:tcBorders>
            <w:noWrap/>
            <w:vAlign w:val="center"/>
            <w:hideMark/>
          </w:tcPr>
          <w:p w14:paraId="2292E6EA" w14:textId="77777777" w:rsidR="00DE4516" w:rsidRPr="00A46ADC" w:rsidRDefault="00DE4516" w:rsidP="00DE4516">
            <w:pPr>
              <w:pStyle w:val="TableBody"/>
              <w:autoSpaceDE w:val="0"/>
              <w:autoSpaceDN w:val="0"/>
              <w:adjustRightInd w:val="0"/>
              <w:jc w:val="right"/>
              <w:rPr>
                <w:rFonts w:cs="Calibri"/>
                <w:color w:val="000000"/>
                <w:szCs w:val="16"/>
              </w:rPr>
            </w:pPr>
            <w:r w:rsidRPr="00A46ADC">
              <w:t>2.4</w:t>
            </w:r>
          </w:p>
        </w:tc>
        <w:tc>
          <w:tcPr>
            <w:tcW w:w="423" w:type="pct"/>
            <w:tcBorders>
              <w:bottom w:val="single" w:sz="4" w:space="0" w:color="auto"/>
            </w:tcBorders>
            <w:noWrap/>
            <w:vAlign w:val="center"/>
            <w:hideMark/>
          </w:tcPr>
          <w:p w14:paraId="78B16AD5" w14:textId="77777777" w:rsidR="00DE4516" w:rsidRPr="00A46ADC" w:rsidRDefault="00DE4516" w:rsidP="00DE4516">
            <w:pPr>
              <w:pStyle w:val="TableBody"/>
              <w:autoSpaceDE w:val="0"/>
              <w:autoSpaceDN w:val="0"/>
              <w:adjustRightInd w:val="0"/>
              <w:jc w:val="right"/>
              <w:rPr>
                <w:rFonts w:cs="Calibri"/>
                <w:color w:val="000000"/>
                <w:szCs w:val="16"/>
              </w:rPr>
            </w:pPr>
            <w:r w:rsidRPr="00A46ADC">
              <w:t>2.5</w:t>
            </w:r>
          </w:p>
        </w:tc>
        <w:tc>
          <w:tcPr>
            <w:tcW w:w="423" w:type="pct"/>
            <w:tcBorders>
              <w:bottom w:val="single" w:sz="4" w:space="0" w:color="auto"/>
            </w:tcBorders>
            <w:noWrap/>
            <w:vAlign w:val="center"/>
            <w:hideMark/>
          </w:tcPr>
          <w:p w14:paraId="495C66B0" w14:textId="77777777" w:rsidR="00DE4516" w:rsidRPr="00A46ADC" w:rsidRDefault="00DE4516" w:rsidP="00DE4516">
            <w:pPr>
              <w:pStyle w:val="TableBody"/>
              <w:autoSpaceDE w:val="0"/>
              <w:autoSpaceDN w:val="0"/>
              <w:adjustRightInd w:val="0"/>
              <w:jc w:val="right"/>
              <w:rPr>
                <w:rFonts w:cs="Calibri"/>
                <w:color w:val="000000"/>
                <w:szCs w:val="16"/>
              </w:rPr>
            </w:pPr>
            <w:r w:rsidRPr="00A46ADC">
              <w:t>2.6</w:t>
            </w:r>
          </w:p>
        </w:tc>
        <w:tc>
          <w:tcPr>
            <w:tcW w:w="423" w:type="pct"/>
            <w:tcBorders>
              <w:bottom w:val="single" w:sz="4" w:space="0" w:color="auto"/>
            </w:tcBorders>
            <w:noWrap/>
            <w:vAlign w:val="center"/>
            <w:hideMark/>
          </w:tcPr>
          <w:p w14:paraId="78DC4AC5"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c>
          <w:tcPr>
            <w:tcW w:w="423" w:type="pct"/>
            <w:tcBorders>
              <w:bottom w:val="single" w:sz="4" w:space="0" w:color="auto"/>
            </w:tcBorders>
            <w:noWrap/>
            <w:vAlign w:val="center"/>
            <w:hideMark/>
          </w:tcPr>
          <w:p w14:paraId="362D69CB" w14:textId="77777777" w:rsidR="00DE4516" w:rsidRPr="00A46ADC" w:rsidRDefault="00DE4516" w:rsidP="00DE4516">
            <w:pPr>
              <w:pStyle w:val="TableBody"/>
              <w:autoSpaceDE w:val="0"/>
              <w:autoSpaceDN w:val="0"/>
              <w:adjustRightInd w:val="0"/>
              <w:jc w:val="right"/>
              <w:rPr>
                <w:rFonts w:cs="Calibri"/>
                <w:color w:val="000000"/>
                <w:szCs w:val="16"/>
              </w:rPr>
            </w:pPr>
            <w:r w:rsidRPr="00A46ADC">
              <w:t>2.4</w:t>
            </w:r>
          </w:p>
        </w:tc>
        <w:tc>
          <w:tcPr>
            <w:tcW w:w="422" w:type="pct"/>
            <w:tcBorders>
              <w:bottom w:val="single" w:sz="4" w:space="0" w:color="auto"/>
            </w:tcBorders>
            <w:noWrap/>
            <w:vAlign w:val="center"/>
            <w:hideMark/>
          </w:tcPr>
          <w:p w14:paraId="07405EE6" w14:textId="77777777" w:rsidR="00DE4516" w:rsidRPr="00A46ADC" w:rsidRDefault="00DE4516" w:rsidP="00DE4516">
            <w:pPr>
              <w:pStyle w:val="TableBody"/>
              <w:autoSpaceDE w:val="0"/>
              <w:autoSpaceDN w:val="0"/>
              <w:adjustRightInd w:val="0"/>
              <w:jc w:val="right"/>
              <w:rPr>
                <w:rFonts w:cs="Calibri"/>
                <w:color w:val="000000"/>
                <w:szCs w:val="16"/>
              </w:rPr>
            </w:pPr>
            <w:r w:rsidRPr="00A46ADC">
              <w:t>2.6</w:t>
            </w:r>
          </w:p>
        </w:tc>
      </w:tr>
    </w:tbl>
    <w:p w14:paraId="2CD5A0E6" w14:textId="40B9306F" w:rsidR="00DE4516" w:rsidRDefault="00DE4516">
      <w:pPr>
        <w:pStyle w:val="TableNote"/>
        <w:autoSpaceDE w:val="0"/>
        <w:autoSpaceDN w:val="0"/>
        <w:adjustRightInd w:val="0"/>
        <w:contextualSpacing w:val="0"/>
      </w:pPr>
      <w:r>
        <w:t>..</w:t>
      </w:r>
      <w:r>
        <w:tab/>
        <w:t>Not available.</w:t>
      </w:r>
    </w:p>
    <w:p w14:paraId="1A8A6F99" w14:textId="77777777" w:rsidR="00DE4516" w:rsidRDefault="00DE4516">
      <w:pPr>
        <w:pStyle w:val="TableSource"/>
        <w:autoSpaceDE w:val="0"/>
        <w:autoSpaceDN w:val="0"/>
        <w:adjustRightInd w:val="0"/>
        <w:rPr>
          <w:szCs w:val="24"/>
        </w:rPr>
      </w:pPr>
      <w:r>
        <w:rPr>
          <w:szCs w:val="24"/>
        </w:rPr>
        <w:t>Source:</w:t>
      </w:r>
      <w:r>
        <w:rPr>
          <w:szCs w:val="24"/>
        </w:rPr>
        <w:tab/>
        <w:t>National Centre for Statistics and Information.</w:t>
      </w:r>
    </w:p>
    <w:p w14:paraId="4BE80477" w14:textId="77777777" w:rsidR="00DE4516" w:rsidRDefault="00DE4516">
      <w:pPr>
        <w:pStyle w:val="BodyText0"/>
        <w:autoSpaceDE w:val="0"/>
        <w:autoSpaceDN w:val="0"/>
        <w:adjustRightInd w:val="0"/>
        <w:rPr>
          <w:szCs w:val="24"/>
        </w:rPr>
      </w:pPr>
      <w:r>
        <w:rPr>
          <w:szCs w:val="24"/>
        </w:rPr>
        <w:t xml:space="preserve">The majority of FDI (approximately 67% of FDI stock) was destined for oil and gas exploration activity; this reflected the Ministry of Energy and Minerals holding </w:t>
      </w:r>
      <w:proofErr w:type="gramStart"/>
      <w:r>
        <w:rPr>
          <w:szCs w:val="24"/>
        </w:rPr>
        <w:t>a number of</w:t>
      </w:r>
      <w:proofErr w:type="gramEnd"/>
      <w:r>
        <w:rPr>
          <w:szCs w:val="24"/>
        </w:rPr>
        <w:t xml:space="preserve"> concession rounds during the review period and signing new Exploration and Production Sharing Agreements (Section 4.2.2), for instance, for the recently developed </w:t>
      </w:r>
      <w:proofErr w:type="spellStart"/>
      <w:r>
        <w:rPr>
          <w:szCs w:val="24"/>
        </w:rPr>
        <w:t>Khazzan</w:t>
      </w:r>
      <w:proofErr w:type="spellEnd"/>
      <w:r>
        <w:rPr>
          <w:szCs w:val="24"/>
        </w:rPr>
        <w:t xml:space="preserve"> natural gas field. Following oil and gas exploration, the manufacturing sector received the second largest share of FDI (about 11%). According to the authorities, the foreign capital was mainly invested in the petrochemical industry located in the Duqm Special Economic Zone.</w:t>
      </w:r>
    </w:p>
    <w:p w14:paraId="1F0038CD" w14:textId="77777777" w:rsidR="00DE4516" w:rsidRDefault="00DE4516">
      <w:pPr>
        <w:pStyle w:val="BodyText0"/>
        <w:autoSpaceDE w:val="0"/>
        <w:autoSpaceDN w:val="0"/>
        <w:adjustRightInd w:val="0"/>
        <w:rPr>
          <w:szCs w:val="24"/>
        </w:rPr>
      </w:pPr>
      <w:r>
        <w:rPr>
          <w:szCs w:val="24"/>
        </w:rPr>
        <w:t>The third destination for FDI in Oman is real estate (</w:t>
      </w:r>
      <w:r>
        <w:rPr>
          <w:rStyle w:val="citetbl"/>
          <w:szCs w:val="24"/>
        </w:rPr>
        <w:t>Table 1.6</w:t>
      </w:r>
      <w:r>
        <w:rPr>
          <w:szCs w:val="24"/>
        </w:rPr>
        <w:t>). This was attributed to the strength of the wholesale and retail trades, which accounted for 8% of non</w:t>
      </w:r>
      <w:r>
        <w:rPr>
          <w:szCs w:val="24"/>
        </w:rPr>
        <w:noBreakHyphen/>
        <w:t xml:space="preserve">oil GDP. Oman's retail sector was shaped by the construction of major shopping malls due to the high density of the urban </w:t>
      </w:r>
      <w:r>
        <w:rPr>
          <w:szCs w:val="24"/>
        </w:rPr>
        <w:lastRenderedPageBreak/>
        <w:t>population – more than 80% of the population live in urban areas, and 50% live in and around Muscat.</w:t>
      </w:r>
      <w:r w:rsidRPr="00DE4516">
        <w:rPr>
          <w:rStyle w:val="FootnoteReference"/>
        </w:rPr>
        <w:footnoteReference w:id="21"/>
      </w:r>
    </w:p>
    <w:p w14:paraId="668FD5B4" w14:textId="77777777" w:rsidR="00DE4516" w:rsidRDefault="00DE4516">
      <w:pPr>
        <w:pStyle w:val="BodyText0"/>
        <w:autoSpaceDE w:val="0"/>
        <w:autoSpaceDN w:val="0"/>
        <w:adjustRightInd w:val="0"/>
        <w:rPr>
          <w:szCs w:val="24"/>
        </w:rPr>
      </w:pPr>
      <w:r>
        <w:rPr>
          <w:szCs w:val="24"/>
        </w:rPr>
        <w:t xml:space="preserve">As part of the diversification effort, FDI is expected to play an important role in structural </w:t>
      </w:r>
      <w:proofErr w:type="gramStart"/>
      <w:r>
        <w:rPr>
          <w:szCs w:val="24"/>
        </w:rPr>
        <w:t>reform, and</w:t>
      </w:r>
      <w:proofErr w:type="gramEnd"/>
      <w:r>
        <w:rPr>
          <w:szCs w:val="24"/>
        </w:rPr>
        <w:t xml:space="preserve"> contribute to achieving the objectives of diversification and a more private-sector-driven economy. In this regard, Oman modernized its foreign investment regime in 2020, with the New Foreign Capital Investment Law entering into force, repealing the Foreign Capital Investment Law of 1994. Under the new Law, 100% foreign-owned companies are now allowed. Also, the Law abolished the minimum capital requirement and the local partner requirement for setting up a business in Oman (Section 2.4).</w:t>
      </w:r>
    </w:p>
    <w:p w14:paraId="3706544D" w14:textId="77777777" w:rsidR="00DE4516" w:rsidRDefault="00DE4516">
      <w:pPr>
        <w:keepNext/>
        <w:keepLines/>
        <w:autoSpaceDE w:val="0"/>
        <w:autoSpaceDN w:val="0"/>
        <w:adjustRightInd w:val="0"/>
        <w:outlineLvl w:val="0"/>
        <w:rPr>
          <w:rFonts w:ascii="Times New Roman" w:hAnsi="Times New Roman"/>
          <w:sz w:val="24"/>
          <w:szCs w:val="24"/>
        </w:rPr>
        <w:sectPr w:rsidR="00DE4516">
          <w:footnotePr>
            <w:numRestart w:val="eachSect"/>
          </w:footnotePr>
          <w:pgSz w:w="11906" w:h="16838" w:code="9"/>
          <w:pgMar w:top="1701" w:right="1440" w:bottom="1440" w:left="1440" w:header="720" w:footer="720" w:gutter="0"/>
          <w:cols w:space="720"/>
          <w:docGrid w:linePitch="360"/>
        </w:sectPr>
      </w:pPr>
    </w:p>
    <w:p w14:paraId="08DCD5C2" w14:textId="77777777" w:rsidR="00DE4516" w:rsidRDefault="00DE4516">
      <w:pPr>
        <w:pStyle w:val="Heading10"/>
        <w:autoSpaceDE w:val="0"/>
        <w:autoSpaceDN w:val="0"/>
        <w:adjustRightInd w:val="0"/>
        <w:rPr>
          <w:szCs w:val="24"/>
        </w:rPr>
      </w:pPr>
      <w:r>
        <w:rPr>
          <w:szCs w:val="24"/>
        </w:rPr>
        <w:lastRenderedPageBreak/>
        <w:t>TRADE AND INVESTMENT REGIMES</w:t>
      </w:r>
    </w:p>
    <w:p w14:paraId="1B012768" w14:textId="77777777" w:rsidR="00DE4516" w:rsidRDefault="00DE4516">
      <w:pPr>
        <w:pStyle w:val="Heading20"/>
        <w:autoSpaceDE w:val="0"/>
        <w:autoSpaceDN w:val="0"/>
        <w:adjustRightInd w:val="0"/>
        <w:rPr>
          <w:szCs w:val="24"/>
        </w:rPr>
      </w:pPr>
      <w:r>
        <w:rPr>
          <w:szCs w:val="24"/>
        </w:rPr>
        <w:t>General Framework</w:t>
      </w:r>
    </w:p>
    <w:p w14:paraId="16516F8A" w14:textId="77777777" w:rsidR="00DE4516" w:rsidRDefault="00DE4516">
      <w:pPr>
        <w:pStyle w:val="BodyText0"/>
        <w:autoSpaceDE w:val="0"/>
        <w:autoSpaceDN w:val="0"/>
        <w:adjustRightInd w:val="0"/>
        <w:rPr>
          <w:szCs w:val="24"/>
        </w:rPr>
      </w:pPr>
      <w:r>
        <w:rPr>
          <w:szCs w:val="24"/>
        </w:rPr>
        <w:t>A new Constitution was promulgated by Sultan Haitham bin Tariq in January 2021, replacing the Constitution of 1996.</w:t>
      </w:r>
      <w:r w:rsidRPr="00DE4516">
        <w:rPr>
          <w:rStyle w:val="FootnoteReference"/>
        </w:rPr>
        <w:footnoteReference w:id="22"/>
      </w:r>
      <w:r>
        <w:rPr>
          <w:szCs w:val="24"/>
        </w:rPr>
        <w:t xml:space="preserve"> Also referred to as the Basic Statute of the State, it decrees that the Sultan is the head of state and provides for a two-chamber Council named the Oman Council (or Council of Oman). The Oman Council is composed of the State Council (Majlis al-</w:t>
      </w:r>
      <w:proofErr w:type="spellStart"/>
      <w:r>
        <w:rPr>
          <w:szCs w:val="24"/>
        </w:rPr>
        <w:t>Dawla</w:t>
      </w:r>
      <w:proofErr w:type="spellEnd"/>
      <w:r>
        <w:rPr>
          <w:szCs w:val="24"/>
        </w:rPr>
        <w:t>) and the Consultative Council (Majlis al-Shura). Pursuant to Article 72, the Oman Council has the right to propose, approve, or amend bills, and to discuss development plans and the state budget.</w:t>
      </w:r>
    </w:p>
    <w:p w14:paraId="4D30C1CC" w14:textId="77777777" w:rsidR="00DE4516" w:rsidRDefault="00DE4516">
      <w:pPr>
        <w:pStyle w:val="BodyText0"/>
        <w:autoSpaceDE w:val="0"/>
        <w:autoSpaceDN w:val="0"/>
        <w:adjustRightInd w:val="0"/>
        <w:rPr>
          <w:szCs w:val="24"/>
        </w:rPr>
      </w:pPr>
      <w:r>
        <w:rPr>
          <w:szCs w:val="24"/>
        </w:rPr>
        <w:t>The State Council acts as the upper house; its members are appointed by the Sultan for four-year terms. The last renewal of the State Council took place in November 2019, when 85 members were appointed.</w:t>
      </w:r>
      <w:r w:rsidRPr="00DE4516">
        <w:rPr>
          <w:rStyle w:val="FootnoteReference"/>
        </w:rPr>
        <w:footnoteReference w:id="23"/>
      </w:r>
      <w:r>
        <w:rPr>
          <w:szCs w:val="24"/>
        </w:rPr>
        <w:t xml:space="preserve"> The membership of the State Council cannot exceed that of the Consultative Council, which currently stands at 86 members, elected by the Omani people for four years. The last election was held in 2019.</w:t>
      </w:r>
      <w:r w:rsidRPr="00DE4516">
        <w:rPr>
          <w:rStyle w:val="FootnoteReference"/>
        </w:rPr>
        <w:footnoteReference w:id="24"/>
      </w:r>
    </w:p>
    <w:p w14:paraId="62877F95" w14:textId="77777777" w:rsidR="00DE4516" w:rsidRDefault="00DE4516">
      <w:pPr>
        <w:pStyle w:val="BodyText0"/>
        <w:autoSpaceDE w:val="0"/>
        <w:autoSpaceDN w:val="0"/>
        <w:adjustRightInd w:val="0"/>
        <w:rPr>
          <w:szCs w:val="24"/>
        </w:rPr>
      </w:pPr>
      <w:r>
        <w:rPr>
          <w:szCs w:val="24"/>
        </w:rPr>
        <w:t>Legislative authority is vested in the Sultan, while executive authority is vested in the Sultan together with the Council of Ministers. The Sultan exercises his powers directly and through the Ministers. He also appoints the Prime Minister, Deputy Prime Minister, and Ministers. Moreover, the Sultan has the right to propose laws and is the ratification and promulgation authority.</w:t>
      </w:r>
    </w:p>
    <w:p w14:paraId="0336541E" w14:textId="77777777" w:rsidR="00DE4516" w:rsidRDefault="00DE4516">
      <w:pPr>
        <w:pStyle w:val="BodyText0"/>
        <w:autoSpaceDE w:val="0"/>
        <w:autoSpaceDN w:val="0"/>
        <w:adjustRightInd w:val="0"/>
        <w:rPr>
          <w:szCs w:val="24"/>
        </w:rPr>
      </w:pPr>
      <w:r>
        <w:rPr>
          <w:szCs w:val="24"/>
        </w:rPr>
        <w:t>Following the death of Sultan Qaboos on 10 January 2020, his cousin Haitham bin Tariq Al Said became the new Sultan. Sultan Qaboos had been Oman's ruler for almost 50 years. Prior to his accession to the throne, Sultan Haitham was Minister of Heritage and Culture, and head of the main committee of Oman Vision 2040, Oman's current long-term development plan. The Basic Statute of the State also introduced a mechanism for the designation of a Crown Prince, with a view to ensuring political stability.</w:t>
      </w:r>
    </w:p>
    <w:p w14:paraId="5645C655" w14:textId="77777777" w:rsidR="00DE4516" w:rsidRDefault="00DE4516">
      <w:pPr>
        <w:pStyle w:val="BodyText0"/>
        <w:autoSpaceDE w:val="0"/>
        <w:autoSpaceDN w:val="0"/>
        <w:adjustRightInd w:val="0"/>
        <w:rPr>
          <w:szCs w:val="24"/>
        </w:rPr>
      </w:pPr>
      <w:r>
        <w:rPr>
          <w:szCs w:val="24"/>
        </w:rPr>
        <w:t>The Sultan retains the post of Prime Minister and is also the supreme commander of the armed forces. In 2020, substantive changes were implemented in the structures of individual ministries and public authorities (</w:t>
      </w:r>
      <w:r>
        <w:rPr>
          <w:rStyle w:val="citetbl"/>
          <w:szCs w:val="24"/>
        </w:rPr>
        <w:t>Table 2.1</w:t>
      </w:r>
      <w:r>
        <w:rPr>
          <w:szCs w:val="24"/>
        </w:rPr>
        <w:t>). Notably, the Ministry of Commerce, Industry, and Investment Promotion (MOCIIP) replaced the Ministry of Commerce and Industry. The Public Authority for Investment Promotion and Export Development and the Competition Protection and Monopoly Prevention Centre were merged into the new MOCIIP.</w:t>
      </w:r>
      <w:r w:rsidRPr="00DE4516">
        <w:rPr>
          <w:rStyle w:val="FootnoteReference"/>
        </w:rPr>
        <w:footnoteReference w:id="25"/>
      </w:r>
      <w:r>
        <w:rPr>
          <w:szCs w:val="24"/>
        </w:rPr>
        <w:t xml:space="preserve"> Royal Decree No. 105/2020 created the Public Authority for Special Economic Zones and Free Zones.</w:t>
      </w:r>
    </w:p>
    <w:p w14:paraId="4DD69701" w14:textId="77777777" w:rsidR="00DE4516" w:rsidRDefault="00DE4516">
      <w:pPr>
        <w:pStyle w:val="BodyText0"/>
        <w:autoSpaceDE w:val="0"/>
        <w:autoSpaceDN w:val="0"/>
        <w:adjustRightInd w:val="0"/>
        <w:rPr>
          <w:szCs w:val="24"/>
        </w:rPr>
      </w:pPr>
      <w:r>
        <w:rPr>
          <w:szCs w:val="24"/>
        </w:rPr>
        <w:t>Headed by the Prime Minister, the Council of Ministers assists the Sultan in formulating and implementing policies. Cabinet resolutions are passed when the majority of the Cabinet's members are present and with the approval of the majority of those present. The Cabinet also submits recommendations to the Sultan on economic, political, social, environmental, executive, and administrative matters, and proposes draft laws and changes to existing laws.</w:t>
      </w:r>
    </w:p>
    <w:p w14:paraId="3C6BCFF7" w14:textId="77777777" w:rsidR="00DE4516" w:rsidRDefault="00DE4516">
      <w:pPr>
        <w:pStyle w:val="BodyText0"/>
        <w:autoSpaceDE w:val="0"/>
        <w:autoSpaceDN w:val="0"/>
        <w:adjustRightInd w:val="0"/>
        <w:rPr>
          <w:szCs w:val="24"/>
        </w:rPr>
      </w:pPr>
      <w:r>
        <w:rPr>
          <w:szCs w:val="24"/>
        </w:rPr>
        <w:t xml:space="preserve">Bills are prepared by the relevant ministries and presented by the Cabinet to the Consultative and State Councils. Alternatively, the Oman Council can propose draft laws to be submitted to the Government, which will resend the bill to the Councils after approval. They are then issued by the Sultan through a Royal Decree and must be published in the Official Gazette within two weeks of issuance; they </w:t>
      </w:r>
      <w:proofErr w:type="gramStart"/>
      <w:r>
        <w:rPr>
          <w:szCs w:val="24"/>
        </w:rPr>
        <w:t>enter into</w:t>
      </w:r>
      <w:proofErr w:type="gramEnd"/>
      <w:r>
        <w:rPr>
          <w:szCs w:val="24"/>
        </w:rPr>
        <w:t xml:space="preserve"> effect on the date of publication unless otherwise prescribed.</w:t>
      </w:r>
      <w:r w:rsidRPr="00DE4516">
        <w:rPr>
          <w:rStyle w:val="FootnoteReference"/>
        </w:rPr>
        <w:footnoteReference w:id="26"/>
      </w:r>
    </w:p>
    <w:p w14:paraId="0F15FEF7" w14:textId="77777777" w:rsidR="00DE4516" w:rsidRDefault="00DE4516">
      <w:pPr>
        <w:pStyle w:val="BodyText0"/>
        <w:autoSpaceDE w:val="0"/>
        <w:autoSpaceDN w:val="0"/>
        <w:adjustRightInd w:val="0"/>
        <w:rPr>
          <w:szCs w:val="24"/>
        </w:rPr>
      </w:pPr>
      <w:r>
        <w:rPr>
          <w:szCs w:val="24"/>
        </w:rPr>
        <w:t xml:space="preserve">The Basic Statute of the State lays out the basic functioning of the judiciary, with the Islamic Law (Sharia) as the basis for national legislation. It also establishes that Islam is the state religion. Under Article 77, the judiciary is an independent and separate body. The system comprises primary, appeal, and supreme courts. Within each level, Sharia or religious, criminal, administrative, or commercial courts adjudicate cases according to their specialization. The commercial courts have jurisdiction over commercial disputes between private sector parties, government departments or authorities, and general establishments. Taxation and labour disputes, as well as government </w:t>
      </w:r>
      <w:r>
        <w:rPr>
          <w:szCs w:val="24"/>
        </w:rPr>
        <w:lastRenderedPageBreak/>
        <w:t>decisions, affecting international trade can be appealed to the Commercial Court.</w:t>
      </w:r>
      <w:r w:rsidRPr="00DE4516">
        <w:rPr>
          <w:rStyle w:val="FootnoteReference"/>
        </w:rPr>
        <w:footnoteReference w:id="27"/>
      </w:r>
      <w:r>
        <w:rPr>
          <w:szCs w:val="24"/>
        </w:rPr>
        <w:t xml:space="preserve"> According to the authorities, in 2018, Oman established the Oman Commercial Arbitration Centre, a non</w:t>
      </w:r>
      <w:r>
        <w:rPr>
          <w:szCs w:val="24"/>
        </w:rPr>
        <w:noBreakHyphen/>
        <w:t>governmental agency serving as an alternative to litigation in commercial disputes, which reports to the Oman Chamber of Commerce and Industry.</w:t>
      </w:r>
    </w:p>
    <w:p w14:paraId="59E3011A" w14:textId="77777777" w:rsidR="00DE4516" w:rsidRDefault="00DE4516">
      <w:pPr>
        <w:pStyle w:val="TableTitle"/>
        <w:autoSpaceDE w:val="0"/>
        <w:autoSpaceDN w:val="0"/>
        <w:adjustRightInd w:val="0"/>
      </w:pPr>
      <w:r>
        <w:t>Table 2.1 List of ministries and their recent changes</w:t>
      </w:r>
    </w:p>
    <w:tbl>
      <w:tblPr>
        <w:tblStyle w:val="WTOTable1"/>
        <w:tblW w:w="0" w:type="auto"/>
        <w:tblLook w:val="05E0" w:firstRow="1" w:lastRow="1" w:firstColumn="1" w:lastColumn="1" w:noHBand="0" w:noVBand="1"/>
      </w:tblPr>
      <w:tblGrid>
        <w:gridCol w:w="2589"/>
        <w:gridCol w:w="6427"/>
      </w:tblGrid>
      <w:tr w:rsidR="00DE4516" w:rsidRPr="007F015E" w14:paraId="6853F906"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top w:val="single" w:sz="4" w:space="0" w:color="auto"/>
            </w:tcBorders>
          </w:tcPr>
          <w:p w14:paraId="57D5FECD" w14:textId="77777777" w:rsidR="00DE4516" w:rsidRPr="007F015E" w:rsidRDefault="00DE4516" w:rsidP="00DE4516">
            <w:pPr>
              <w:pStyle w:val="TableHead"/>
              <w:autoSpaceDE w:val="0"/>
              <w:autoSpaceDN w:val="0"/>
              <w:adjustRightInd w:val="0"/>
              <w:jc w:val="both"/>
              <w:rPr>
                <w:b/>
                <w:szCs w:val="16"/>
              </w:rPr>
            </w:pPr>
            <w:r w:rsidRPr="007F015E">
              <w:rPr>
                <w:b/>
              </w:rPr>
              <w:t>Government agency</w:t>
            </w:r>
          </w:p>
        </w:tc>
        <w:tc>
          <w:tcPr>
            <w:tcW w:w="0" w:type="auto"/>
            <w:tcBorders>
              <w:top w:val="single" w:sz="4" w:space="0" w:color="auto"/>
            </w:tcBorders>
          </w:tcPr>
          <w:p w14:paraId="479CE041" w14:textId="77777777" w:rsidR="00DE4516" w:rsidRPr="007F015E" w:rsidRDefault="00DE4516" w:rsidP="00DE4516">
            <w:pPr>
              <w:pStyle w:val="TableHead"/>
              <w:autoSpaceDE w:val="0"/>
              <w:autoSpaceDN w:val="0"/>
              <w:adjustRightInd w:val="0"/>
              <w:jc w:val="both"/>
              <w:rPr>
                <w:b/>
                <w:szCs w:val="16"/>
              </w:rPr>
            </w:pPr>
            <w:r w:rsidRPr="007F015E">
              <w:rPr>
                <w:b/>
              </w:rPr>
              <w:t>Institutional change</w:t>
            </w:r>
          </w:p>
        </w:tc>
      </w:tr>
      <w:tr w:rsidR="00DE4516" w:rsidRPr="007B09BB" w14:paraId="23024547" w14:textId="77777777" w:rsidTr="002C718D">
        <w:trPr>
          <w:cantSplit/>
        </w:trPr>
        <w:tc>
          <w:tcPr>
            <w:tcW w:w="0" w:type="auto"/>
          </w:tcPr>
          <w:p w14:paraId="78854C18" w14:textId="77777777" w:rsidR="00DE4516" w:rsidRPr="00A46ADC" w:rsidRDefault="00DE4516" w:rsidP="00DE4516">
            <w:pPr>
              <w:pStyle w:val="TableBody"/>
              <w:autoSpaceDE w:val="0"/>
              <w:autoSpaceDN w:val="0"/>
              <w:adjustRightInd w:val="0"/>
              <w:jc w:val="both"/>
              <w:rPr>
                <w:szCs w:val="16"/>
              </w:rPr>
            </w:pPr>
            <w:r w:rsidRPr="00A46ADC">
              <w:t xml:space="preserve">Ministry of Culture, </w:t>
            </w:r>
            <w:proofErr w:type="gramStart"/>
            <w:r w:rsidRPr="00A46ADC">
              <w:t>Sports</w:t>
            </w:r>
            <w:proofErr w:type="gramEnd"/>
            <w:r w:rsidRPr="00A46ADC">
              <w:t xml:space="preserve"> and Youth</w:t>
            </w:r>
          </w:p>
        </w:tc>
        <w:tc>
          <w:tcPr>
            <w:tcW w:w="0" w:type="auto"/>
          </w:tcPr>
          <w:p w14:paraId="2CC52AA8" w14:textId="77777777" w:rsidR="00DE4516" w:rsidRPr="00A46ADC" w:rsidRDefault="00DE4516" w:rsidP="00DE4516">
            <w:pPr>
              <w:pStyle w:val="TableBody"/>
              <w:autoSpaceDE w:val="0"/>
              <w:autoSpaceDN w:val="0"/>
              <w:adjustRightInd w:val="0"/>
              <w:jc w:val="both"/>
              <w:rPr>
                <w:szCs w:val="16"/>
              </w:rPr>
            </w:pPr>
            <w:r w:rsidRPr="00A46ADC">
              <w:t>Established by Royal Decree No. 87/2020.</w:t>
            </w:r>
            <w:r w:rsidRPr="00A46ADC">
              <w:br/>
              <w:t>Replaced the Ministry of Sports Affairs, the Ministry of Arts Affairs, the National Youth Commission, and cultural affairs from the Ministry of Heritage and Culture.</w:t>
            </w:r>
          </w:p>
        </w:tc>
      </w:tr>
      <w:tr w:rsidR="00DE4516" w:rsidRPr="007B09BB" w14:paraId="33A4D63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Pr>
          <w:p w14:paraId="29286AE5" w14:textId="77777777" w:rsidR="00DE4516" w:rsidRPr="00A46ADC" w:rsidRDefault="00DE4516" w:rsidP="00DE4516">
            <w:pPr>
              <w:pStyle w:val="TableBody"/>
              <w:autoSpaceDE w:val="0"/>
              <w:autoSpaceDN w:val="0"/>
              <w:adjustRightInd w:val="0"/>
              <w:jc w:val="both"/>
              <w:rPr>
                <w:szCs w:val="16"/>
              </w:rPr>
            </w:pPr>
            <w:r w:rsidRPr="00A46ADC">
              <w:t>Diwan of Royal Court</w:t>
            </w:r>
          </w:p>
        </w:tc>
        <w:tc>
          <w:tcPr>
            <w:tcW w:w="0" w:type="auto"/>
          </w:tcPr>
          <w:p w14:paraId="0E998C37" w14:textId="77777777" w:rsidR="00DE4516" w:rsidRPr="00A46ADC" w:rsidRDefault="00DE4516" w:rsidP="00DE4516">
            <w:pPr>
              <w:pStyle w:val="TableBody"/>
              <w:autoSpaceDE w:val="0"/>
              <w:autoSpaceDN w:val="0"/>
              <w:adjustRightInd w:val="0"/>
              <w:jc w:val="both"/>
            </w:pPr>
          </w:p>
        </w:tc>
      </w:tr>
      <w:tr w:rsidR="00DE4516" w:rsidRPr="007B09BB" w14:paraId="6E384E9B" w14:textId="77777777" w:rsidTr="002C718D">
        <w:trPr>
          <w:cantSplit/>
        </w:trPr>
        <w:tc>
          <w:tcPr>
            <w:tcW w:w="0" w:type="auto"/>
          </w:tcPr>
          <w:p w14:paraId="55BB240B" w14:textId="77777777" w:rsidR="00DE4516" w:rsidRPr="00A46ADC" w:rsidRDefault="00DE4516" w:rsidP="00DE4516">
            <w:pPr>
              <w:pStyle w:val="TableBody"/>
              <w:autoSpaceDE w:val="0"/>
              <w:autoSpaceDN w:val="0"/>
              <w:adjustRightInd w:val="0"/>
              <w:jc w:val="both"/>
              <w:rPr>
                <w:szCs w:val="16"/>
              </w:rPr>
            </w:pPr>
            <w:r w:rsidRPr="00A46ADC">
              <w:t>Ministry of Interior</w:t>
            </w:r>
          </w:p>
        </w:tc>
        <w:tc>
          <w:tcPr>
            <w:tcW w:w="0" w:type="auto"/>
          </w:tcPr>
          <w:p w14:paraId="0762A3F3" w14:textId="77777777" w:rsidR="00DE4516" w:rsidRPr="00A46ADC" w:rsidRDefault="00DE4516" w:rsidP="00DE4516">
            <w:pPr>
              <w:pStyle w:val="TableBody"/>
              <w:autoSpaceDE w:val="0"/>
              <w:autoSpaceDN w:val="0"/>
              <w:adjustRightInd w:val="0"/>
              <w:jc w:val="both"/>
              <w:rPr>
                <w:szCs w:val="16"/>
              </w:rPr>
            </w:pPr>
            <w:r w:rsidRPr="00A46ADC">
              <w:t>Under Royal Decree No. 101/2020, the Ministry of Regional Municipalities and Water Resources was incorporated into the Ministry of Interior.</w:t>
            </w:r>
          </w:p>
        </w:tc>
      </w:tr>
      <w:tr w:rsidR="00DE4516" w:rsidRPr="007B09BB" w14:paraId="581EFAB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Pr>
          <w:p w14:paraId="012C8C65" w14:textId="77777777" w:rsidR="00DE4516" w:rsidRPr="00A46ADC" w:rsidRDefault="00DE4516" w:rsidP="00DE4516">
            <w:pPr>
              <w:pStyle w:val="TableBody"/>
              <w:autoSpaceDE w:val="0"/>
              <w:autoSpaceDN w:val="0"/>
              <w:adjustRightInd w:val="0"/>
              <w:jc w:val="both"/>
              <w:rPr>
                <w:szCs w:val="16"/>
              </w:rPr>
            </w:pPr>
            <w:r w:rsidRPr="00A46ADC">
              <w:t>Ministry of Foreign Affairs</w:t>
            </w:r>
          </w:p>
        </w:tc>
        <w:tc>
          <w:tcPr>
            <w:tcW w:w="0" w:type="auto"/>
          </w:tcPr>
          <w:p w14:paraId="2512AA60" w14:textId="77777777" w:rsidR="00DE4516" w:rsidRPr="00A46ADC" w:rsidRDefault="00DE4516" w:rsidP="00DE4516">
            <w:pPr>
              <w:pStyle w:val="TableBody"/>
              <w:autoSpaceDE w:val="0"/>
              <w:autoSpaceDN w:val="0"/>
              <w:adjustRightInd w:val="0"/>
              <w:jc w:val="both"/>
              <w:rPr>
                <w:szCs w:val="16"/>
              </w:rPr>
            </w:pPr>
            <w:r w:rsidRPr="00A46ADC">
              <w:t>None</w:t>
            </w:r>
          </w:p>
        </w:tc>
      </w:tr>
      <w:tr w:rsidR="00DE4516" w:rsidRPr="007B09BB" w14:paraId="3B098095" w14:textId="77777777" w:rsidTr="002C718D">
        <w:trPr>
          <w:cantSplit/>
        </w:trPr>
        <w:tc>
          <w:tcPr>
            <w:tcW w:w="0" w:type="auto"/>
          </w:tcPr>
          <w:p w14:paraId="37863682" w14:textId="77777777" w:rsidR="00DE4516" w:rsidRPr="00A46ADC" w:rsidRDefault="00DE4516" w:rsidP="00DE4516">
            <w:pPr>
              <w:pStyle w:val="TableBody"/>
              <w:autoSpaceDE w:val="0"/>
              <w:autoSpaceDN w:val="0"/>
              <w:adjustRightInd w:val="0"/>
              <w:jc w:val="both"/>
              <w:rPr>
                <w:szCs w:val="16"/>
              </w:rPr>
            </w:pPr>
            <w:r w:rsidRPr="00A46ADC">
              <w:t>Ministry of Finance</w:t>
            </w:r>
          </w:p>
        </w:tc>
        <w:tc>
          <w:tcPr>
            <w:tcW w:w="0" w:type="auto"/>
          </w:tcPr>
          <w:p w14:paraId="32E5F58A" w14:textId="77777777" w:rsidR="00DE4516" w:rsidRPr="00A46ADC" w:rsidRDefault="00DE4516" w:rsidP="00DE4516">
            <w:pPr>
              <w:pStyle w:val="TableBody"/>
              <w:autoSpaceDE w:val="0"/>
              <w:autoSpaceDN w:val="0"/>
              <w:adjustRightInd w:val="0"/>
              <w:jc w:val="both"/>
              <w:rPr>
                <w:szCs w:val="16"/>
              </w:rPr>
            </w:pPr>
            <w:r w:rsidRPr="00A46ADC">
              <w:t>None</w:t>
            </w:r>
          </w:p>
        </w:tc>
      </w:tr>
      <w:tr w:rsidR="00DE4516" w:rsidRPr="007B09BB" w14:paraId="103759D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Pr>
          <w:p w14:paraId="7696989C" w14:textId="77777777" w:rsidR="00DE4516" w:rsidRPr="00A46ADC" w:rsidRDefault="00DE4516" w:rsidP="00DE4516">
            <w:pPr>
              <w:pStyle w:val="TableBody"/>
              <w:autoSpaceDE w:val="0"/>
              <w:autoSpaceDN w:val="0"/>
              <w:adjustRightInd w:val="0"/>
              <w:jc w:val="both"/>
              <w:rPr>
                <w:szCs w:val="16"/>
              </w:rPr>
            </w:pPr>
            <w:r w:rsidRPr="00A46ADC">
              <w:t xml:space="preserve">Ministry of </w:t>
            </w:r>
            <w:proofErr w:type="spellStart"/>
            <w:r w:rsidRPr="00A46ADC">
              <w:t>Awqaf</w:t>
            </w:r>
            <w:proofErr w:type="spellEnd"/>
            <w:r w:rsidRPr="00A46ADC">
              <w:t xml:space="preserve"> and Religious Affairs</w:t>
            </w:r>
          </w:p>
        </w:tc>
        <w:tc>
          <w:tcPr>
            <w:tcW w:w="0" w:type="auto"/>
          </w:tcPr>
          <w:p w14:paraId="0A6999A1" w14:textId="77777777" w:rsidR="00DE4516" w:rsidRPr="00A46ADC" w:rsidRDefault="00DE4516" w:rsidP="00DE4516">
            <w:pPr>
              <w:pStyle w:val="TableBody"/>
              <w:autoSpaceDE w:val="0"/>
              <w:autoSpaceDN w:val="0"/>
              <w:adjustRightInd w:val="0"/>
              <w:jc w:val="both"/>
              <w:rPr>
                <w:szCs w:val="16"/>
              </w:rPr>
            </w:pPr>
            <w:r w:rsidRPr="00A46ADC">
              <w:t>None</w:t>
            </w:r>
          </w:p>
        </w:tc>
      </w:tr>
      <w:tr w:rsidR="00DE4516" w:rsidRPr="007B09BB" w14:paraId="6EA0F777" w14:textId="77777777" w:rsidTr="002C718D">
        <w:trPr>
          <w:cantSplit/>
        </w:trPr>
        <w:tc>
          <w:tcPr>
            <w:tcW w:w="0" w:type="auto"/>
          </w:tcPr>
          <w:p w14:paraId="367DF787" w14:textId="77777777" w:rsidR="00DE4516" w:rsidRPr="00A46ADC" w:rsidRDefault="00DE4516" w:rsidP="00DE4516">
            <w:pPr>
              <w:pStyle w:val="TableBody"/>
              <w:autoSpaceDE w:val="0"/>
              <w:autoSpaceDN w:val="0"/>
              <w:adjustRightInd w:val="0"/>
              <w:jc w:val="both"/>
              <w:rPr>
                <w:szCs w:val="16"/>
              </w:rPr>
            </w:pPr>
            <w:r w:rsidRPr="00A46ADC">
              <w:t>Ministry of Energy and Minerals</w:t>
            </w:r>
          </w:p>
        </w:tc>
        <w:tc>
          <w:tcPr>
            <w:tcW w:w="0" w:type="auto"/>
          </w:tcPr>
          <w:p w14:paraId="198DC3E5" w14:textId="77777777" w:rsidR="00DE4516" w:rsidRPr="00A46ADC" w:rsidRDefault="00DE4516" w:rsidP="00DE4516">
            <w:pPr>
              <w:pStyle w:val="TableBody"/>
              <w:autoSpaceDE w:val="0"/>
              <w:autoSpaceDN w:val="0"/>
              <w:adjustRightInd w:val="0"/>
              <w:jc w:val="both"/>
              <w:rPr>
                <w:szCs w:val="16"/>
              </w:rPr>
            </w:pPr>
            <w:r w:rsidRPr="00A46ADC">
              <w:t xml:space="preserve">Established by Royal Decree No. 96/2020. </w:t>
            </w:r>
            <w:r w:rsidRPr="00A46ADC">
              <w:br/>
              <w:t>Replaced the Ministry of Oil and Gas and the Public Authority for Mining.</w:t>
            </w:r>
          </w:p>
        </w:tc>
      </w:tr>
      <w:tr w:rsidR="00DE4516" w:rsidRPr="007B09BB" w14:paraId="047B390A"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Pr>
          <w:p w14:paraId="304270D0" w14:textId="77777777" w:rsidR="00DE4516" w:rsidRPr="00A46ADC" w:rsidRDefault="00DE4516" w:rsidP="00DE4516">
            <w:pPr>
              <w:pStyle w:val="TableBody"/>
              <w:autoSpaceDE w:val="0"/>
              <w:autoSpaceDN w:val="0"/>
              <w:adjustRightInd w:val="0"/>
              <w:jc w:val="both"/>
              <w:rPr>
                <w:szCs w:val="16"/>
              </w:rPr>
            </w:pPr>
            <w:r w:rsidRPr="00A46ADC">
              <w:t>Ministry of Health</w:t>
            </w:r>
          </w:p>
        </w:tc>
        <w:tc>
          <w:tcPr>
            <w:tcW w:w="0" w:type="auto"/>
          </w:tcPr>
          <w:p w14:paraId="7FEEBAA5" w14:textId="77777777" w:rsidR="00DE4516" w:rsidRPr="00A46ADC" w:rsidRDefault="00DE4516" w:rsidP="00DE4516">
            <w:pPr>
              <w:pStyle w:val="TableBody"/>
              <w:autoSpaceDE w:val="0"/>
              <w:autoSpaceDN w:val="0"/>
              <w:adjustRightInd w:val="0"/>
              <w:jc w:val="both"/>
              <w:rPr>
                <w:szCs w:val="16"/>
              </w:rPr>
            </w:pPr>
            <w:r w:rsidRPr="00A46ADC">
              <w:t>Structured under Royal Decree No. 80/2020.</w:t>
            </w:r>
          </w:p>
        </w:tc>
      </w:tr>
      <w:tr w:rsidR="00DE4516" w:rsidRPr="007B09BB" w14:paraId="758DBC9D" w14:textId="77777777" w:rsidTr="002C718D">
        <w:trPr>
          <w:cantSplit/>
        </w:trPr>
        <w:tc>
          <w:tcPr>
            <w:tcW w:w="0" w:type="auto"/>
          </w:tcPr>
          <w:p w14:paraId="0647FA18" w14:textId="77777777" w:rsidR="00DE4516" w:rsidRPr="00A46ADC" w:rsidRDefault="00DE4516" w:rsidP="00DE4516">
            <w:pPr>
              <w:pStyle w:val="TableBody"/>
              <w:autoSpaceDE w:val="0"/>
              <w:autoSpaceDN w:val="0"/>
              <w:adjustRightInd w:val="0"/>
              <w:jc w:val="both"/>
              <w:rPr>
                <w:szCs w:val="16"/>
              </w:rPr>
            </w:pPr>
            <w:r w:rsidRPr="00A46ADC">
              <w:t>Ministry of Education</w:t>
            </w:r>
          </w:p>
        </w:tc>
        <w:tc>
          <w:tcPr>
            <w:tcW w:w="0" w:type="auto"/>
          </w:tcPr>
          <w:p w14:paraId="12522CCF" w14:textId="77777777" w:rsidR="00DE4516" w:rsidRPr="00A46ADC" w:rsidRDefault="00DE4516" w:rsidP="00DE4516">
            <w:pPr>
              <w:pStyle w:val="TableBody"/>
              <w:autoSpaceDE w:val="0"/>
              <w:autoSpaceDN w:val="0"/>
              <w:adjustRightInd w:val="0"/>
              <w:jc w:val="both"/>
              <w:rPr>
                <w:szCs w:val="16"/>
              </w:rPr>
            </w:pPr>
            <w:r w:rsidRPr="00A46ADC">
              <w:t>Structured under Royal Decree No. 79/2020.</w:t>
            </w:r>
          </w:p>
        </w:tc>
      </w:tr>
      <w:tr w:rsidR="00DE4516" w:rsidRPr="007B09BB" w14:paraId="3B49207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Pr>
          <w:p w14:paraId="5989D4CF" w14:textId="77777777" w:rsidR="00DE4516" w:rsidRPr="00A46ADC" w:rsidRDefault="00DE4516" w:rsidP="00DE4516">
            <w:pPr>
              <w:pStyle w:val="TableBody"/>
              <w:autoSpaceDE w:val="0"/>
              <w:autoSpaceDN w:val="0"/>
              <w:adjustRightInd w:val="0"/>
              <w:jc w:val="both"/>
              <w:rPr>
                <w:szCs w:val="16"/>
              </w:rPr>
            </w:pPr>
            <w:r w:rsidRPr="00A46ADC">
              <w:t>Ministry of Justice and Legal Affairs</w:t>
            </w:r>
          </w:p>
        </w:tc>
        <w:tc>
          <w:tcPr>
            <w:tcW w:w="0" w:type="auto"/>
          </w:tcPr>
          <w:p w14:paraId="17B5FA1E" w14:textId="77777777" w:rsidR="00DE4516" w:rsidRPr="00A46ADC" w:rsidRDefault="00DE4516" w:rsidP="00DE4516">
            <w:pPr>
              <w:pStyle w:val="TableBody"/>
              <w:autoSpaceDE w:val="0"/>
              <w:autoSpaceDN w:val="0"/>
              <w:adjustRightInd w:val="0"/>
              <w:jc w:val="both"/>
              <w:rPr>
                <w:szCs w:val="16"/>
              </w:rPr>
            </w:pPr>
            <w:r w:rsidRPr="00A46ADC">
              <w:t>Established by Royal Decree No. 88/2020.</w:t>
            </w:r>
            <w:r w:rsidRPr="00A46ADC">
              <w:br/>
              <w:t>Replaced the separate Ministries of Justice and of Legal Affairs.</w:t>
            </w:r>
          </w:p>
        </w:tc>
      </w:tr>
      <w:tr w:rsidR="00DE4516" w:rsidRPr="007B09BB" w14:paraId="79EECD82" w14:textId="77777777" w:rsidTr="002C718D">
        <w:trPr>
          <w:cantSplit/>
        </w:trPr>
        <w:tc>
          <w:tcPr>
            <w:tcW w:w="0" w:type="auto"/>
          </w:tcPr>
          <w:p w14:paraId="7F6F980C" w14:textId="77777777" w:rsidR="00DE4516" w:rsidRPr="00A46ADC" w:rsidRDefault="00DE4516" w:rsidP="00DE4516">
            <w:pPr>
              <w:pStyle w:val="TableBody"/>
              <w:autoSpaceDE w:val="0"/>
              <w:autoSpaceDN w:val="0"/>
              <w:adjustRightInd w:val="0"/>
              <w:jc w:val="both"/>
              <w:rPr>
                <w:szCs w:val="16"/>
              </w:rPr>
            </w:pPr>
            <w:r w:rsidRPr="00A46ADC">
              <w:t>Ministry of Information</w:t>
            </w:r>
          </w:p>
        </w:tc>
        <w:tc>
          <w:tcPr>
            <w:tcW w:w="0" w:type="auto"/>
          </w:tcPr>
          <w:p w14:paraId="7728F93F" w14:textId="77777777" w:rsidR="00DE4516" w:rsidRPr="00A46ADC" w:rsidRDefault="00DE4516" w:rsidP="00DE4516">
            <w:pPr>
              <w:pStyle w:val="TableBody"/>
              <w:autoSpaceDE w:val="0"/>
              <w:autoSpaceDN w:val="0"/>
              <w:adjustRightInd w:val="0"/>
              <w:jc w:val="both"/>
              <w:rPr>
                <w:szCs w:val="16"/>
              </w:rPr>
            </w:pPr>
            <w:r w:rsidRPr="00A46ADC">
              <w:t>Established by Royal Decree No. 95/2020.</w:t>
            </w:r>
            <w:r w:rsidRPr="00A46ADC">
              <w:br/>
              <w:t>Replaced the Public Authority for Radio and Television; the Oman Establishment for Press, Publication and Advertising; the Media Training Centre; and the Directorate General of Communications.</w:t>
            </w:r>
          </w:p>
        </w:tc>
      </w:tr>
      <w:tr w:rsidR="00DE4516" w:rsidRPr="007B09BB" w14:paraId="4911394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Pr>
          <w:p w14:paraId="594EFC85" w14:textId="77777777" w:rsidR="00DE4516" w:rsidRPr="00A46ADC" w:rsidRDefault="00DE4516" w:rsidP="00DE4516">
            <w:pPr>
              <w:pStyle w:val="TableBody"/>
              <w:autoSpaceDE w:val="0"/>
              <w:autoSpaceDN w:val="0"/>
              <w:adjustRightInd w:val="0"/>
              <w:jc w:val="both"/>
              <w:rPr>
                <w:szCs w:val="16"/>
              </w:rPr>
            </w:pPr>
            <w:r w:rsidRPr="00A46ADC">
              <w:t>Ministry of Heritage and Tourism</w:t>
            </w:r>
          </w:p>
        </w:tc>
        <w:tc>
          <w:tcPr>
            <w:tcW w:w="0" w:type="auto"/>
          </w:tcPr>
          <w:p w14:paraId="463A63BE" w14:textId="77777777" w:rsidR="00DE4516" w:rsidRPr="00A46ADC" w:rsidRDefault="00DE4516" w:rsidP="00DE4516">
            <w:pPr>
              <w:pStyle w:val="TableBody"/>
              <w:autoSpaceDE w:val="0"/>
              <w:autoSpaceDN w:val="0"/>
              <w:adjustRightInd w:val="0"/>
              <w:jc w:val="both"/>
              <w:rPr>
                <w:szCs w:val="16"/>
              </w:rPr>
            </w:pPr>
            <w:r w:rsidRPr="00A46ADC">
              <w:t>Established by Royal Decree No. 91/2020.</w:t>
            </w:r>
            <w:r w:rsidRPr="00A46ADC">
              <w:br/>
              <w:t>Replaced the Ministry of Heritage and Culture and the Ministry of Tourism.</w:t>
            </w:r>
          </w:p>
        </w:tc>
      </w:tr>
      <w:tr w:rsidR="00DE4516" w:rsidRPr="007B09BB" w14:paraId="297E181B" w14:textId="77777777" w:rsidTr="002C718D">
        <w:trPr>
          <w:cantSplit/>
        </w:trPr>
        <w:tc>
          <w:tcPr>
            <w:tcW w:w="0" w:type="auto"/>
          </w:tcPr>
          <w:p w14:paraId="34D0318A" w14:textId="77777777" w:rsidR="00DE4516" w:rsidRPr="00A46ADC" w:rsidRDefault="00DE4516" w:rsidP="00DE4516">
            <w:pPr>
              <w:pStyle w:val="TableBody"/>
              <w:autoSpaceDE w:val="0"/>
              <w:autoSpaceDN w:val="0"/>
              <w:adjustRightInd w:val="0"/>
              <w:jc w:val="both"/>
              <w:rPr>
                <w:szCs w:val="16"/>
              </w:rPr>
            </w:pPr>
            <w:r w:rsidRPr="00A46ADC">
              <w:t>Ministry of Agriculture, Fisheries and Water Resources</w:t>
            </w:r>
          </w:p>
        </w:tc>
        <w:tc>
          <w:tcPr>
            <w:tcW w:w="0" w:type="auto"/>
          </w:tcPr>
          <w:p w14:paraId="32094A8F" w14:textId="77777777" w:rsidR="00DE4516" w:rsidRPr="00A46ADC" w:rsidRDefault="00DE4516" w:rsidP="00DE4516">
            <w:pPr>
              <w:pStyle w:val="TableBody"/>
              <w:autoSpaceDE w:val="0"/>
              <w:autoSpaceDN w:val="0"/>
              <w:adjustRightInd w:val="0"/>
              <w:jc w:val="both"/>
              <w:rPr>
                <w:szCs w:val="16"/>
              </w:rPr>
            </w:pPr>
            <w:r w:rsidRPr="00A46ADC">
              <w:t>Established by Royal Decree No. 92/2020.</w:t>
            </w:r>
            <w:r w:rsidRPr="00A46ADC">
              <w:br/>
              <w:t>Replaced the Ministry of Agriculture and Fisheries, the Public Authority for Stores and Food Reserve, the divisions relating to water resources, and the Food Safety and Quality Centre in the Ministry of Regional Municipalities and Water Resources.</w:t>
            </w:r>
          </w:p>
        </w:tc>
      </w:tr>
      <w:tr w:rsidR="00DE4516" w:rsidRPr="007B09BB" w14:paraId="156DECB2"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Pr>
          <w:p w14:paraId="656F9A93" w14:textId="77777777" w:rsidR="00DE4516" w:rsidRPr="00A46ADC" w:rsidRDefault="00DE4516" w:rsidP="00DE4516">
            <w:pPr>
              <w:pStyle w:val="TableBody"/>
              <w:autoSpaceDE w:val="0"/>
              <w:autoSpaceDN w:val="0"/>
              <w:adjustRightInd w:val="0"/>
              <w:jc w:val="both"/>
              <w:rPr>
                <w:szCs w:val="16"/>
              </w:rPr>
            </w:pPr>
            <w:r w:rsidRPr="00A46ADC">
              <w:t>Ministry of Housing and Urban Planning</w:t>
            </w:r>
          </w:p>
        </w:tc>
        <w:tc>
          <w:tcPr>
            <w:tcW w:w="0" w:type="auto"/>
          </w:tcPr>
          <w:p w14:paraId="0589E048" w14:textId="77777777" w:rsidR="00DE4516" w:rsidRPr="00A46ADC" w:rsidRDefault="00DE4516" w:rsidP="00DE4516">
            <w:pPr>
              <w:pStyle w:val="TableBody"/>
              <w:autoSpaceDE w:val="0"/>
              <w:autoSpaceDN w:val="0"/>
              <w:adjustRightInd w:val="0"/>
              <w:jc w:val="both"/>
              <w:rPr>
                <w:szCs w:val="16"/>
              </w:rPr>
            </w:pPr>
            <w:r w:rsidRPr="00A46ADC">
              <w:t>Established by Royal Decree No. 93/2020.</w:t>
            </w:r>
            <w:r w:rsidRPr="00A46ADC">
              <w:br/>
              <w:t>Replaced the Ministry of Housing and the Secretariat General of the Supreme Council for Planning's urban planning assets and rights.</w:t>
            </w:r>
          </w:p>
        </w:tc>
      </w:tr>
      <w:tr w:rsidR="00DE4516" w:rsidRPr="007B09BB" w14:paraId="71EA1884" w14:textId="77777777" w:rsidTr="002C718D">
        <w:trPr>
          <w:cantSplit/>
        </w:trPr>
        <w:tc>
          <w:tcPr>
            <w:tcW w:w="0" w:type="auto"/>
          </w:tcPr>
          <w:p w14:paraId="351E2788" w14:textId="77777777" w:rsidR="00DE4516" w:rsidRPr="00A46ADC" w:rsidRDefault="00DE4516" w:rsidP="00DE4516">
            <w:pPr>
              <w:pStyle w:val="TableBody"/>
              <w:autoSpaceDE w:val="0"/>
              <w:autoSpaceDN w:val="0"/>
              <w:adjustRightInd w:val="0"/>
              <w:jc w:val="both"/>
              <w:rPr>
                <w:szCs w:val="16"/>
              </w:rPr>
            </w:pPr>
            <w:r w:rsidRPr="00A46ADC">
              <w:t xml:space="preserve">Ministry of Higher Education, </w:t>
            </w:r>
            <w:proofErr w:type="gramStart"/>
            <w:r w:rsidRPr="00A46ADC">
              <w:t>Research</w:t>
            </w:r>
            <w:proofErr w:type="gramEnd"/>
            <w:r w:rsidRPr="00A46ADC">
              <w:t xml:space="preserve"> and Innovation</w:t>
            </w:r>
          </w:p>
        </w:tc>
        <w:tc>
          <w:tcPr>
            <w:tcW w:w="0" w:type="auto"/>
          </w:tcPr>
          <w:p w14:paraId="60DF4F17" w14:textId="77777777" w:rsidR="00DE4516" w:rsidRPr="00A46ADC" w:rsidRDefault="00DE4516" w:rsidP="00DE4516">
            <w:pPr>
              <w:pStyle w:val="TableBody"/>
              <w:autoSpaceDE w:val="0"/>
              <w:autoSpaceDN w:val="0"/>
              <w:adjustRightInd w:val="0"/>
              <w:jc w:val="both"/>
              <w:rPr>
                <w:szCs w:val="16"/>
              </w:rPr>
            </w:pPr>
            <w:r w:rsidRPr="00A46ADC">
              <w:t>Established by Royal Decree No. 98/2020.</w:t>
            </w:r>
            <w:r w:rsidRPr="00A46ADC">
              <w:br/>
              <w:t>Replaced the Ministry of Higher Education, the Research Council and its Secretariat General, the Directorate General of Vocational Training, and the Directorate General of Occupational Standards and Curriculum Development in the Ministry of Manpower.</w:t>
            </w:r>
          </w:p>
        </w:tc>
      </w:tr>
      <w:tr w:rsidR="00DE4516" w:rsidRPr="007B09BB" w14:paraId="68162C1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Pr>
          <w:p w14:paraId="3CBB8720" w14:textId="77777777" w:rsidR="00DE4516" w:rsidRPr="00A46ADC" w:rsidRDefault="00DE4516" w:rsidP="00DE4516">
            <w:pPr>
              <w:pStyle w:val="TableBody"/>
              <w:autoSpaceDE w:val="0"/>
              <w:autoSpaceDN w:val="0"/>
              <w:adjustRightInd w:val="0"/>
              <w:jc w:val="both"/>
              <w:rPr>
                <w:szCs w:val="16"/>
              </w:rPr>
            </w:pPr>
            <w:r w:rsidRPr="00A46ADC">
              <w:t xml:space="preserve">Ministry of Transport, </w:t>
            </w:r>
            <w:proofErr w:type="gramStart"/>
            <w:r w:rsidRPr="00A46ADC">
              <w:t>Communications</w:t>
            </w:r>
            <w:proofErr w:type="gramEnd"/>
            <w:r w:rsidRPr="00A46ADC">
              <w:t xml:space="preserve"> and Information Technology</w:t>
            </w:r>
          </w:p>
        </w:tc>
        <w:tc>
          <w:tcPr>
            <w:tcW w:w="0" w:type="auto"/>
          </w:tcPr>
          <w:p w14:paraId="013BA42E" w14:textId="77777777" w:rsidR="00DE4516" w:rsidRPr="00A46ADC" w:rsidRDefault="00DE4516" w:rsidP="00DE4516">
            <w:pPr>
              <w:pStyle w:val="TableBody"/>
              <w:autoSpaceDE w:val="0"/>
              <w:autoSpaceDN w:val="0"/>
              <w:adjustRightInd w:val="0"/>
              <w:jc w:val="both"/>
              <w:rPr>
                <w:szCs w:val="16"/>
              </w:rPr>
            </w:pPr>
            <w:r w:rsidRPr="00A46ADC">
              <w:t>Established by Royal Decree No. 90/2020 in August 2020.</w:t>
            </w:r>
            <w:r w:rsidRPr="00A46ADC">
              <w:br/>
              <w:t>Replaced the Ministry of Transport and the Ministry of Technology and Communications.</w:t>
            </w:r>
          </w:p>
        </w:tc>
      </w:tr>
      <w:tr w:rsidR="00DE4516" w:rsidRPr="007B09BB" w14:paraId="5B1D148C" w14:textId="77777777" w:rsidTr="002C718D">
        <w:trPr>
          <w:cantSplit/>
        </w:trPr>
        <w:tc>
          <w:tcPr>
            <w:tcW w:w="0" w:type="auto"/>
          </w:tcPr>
          <w:p w14:paraId="35A71F3E" w14:textId="77777777" w:rsidR="00DE4516" w:rsidRPr="00A46ADC" w:rsidRDefault="00DE4516" w:rsidP="00DE4516">
            <w:pPr>
              <w:pStyle w:val="TableBody"/>
              <w:autoSpaceDE w:val="0"/>
              <w:autoSpaceDN w:val="0"/>
              <w:adjustRightInd w:val="0"/>
              <w:jc w:val="both"/>
              <w:rPr>
                <w:szCs w:val="16"/>
              </w:rPr>
            </w:pPr>
            <w:r w:rsidRPr="00A46ADC">
              <w:lastRenderedPageBreak/>
              <w:t>Ministry of Economy</w:t>
            </w:r>
          </w:p>
        </w:tc>
        <w:tc>
          <w:tcPr>
            <w:tcW w:w="0" w:type="auto"/>
          </w:tcPr>
          <w:p w14:paraId="67665022" w14:textId="77777777" w:rsidR="00DE4516" w:rsidRPr="00A46ADC" w:rsidRDefault="00DE4516" w:rsidP="00DE4516">
            <w:pPr>
              <w:pStyle w:val="TableBody"/>
              <w:autoSpaceDE w:val="0"/>
              <w:autoSpaceDN w:val="0"/>
              <w:adjustRightInd w:val="0"/>
              <w:jc w:val="both"/>
              <w:rPr>
                <w:szCs w:val="16"/>
              </w:rPr>
            </w:pPr>
            <w:r w:rsidRPr="00A46ADC">
              <w:t>Established by Royal Decree No. 94/2020.</w:t>
            </w:r>
            <w:r w:rsidRPr="00A46ADC">
              <w:br/>
              <w:t>Replaced the Secretariat General of the Supreme Council for Planning.</w:t>
            </w:r>
          </w:p>
        </w:tc>
      </w:tr>
      <w:tr w:rsidR="00DE4516" w:rsidRPr="007B09BB" w14:paraId="09E0503D"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Pr>
          <w:p w14:paraId="05AA23CB" w14:textId="77777777" w:rsidR="00DE4516" w:rsidRPr="00A46ADC" w:rsidRDefault="00DE4516" w:rsidP="00DE4516">
            <w:pPr>
              <w:pStyle w:val="TableBody"/>
              <w:autoSpaceDE w:val="0"/>
              <w:autoSpaceDN w:val="0"/>
              <w:adjustRightInd w:val="0"/>
              <w:jc w:val="both"/>
              <w:rPr>
                <w:szCs w:val="16"/>
              </w:rPr>
            </w:pPr>
            <w:r w:rsidRPr="00A46ADC">
              <w:t>Ministry of Commerce, Industry, and Investment Promotion</w:t>
            </w:r>
          </w:p>
        </w:tc>
        <w:tc>
          <w:tcPr>
            <w:tcW w:w="0" w:type="auto"/>
          </w:tcPr>
          <w:p w14:paraId="6B2BC98F" w14:textId="77777777" w:rsidR="00DE4516" w:rsidRPr="00A46ADC" w:rsidRDefault="00DE4516" w:rsidP="00DE4516">
            <w:pPr>
              <w:pStyle w:val="TableBody"/>
              <w:autoSpaceDE w:val="0"/>
              <w:autoSpaceDN w:val="0"/>
              <w:adjustRightInd w:val="0"/>
              <w:jc w:val="both"/>
              <w:rPr>
                <w:szCs w:val="16"/>
              </w:rPr>
            </w:pPr>
            <w:r w:rsidRPr="00A46ADC">
              <w:t>Established by Royal Decree No. 97/2020.</w:t>
            </w:r>
            <w:r w:rsidRPr="00A46ADC">
              <w:br/>
              <w:t>Replaced the Ministry of Commerce, the Public Authority for Investment Promotion and Export Development, and the Competition Protection and Monopoly Prevention Centre.</w:t>
            </w:r>
          </w:p>
        </w:tc>
      </w:tr>
      <w:tr w:rsidR="00DE4516" w:rsidRPr="007B09BB" w14:paraId="0C075EC4" w14:textId="77777777" w:rsidTr="002C718D">
        <w:trPr>
          <w:cantSplit/>
        </w:trPr>
        <w:tc>
          <w:tcPr>
            <w:tcW w:w="0" w:type="auto"/>
          </w:tcPr>
          <w:p w14:paraId="7D72ED2D" w14:textId="77777777" w:rsidR="00DE4516" w:rsidRPr="00A46ADC" w:rsidRDefault="00DE4516" w:rsidP="00DE4516">
            <w:pPr>
              <w:pStyle w:val="TableBody"/>
              <w:autoSpaceDE w:val="0"/>
              <w:autoSpaceDN w:val="0"/>
              <w:adjustRightInd w:val="0"/>
              <w:jc w:val="both"/>
              <w:rPr>
                <w:szCs w:val="16"/>
              </w:rPr>
            </w:pPr>
            <w:r w:rsidRPr="00A46ADC">
              <w:t>Ministry of Social Development</w:t>
            </w:r>
          </w:p>
        </w:tc>
        <w:tc>
          <w:tcPr>
            <w:tcW w:w="0" w:type="auto"/>
          </w:tcPr>
          <w:p w14:paraId="3D01E051" w14:textId="77777777" w:rsidR="00DE4516" w:rsidRPr="00A46ADC" w:rsidRDefault="00DE4516" w:rsidP="00DE4516">
            <w:pPr>
              <w:pStyle w:val="TableBody"/>
              <w:autoSpaceDE w:val="0"/>
              <w:autoSpaceDN w:val="0"/>
              <w:adjustRightInd w:val="0"/>
              <w:jc w:val="both"/>
              <w:rPr>
                <w:szCs w:val="16"/>
              </w:rPr>
            </w:pPr>
            <w:r w:rsidRPr="00A46ADC">
              <w:t>None</w:t>
            </w:r>
          </w:p>
        </w:tc>
      </w:tr>
      <w:tr w:rsidR="00DE4516" w:rsidRPr="007B09BB" w14:paraId="243171F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0" w:type="auto"/>
            <w:tcBorders>
              <w:bottom w:val="single" w:sz="4" w:space="0" w:color="auto"/>
            </w:tcBorders>
          </w:tcPr>
          <w:p w14:paraId="11CB48CB" w14:textId="77777777" w:rsidR="00DE4516" w:rsidRPr="00A46ADC" w:rsidRDefault="00DE4516" w:rsidP="00DE4516">
            <w:pPr>
              <w:pStyle w:val="TableBody"/>
              <w:autoSpaceDE w:val="0"/>
              <w:autoSpaceDN w:val="0"/>
              <w:adjustRightInd w:val="0"/>
              <w:jc w:val="both"/>
              <w:rPr>
                <w:szCs w:val="16"/>
              </w:rPr>
            </w:pPr>
            <w:r w:rsidRPr="00A46ADC">
              <w:t>Ministry of Labour</w:t>
            </w:r>
          </w:p>
        </w:tc>
        <w:tc>
          <w:tcPr>
            <w:tcW w:w="0" w:type="auto"/>
            <w:tcBorders>
              <w:bottom w:val="single" w:sz="4" w:space="0" w:color="auto"/>
            </w:tcBorders>
          </w:tcPr>
          <w:p w14:paraId="3EB44114" w14:textId="77777777" w:rsidR="00DE4516" w:rsidRPr="00A46ADC" w:rsidRDefault="00DE4516" w:rsidP="00DE4516">
            <w:pPr>
              <w:pStyle w:val="TableBody"/>
              <w:autoSpaceDE w:val="0"/>
              <w:autoSpaceDN w:val="0"/>
              <w:adjustRightInd w:val="0"/>
              <w:jc w:val="both"/>
              <w:rPr>
                <w:szCs w:val="16"/>
              </w:rPr>
            </w:pPr>
            <w:r w:rsidRPr="00A46ADC">
              <w:t>Established by Royal Decree No. 89/2020.</w:t>
            </w:r>
            <w:r w:rsidRPr="00A46ADC">
              <w:br/>
              <w:t>Replaced the Civil Service Council, the Ministry of Manpower, the Ministry of Civil Service, the National Training Fund, and the National Centre for Employment.</w:t>
            </w:r>
          </w:p>
        </w:tc>
      </w:tr>
    </w:tbl>
    <w:p w14:paraId="38E07716" w14:textId="79D15A66" w:rsidR="00DE4516" w:rsidRDefault="00DE4516">
      <w:pPr>
        <w:pStyle w:val="TableSource"/>
        <w:autoSpaceDE w:val="0"/>
        <w:autoSpaceDN w:val="0"/>
        <w:adjustRightInd w:val="0"/>
        <w:rPr>
          <w:szCs w:val="24"/>
        </w:rPr>
      </w:pPr>
      <w:r>
        <w:rPr>
          <w:szCs w:val="24"/>
        </w:rPr>
        <w:t>Source:</w:t>
      </w:r>
      <w:r>
        <w:rPr>
          <w:szCs w:val="24"/>
        </w:rPr>
        <w:tab/>
        <w:t>Compiled by the WTO Secretariat, based on information provided by the authorities.</w:t>
      </w:r>
    </w:p>
    <w:p w14:paraId="164566FA" w14:textId="77777777" w:rsidR="00DE4516" w:rsidRDefault="00DE4516">
      <w:pPr>
        <w:pStyle w:val="BodyText0"/>
        <w:autoSpaceDE w:val="0"/>
        <w:autoSpaceDN w:val="0"/>
        <w:adjustRightInd w:val="0"/>
        <w:rPr>
          <w:szCs w:val="24"/>
        </w:rPr>
      </w:pPr>
      <w:r>
        <w:rPr>
          <w:szCs w:val="24"/>
        </w:rPr>
        <w:t>In order of decreasing importance, the Basic Statute of the State is followed by Royal Decrees and laws, and secondary legislation such as ministerial decisions and resolutions and executive regulations.</w:t>
      </w:r>
      <w:r w:rsidRPr="00DE4516">
        <w:rPr>
          <w:rStyle w:val="FootnoteReference"/>
        </w:rPr>
        <w:footnoteReference w:id="28"/>
      </w:r>
      <w:r>
        <w:rPr>
          <w:szCs w:val="24"/>
        </w:rPr>
        <w:t xml:space="preserve"> The application of the Basic Statute of the State shall not prejudice treaties and agreements the Sultanate has </w:t>
      </w:r>
      <w:proofErr w:type="gramStart"/>
      <w:r>
        <w:rPr>
          <w:szCs w:val="24"/>
        </w:rPr>
        <w:t>entered into</w:t>
      </w:r>
      <w:proofErr w:type="gramEnd"/>
      <w:r>
        <w:rPr>
          <w:szCs w:val="24"/>
        </w:rPr>
        <w:t xml:space="preserve"> with other countries, or with international institutions or organizations. The authorities indicate that international agreements and treaties, after their ratification, are considered domestic law and can be invoked before domestic courts.</w:t>
      </w:r>
    </w:p>
    <w:p w14:paraId="7F8C5271" w14:textId="77777777" w:rsidR="00DE4516" w:rsidRDefault="00DE4516">
      <w:pPr>
        <w:pStyle w:val="Heading20"/>
        <w:autoSpaceDE w:val="0"/>
        <w:autoSpaceDN w:val="0"/>
        <w:adjustRightInd w:val="0"/>
        <w:rPr>
          <w:szCs w:val="24"/>
        </w:rPr>
      </w:pPr>
      <w:r>
        <w:rPr>
          <w:szCs w:val="24"/>
        </w:rPr>
        <w:t>Trade Policy Formulation and Objectives</w:t>
      </w:r>
    </w:p>
    <w:p w14:paraId="4543C026" w14:textId="77777777" w:rsidR="00DE4516" w:rsidRDefault="00DE4516">
      <w:pPr>
        <w:pStyle w:val="BodyText0"/>
        <w:autoSpaceDE w:val="0"/>
        <w:autoSpaceDN w:val="0"/>
        <w:adjustRightInd w:val="0"/>
        <w:rPr>
          <w:szCs w:val="24"/>
        </w:rPr>
      </w:pPr>
      <w:r>
        <w:rPr>
          <w:szCs w:val="24"/>
        </w:rPr>
        <w:t>Oman's long-term economic goals are laid out in Oman Vision 2040, which was published in 2019 and replaced the Long-term Development Strategy (1996-2020). These goals are to achieve developed country status by 2040, diversify production and enhance the contribution of non</w:t>
      </w:r>
      <w:r>
        <w:rPr>
          <w:szCs w:val="24"/>
        </w:rPr>
        <w:noBreakHyphen/>
        <w:t xml:space="preserve">oil sectors, and create employment opportunities for the country's skilled labour force. </w:t>
      </w:r>
      <w:proofErr w:type="gramStart"/>
      <w:r>
        <w:rPr>
          <w:szCs w:val="24"/>
        </w:rPr>
        <w:t>In particular, Oman Vision</w:t>
      </w:r>
      <w:proofErr w:type="gramEnd"/>
      <w:r>
        <w:rPr>
          <w:szCs w:val="24"/>
        </w:rPr>
        <w:t xml:space="preserve"> 2040 envisions the share of the non</w:t>
      </w:r>
      <w:r>
        <w:rPr>
          <w:szCs w:val="24"/>
        </w:rPr>
        <w:noBreakHyphen/>
        <w:t>oil sector growing to 90% of gross domestic product (GDP).</w:t>
      </w:r>
    </w:p>
    <w:p w14:paraId="532F3876" w14:textId="77777777" w:rsidR="00DE4516" w:rsidRDefault="00DE4516">
      <w:pPr>
        <w:pStyle w:val="BodyText0"/>
        <w:autoSpaceDE w:val="0"/>
        <w:autoSpaceDN w:val="0"/>
        <w:adjustRightInd w:val="0"/>
        <w:rPr>
          <w:szCs w:val="24"/>
        </w:rPr>
      </w:pPr>
      <w:r>
        <w:rPr>
          <w:szCs w:val="24"/>
        </w:rPr>
        <w:t xml:space="preserve">Diversifying production away from oil and gas and reducing state ownership have been two of Oman's main economic goals for years. However, success towards meeting these objectives was limited. </w:t>
      </w:r>
      <w:r>
        <w:rPr>
          <w:szCs w:val="24"/>
          <w:highlight w:val="white"/>
        </w:rPr>
        <w:t>Central Bank of Oman figures indicate that in 2018 the hydrocarbon sector still represented 36% of nominal GDP and 78.2% of government revenues.</w:t>
      </w:r>
      <w:r w:rsidRPr="00DE4516">
        <w:rPr>
          <w:rStyle w:val="FootnoteReference"/>
        </w:rPr>
        <w:footnoteReference w:id="29"/>
      </w:r>
    </w:p>
    <w:p w14:paraId="5595EBB8" w14:textId="77777777" w:rsidR="00DE4516" w:rsidRDefault="00DE4516">
      <w:pPr>
        <w:pStyle w:val="BodyText0"/>
        <w:autoSpaceDE w:val="0"/>
        <w:autoSpaceDN w:val="0"/>
        <w:adjustRightInd w:val="0"/>
        <w:rPr>
          <w:szCs w:val="24"/>
        </w:rPr>
      </w:pPr>
      <w:r>
        <w:rPr>
          <w:szCs w:val="24"/>
        </w:rPr>
        <w:t>On trade issues, Oman Vision 2040 has similar objectives to those of the Long-term Development Strategy (1996-2020), that is, to</w:t>
      </w:r>
      <w:r>
        <w:rPr>
          <w:szCs w:val="24"/>
          <w:highlight w:val="white"/>
        </w:rPr>
        <w:t>: (</w:t>
      </w:r>
      <w:proofErr w:type="spellStart"/>
      <w:r>
        <w:rPr>
          <w:szCs w:val="24"/>
          <w:highlight w:val="white"/>
        </w:rPr>
        <w:t>i</w:t>
      </w:r>
      <w:proofErr w:type="spellEnd"/>
      <w:r>
        <w:rPr>
          <w:szCs w:val="24"/>
          <w:highlight w:val="white"/>
        </w:rPr>
        <w:t>) improve the ease of doing business in Oman; (ii) attract foreign investment; (iii) create a more competitive and diversified economy; and (iv) position Oman as a commercial hub. To achieve diversification of traded products and trading partners, the Vision advocates for partnership building, especially for the exportation of high-tech and value-added components.</w:t>
      </w:r>
      <w:r w:rsidRPr="00DE4516">
        <w:rPr>
          <w:rStyle w:val="FootnoteReference"/>
        </w:rPr>
        <w:footnoteReference w:id="30"/>
      </w:r>
      <w:r>
        <w:rPr>
          <w:szCs w:val="24"/>
          <w:highlight w:val="white"/>
        </w:rPr>
        <w:t xml:space="preserve"> In 2016, the Government established an Implementation Support and Follow-Up Unit to accelerate diversification efforts.</w:t>
      </w:r>
      <w:r w:rsidRPr="00DE4516">
        <w:rPr>
          <w:rStyle w:val="FootnoteReference"/>
        </w:rPr>
        <w:footnoteReference w:id="31"/>
      </w:r>
    </w:p>
    <w:p w14:paraId="7380DE69" w14:textId="77777777" w:rsidR="00DE4516" w:rsidRDefault="00DE4516">
      <w:pPr>
        <w:pStyle w:val="BodyText0"/>
        <w:autoSpaceDE w:val="0"/>
        <w:autoSpaceDN w:val="0"/>
        <w:adjustRightInd w:val="0"/>
        <w:rPr>
          <w:szCs w:val="24"/>
        </w:rPr>
      </w:pPr>
      <w:r>
        <w:rPr>
          <w:szCs w:val="24"/>
        </w:rPr>
        <w:t>Creating more employment opportunities remains an important objective. Through an "</w:t>
      </w:r>
      <w:proofErr w:type="spellStart"/>
      <w:r>
        <w:rPr>
          <w:szCs w:val="24"/>
        </w:rPr>
        <w:t>Omanization</w:t>
      </w:r>
      <w:proofErr w:type="spellEnd"/>
      <w:r>
        <w:rPr>
          <w:szCs w:val="24"/>
        </w:rPr>
        <w:t>" process, native Omanis are encouraged to take part in the labour force, especially in the private sector. The recent Privatization Law (Royal Decree No. 51/2019) has the objective to stimulate private sector growth. In addition, the Public Authority for Privatization and Partnership, which was created in 2019 and merged into the Ministry of Finance in 2020, aims to attract both domestic and foreign private companies into infrastructure and public service projects.</w:t>
      </w:r>
    </w:p>
    <w:p w14:paraId="31E169EA" w14:textId="77777777" w:rsidR="00DE4516" w:rsidRDefault="00DE4516">
      <w:pPr>
        <w:pStyle w:val="BodyText0"/>
        <w:autoSpaceDE w:val="0"/>
        <w:autoSpaceDN w:val="0"/>
        <w:adjustRightInd w:val="0"/>
        <w:rPr>
          <w:szCs w:val="24"/>
        </w:rPr>
      </w:pPr>
      <w:r>
        <w:rPr>
          <w:szCs w:val="24"/>
        </w:rPr>
        <w:t xml:space="preserve">Under the long-term strategies, successive five-year plans have been used since 1996 to guide economic policy. The 2016-2020 Five-Year Development Plan initiated the </w:t>
      </w:r>
      <w:proofErr w:type="spellStart"/>
      <w:r>
        <w:rPr>
          <w:szCs w:val="24"/>
        </w:rPr>
        <w:t>Tanfeedh</w:t>
      </w:r>
      <w:proofErr w:type="spellEnd"/>
      <w:r>
        <w:rPr>
          <w:szCs w:val="24"/>
        </w:rPr>
        <w:t xml:space="preserve"> </w:t>
      </w:r>
      <w:r>
        <w:rPr>
          <w:szCs w:val="24"/>
        </w:rPr>
        <w:lastRenderedPageBreak/>
        <w:t>programme to support various sectors, such as manufacturing, tourism, mining, fishery, transportation, and logistics, to diversify income sources.</w:t>
      </w:r>
    </w:p>
    <w:p w14:paraId="2FA914F1" w14:textId="77777777" w:rsidR="00DE4516" w:rsidRDefault="00DE4516">
      <w:pPr>
        <w:pStyle w:val="BodyText0"/>
        <w:autoSpaceDE w:val="0"/>
        <w:autoSpaceDN w:val="0"/>
        <w:adjustRightInd w:val="0"/>
        <w:rPr>
          <w:szCs w:val="24"/>
        </w:rPr>
      </w:pPr>
      <w:r>
        <w:rPr>
          <w:szCs w:val="24"/>
        </w:rPr>
        <w:t>Formulation of trade policy is under the responsibility of the MOCIIP, in coordination with other ministries. The private sector provides inputs to trade policy formulation through the Chamber of Commerce and Industry, which has 17 specialized committees covering a vast array of economic issues including tourism, industry, food security, and labour.</w:t>
      </w:r>
      <w:r w:rsidRPr="00DE4516">
        <w:rPr>
          <w:rStyle w:val="FootnoteReference"/>
        </w:rPr>
        <w:footnoteReference w:id="32"/>
      </w:r>
    </w:p>
    <w:p w14:paraId="049540B7" w14:textId="77777777" w:rsidR="00DE4516" w:rsidRDefault="00DE4516">
      <w:pPr>
        <w:pStyle w:val="BodyText0"/>
        <w:autoSpaceDE w:val="0"/>
        <w:autoSpaceDN w:val="0"/>
        <w:adjustRightInd w:val="0"/>
        <w:rPr>
          <w:szCs w:val="24"/>
        </w:rPr>
      </w:pPr>
      <w:r>
        <w:rPr>
          <w:szCs w:val="24"/>
        </w:rPr>
        <w:t>The National Committee (NC), created in 2001, deals with all WTO-related matters. It acts under the chair of the MOCIIP. It comprises representatives from various ministries, the customs authority, and the private sector. It meets several times a year. Furthermore, a committee on Gulf Cooperation Council (GCC) issues, which meets four times a year, also deals with WTO issues, but at the regional level.</w:t>
      </w:r>
    </w:p>
    <w:p w14:paraId="6CE053D1" w14:textId="77777777" w:rsidR="00DE4516" w:rsidRDefault="00DE4516">
      <w:pPr>
        <w:pStyle w:val="BodyText0"/>
        <w:autoSpaceDE w:val="0"/>
        <w:autoSpaceDN w:val="0"/>
        <w:adjustRightInd w:val="0"/>
        <w:rPr>
          <w:szCs w:val="24"/>
        </w:rPr>
      </w:pPr>
      <w:r>
        <w:rPr>
          <w:szCs w:val="24"/>
        </w:rPr>
        <w:t>In 2014, Oman established the National Committee on Trade Facilitation to comply with Article 23.2 of the WTO Trade Facilitation Agreement. The Committee is composed of both governmental authorities and private sector representatives. Its main objective is to facilitate trade while modernizing border enforcement services.</w:t>
      </w:r>
      <w:r w:rsidRPr="00DE4516">
        <w:rPr>
          <w:rStyle w:val="FootnoteReference"/>
        </w:rPr>
        <w:footnoteReference w:id="33"/>
      </w:r>
    </w:p>
    <w:p w14:paraId="74FC60A0" w14:textId="77777777" w:rsidR="00DE4516" w:rsidRDefault="00DE4516">
      <w:pPr>
        <w:pStyle w:val="BodyText0"/>
        <w:autoSpaceDE w:val="0"/>
        <w:autoSpaceDN w:val="0"/>
        <w:adjustRightInd w:val="0"/>
        <w:rPr>
          <w:szCs w:val="24"/>
        </w:rPr>
      </w:pPr>
      <w:r>
        <w:rPr>
          <w:rStyle w:val="citetbl"/>
          <w:szCs w:val="24"/>
        </w:rPr>
        <w:t>Table 2.2</w:t>
      </w:r>
      <w:r>
        <w:rPr>
          <w:szCs w:val="24"/>
        </w:rPr>
        <w:t> shows Oman's main trade and trade-related laws. Since its last Review in 2014, Oman has adopted new legislation on monopoly and consumer protection, a legal framework for commercial companies, and foreign investment. It has also ratified the Trade Facilitation Agreement and the Protocol Amending the TRIPS Agreement.</w:t>
      </w:r>
    </w:p>
    <w:p w14:paraId="1113C2F4" w14:textId="77777777" w:rsidR="00DE4516" w:rsidRDefault="00DE4516">
      <w:pPr>
        <w:pStyle w:val="TableTitle"/>
        <w:autoSpaceDE w:val="0"/>
        <w:autoSpaceDN w:val="0"/>
        <w:adjustRightInd w:val="0"/>
      </w:pPr>
      <w:r>
        <w:t>Table 2.2 Main trade-related laws, 2021</w:t>
      </w:r>
    </w:p>
    <w:tbl>
      <w:tblPr>
        <w:tblStyle w:val="WTOTable1"/>
        <w:tblW w:w="9030" w:type="dxa"/>
        <w:tblLayout w:type="fixed"/>
        <w:tblLook w:val="05E0" w:firstRow="1" w:lastRow="1" w:firstColumn="1" w:lastColumn="1" w:noHBand="0" w:noVBand="1"/>
      </w:tblPr>
      <w:tblGrid>
        <w:gridCol w:w="4515"/>
        <w:gridCol w:w="4515"/>
      </w:tblGrid>
      <w:tr w:rsidR="00DE4516" w:rsidRPr="007F015E" w14:paraId="52272E5A"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4515" w:type="dxa"/>
            <w:tcBorders>
              <w:top w:val="single" w:sz="4" w:space="0" w:color="auto"/>
            </w:tcBorders>
            <w:vAlign w:val="center"/>
            <w:hideMark/>
          </w:tcPr>
          <w:p w14:paraId="0978CED0" w14:textId="77777777" w:rsidR="00DE4516" w:rsidRPr="007F015E" w:rsidRDefault="00DE4516" w:rsidP="00DE4516">
            <w:pPr>
              <w:pStyle w:val="TableHead"/>
              <w:autoSpaceDE w:val="0"/>
              <w:autoSpaceDN w:val="0"/>
              <w:adjustRightInd w:val="0"/>
              <w:jc w:val="both"/>
              <w:rPr>
                <w:b/>
                <w:szCs w:val="16"/>
              </w:rPr>
            </w:pPr>
            <w:r w:rsidRPr="007F015E">
              <w:rPr>
                <w:b/>
              </w:rPr>
              <w:t>Legislation</w:t>
            </w:r>
          </w:p>
        </w:tc>
        <w:tc>
          <w:tcPr>
            <w:tcW w:w="4515" w:type="dxa"/>
            <w:tcBorders>
              <w:top w:val="single" w:sz="4" w:space="0" w:color="auto"/>
            </w:tcBorders>
            <w:vAlign w:val="center"/>
            <w:hideMark/>
          </w:tcPr>
          <w:p w14:paraId="7AA2C9DD" w14:textId="77777777" w:rsidR="00DE4516" w:rsidRPr="007F015E" w:rsidRDefault="00DE4516" w:rsidP="00DE4516">
            <w:pPr>
              <w:pStyle w:val="TableHead"/>
              <w:autoSpaceDE w:val="0"/>
              <w:autoSpaceDN w:val="0"/>
              <w:adjustRightInd w:val="0"/>
              <w:jc w:val="both"/>
              <w:rPr>
                <w:b/>
                <w:szCs w:val="16"/>
              </w:rPr>
            </w:pPr>
            <w:r w:rsidRPr="007F015E">
              <w:rPr>
                <w:b/>
              </w:rPr>
              <w:t>Issue</w:t>
            </w:r>
          </w:p>
        </w:tc>
      </w:tr>
      <w:tr w:rsidR="00DE4516" w:rsidRPr="007B09BB" w14:paraId="7EEB0270" w14:textId="77777777" w:rsidTr="002C718D">
        <w:trPr>
          <w:cantSplit/>
        </w:trPr>
        <w:tc>
          <w:tcPr>
            <w:tcW w:w="4515" w:type="dxa"/>
            <w:hideMark/>
          </w:tcPr>
          <w:p w14:paraId="442A1154" w14:textId="77777777" w:rsidR="00DE4516" w:rsidRPr="00A46ADC" w:rsidRDefault="00DE4516" w:rsidP="00DE4516">
            <w:pPr>
              <w:pStyle w:val="TableBody"/>
              <w:autoSpaceDE w:val="0"/>
              <w:autoSpaceDN w:val="0"/>
              <w:adjustRightInd w:val="0"/>
              <w:jc w:val="both"/>
              <w:rPr>
                <w:szCs w:val="16"/>
              </w:rPr>
            </w:pPr>
            <w:r w:rsidRPr="00A46ADC">
              <w:t>Royal Decree No. 39/1976, 20 October 1976</w:t>
            </w:r>
          </w:p>
        </w:tc>
        <w:tc>
          <w:tcPr>
            <w:tcW w:w="4515" w:type="dxa"/>
            <w:hideMark/>
          </w:tcPr>
          <w:p w14:paraId="1CE7AD2B" w14:textId="77777777" w:rsidR="00DE4516" w:rsidRPr="00A46ADC" w:rsidRDefault="00DE4516" w:rsidP="00DE4516">
            <w:pPr>
              <w:pStyle w:val="TableBody"/>
              <w:autoSpaceDE w:val="0"/>
              <w:autoSpaceDN w:val="0"/>
              <w:adjustRightInd w:val="0"/>
              <w:jc w:val="both"/>
              <w:rPr>
                <w:szCs w:val="16"/>
              </w:rPr>
            </w:pPr>
            <w:r w:rsidRPr="00A46ADC">
              <w:t>Establishment of Directorate General for Specification and Measurements</w:t>
            </w:r>
          </w:p>
        </w:tc>
      </w:tr>
      <w:tr w:rsidR="00DE4516" w:rsidRPr="007B09BB" w14:paraId="412CE5D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hideMark/>
          </w:tcPr>
          <w:p w14:paraId="18C98F41" w14:textId="77777777" w:rsidR="00DE4516" w:rsidRPr="00A46ADC" w:rsidRDefault="00DE4516" w:rsidP="00DE4516">
            <w:pPr>
              <w:pStyle w:val="TableBody"/>
              <w:autoSpaceDE w:val="0"/>
              <w:autoSpaceDN w:val="0"/>
              <w:adjustRightInd w:val="0"/>
              <w:jc w:val="both"/>
              <w:rPr>
                <w:szCs w:val="16"/>
              </w:rPr>
            </w:pPr>
            <w:r w:rsidRPr="00A46ADC">
              <w:t>Royal Decree No. 63/1998, 19 September 1998</w:t>
            </w:r>
          </w:p>
        </w:tc>
        <w:tc>
          <w:tcPr>
            <w:tcW w:w="4515" w:type="dxa"/>
            <w:hideMark/>
          </w:tcPr>
          <w:p w14:paraId="0789812A" w14:textId="77777777" w:rsidR="00DE4516" w:rsidRPr="00A46ADC" w:rsidRDefault="00DE4516" w:rsidP="00DE4516">
            <w:pPr>
              <w:pStyle w:val="TableBody"/>
              <w:autoSpaceDE w:val="0"/>
              <w:autoSpaceDN w:val="0"/>
              <w:adjustRightInd w:val="0"/>
              <w:jc w:val="both"/>
              <w:rPr>
                <w:szCs w:val="16"/>
              </w:rPr>
            </w:pPr>
            <w:r w:rsidRPr="00A46ADC">
              <w:t>Ratification of the Paris and Berne Conventions</w:t>
            </w:r>
          </w:p>
        </w:tc>
      </w:tr>
      <w:tr w:rsidR="00DE4516" w:rsidRPr="007B09BB" w14:paraId="50EAB1A5" w14:textId="77777777" w:rsidTr="002C718D">
        <w:trPr>
          <w:cantSplit/>
        </w:trPr>
        <w:tc>
          <w:tcPr>
            <w:tcW w:w="4515" w:type="dxa"/>
          </w:tcPr>
          <w:p w14:paraId="727A9B82" w14:textId="77777777" w:rsidR="00DE4516" w:rsidRPr="00A46ADC" w:rsidRDefault="00DE4516" w:rsidP="00DE4516">
            <w:pPr>
              <w:pStyle w:val="TableBody"/>
              <w:autoSpaceDE w:val="0"/>
              <w:autoSpaceDN w:val="0"/>
              <w:adjustRightInd w:val="0"/>
              <w:jc w:val="both"/>
              <w:rPr>
                <w:szCs w:val="16"/>
              </w:rPr>
            </w:pPr>
            <w:r w:rsidRPr="00A46ADC">
              <w:t>Royal Decree No. 109/2000, 15 November 2000</w:t>
            </w:r>
          </w:p>
        </w:tc>
        <w:tc>
          <w:tcPr>
            <w:tcW w:w="4515" w:type="dxa"/>
          </w:tcPr>
          <w:p w14:paraId="64ACB6B9" w14:textId="77777777" w:rsidR="00DE4516" w:rsidRPr="00A46ADC" w:rsidRDefault="00DE4516" w:rsidP="00DE4516">
            <w:pPr>
              <w:pStyle w:val="TableBody"/>
              <w:autoSpaceDE w:val="0"/>
              <w:autoSpaceDN w:val="0"/>
              <w:adjustRightInd w:val="0"/>
              <w:jc w:val="both"/>
              <w:rPr>
                <w:szCs w:val="16"/>
              </w:rPr>
            </w:pPr>
            <w:r w:rsidRPr="00A46ADC">
              <w:t>Hallmarking scheme for precious metals</w:t>
            </w:r>
          </w:p>
        </w:tc>
      </w:tr>
      <w:tr w:rsidR="00DE4516" w:rsidRPr="007B09BB" w14:paraId="5C5A927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56ADE9FF" w14:textId="77777777" w:rsidR="00DE4516" w:rsidRPr="00A46ADC" w:rsidRDefault="00DE4516" w:rsidP="00DE4516">
            <w:pPr>
              <w:pStyle w:val="TableBody"/>
              <w:autoSpaceDE w:val="0"/>
              <w:autoSpaceDN w:val="0"/>
              <w:adjustRightInd w:val="0"/>
              <w:jc w:val="both"/>
              <w:rPr>
                <w:szCs w:val="16"/>
              </w:rPr>
            </w:pPr>
            <w:r w:rsidRPr="00A46ADC">
              <w:t>Royal Decree No. 112/2000, 15 November 2000</w:t>
            </w:r>
          </w:p>
        </w:tc>
        <w:tc>
          <w:tcPr>
            <w:tcW w:w="4515" w:type="dxa"/>
          </w:tcPr>
          <w:p w14:paraId="68F6BA6B" w14:textId="77777777" w:rsidR="00DE4516" w:rsidRPr="00A46ADC" w:rsidRDefault="00DE4516" w:rsidP="00DE4516">
            <w:pPr>
              <w:pStyle w:val="TableBody"/>
              <w:autoSpaceDE w:val="0"/>
              <w:autoSpaceDN w:val="0"/>
              <w:adjustRightInd w:val="0"/>
              <w:jc w:val="both"/>
              <w:rPr>
                <w:szCs w:val="16"/>
              </w:rPr>
            </w:pPr>
            <w:r w:rsidRPr="00A46ADC">
              <w:t>Ratification of WTO accession</w:t>
            </w:r>
          </w:p>
        </w:tc>
      </w:tr>
      <w:tr w:rsidR="00DE4516" w:rsidRPr="007B09BB" w14:paraId="267A13A8" w14:textId="77777777" w:rsidTr="002C718D">
        <w:trPr>
          <w:cantSplit/>
        </w:trPr>
        <w:tc>
          <w:tcPr>
            <w:tcW w:w="4515" w:type="dxa"/>
          </w:tcPr>
          <w:p w14:paraId="19B16873" w14:textId="77777777" w:rsidR="00DE4516" w:rsidRPr="00A46ADC" w:rsidRDefault="00DE4516" w:rsidP="00DE4516">
            <w:pPr>
              <w:pStyle w:val="TableBody"/>
              <w:autoSpaceDE w:val="0"/>
              <w:autoSpaceDN w:val="0"/>
              <w:adjustRightInd w:val="0"/>
              <w:jc w:val="both"/>
              <w:rPr>
                <w:szCs w:val="16"/>
              </w:rPr>
            </w:pPr>
            <w:r w:rsidRPr="00A46ADC">
              <w:t>Royal Decree No. 56/2002, 22 May 2002</w:t>
            </w:r>
          </w:p>
        </w:tc>
        <w:tc>
          <w:tcPr>
            <w:tcW w:w="4515" w:type="dxa"/>
          </w:tcPr>
          <w:p w14:paraId="4600C45E" w14:textId="77777777" w:rsidR="00DE4516" w:rsidRPr="00A46ADC" w:rsidRDefault="00DE4516" w:rsidP="00DE4516">
            <w:pPr>
              <w:pStyle w:val="TableBody"/>
              <w:autoSpaceDE w:val="0"/>
              <w:autoSpaceDN w:val="0"/>
              <w:adjustRightInd w:val="0"/>
              <w:jc w:val="both"/>
              <w:rPr>
                <w:szCs w:val="16"/>
              </w:rPr>
            </w:pPr>
            <w:r w:rsidRPr="00A46ADC">
              <w:t>Export processing zones</w:t>
            </w:r>
          </w:p>
        </w:tc>
      </w:tr>
      <w:tr w:rsidR="00DE4516" w:rsidRPr="007B09BB" w14:paraId="39384B5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3450CEC7" w14:textId="77777777" w:rsidR="00DE4516" w:rsidRPr="00A46ADC" w:rsidRDefault="00DE4516" w:rsidP="00DE4516">
            <w:pPr>
              <w:pStyle w:val="TableBody"/>
              <w:autoSpaceDE w:val="0"/>
              <w:autoSpaceDN w:val="0"/>
              <w:adjustRightInd w:val="0"/>
              <w:jc w:val="both"/>
              <w:rPr>
                <w:szCs w:val="16"/>
              </w:rPr>
            </w:pPr>
            <w:r w:rsidRPr="00A46ADC">
              <w:t>Royal Decree No. 67/2003, 28 September 2003</w:t>
            </w:r>
          </w:p>
        </w:tc>
        <w:tc>
          <w:tcPr>
            <w:tcW w:w="4515" w:type="dxa"/>
          </w:tcPr>
          <w:p w14:paraId="1B196B5B" w14:textId="77777777" w:rsidR="00DE4516" w:rsidRPr="00A46ADC" w:rsidRDefault="00DE4516" w:rsidP="00DE4516">
            <w:pPr>
              <w:pStyle w:val="TableBody"/>
              <w:autoSpaceDE w:val="0"/>
              <w:autoSpaceDN w:val="0"/>
              <w:adjustRightInd w:val="0"/>
              <w:jc w:val="both"/>
              <w:rPr>
                <w:szCs w:val="16"/>
              </w:rPr>
            </w:pPr>
            <w:r w:rsidRPr="00A46ADC">
              <w:t xml:space="preserve">Implementation of GCC Common Customs Law, tariff, customs </w:t>
            </w:r>
            <w:proofErr w:type="gramStart"/>
            <w:r w:rsidRPr="00A46ADC">
              <w:t>valuation</w:t>
            </w:r>
            <w:proofErr w:type="gramEnd"/>
            <w:r w:rsidRPr="00A46ADC">
              <w:t xml:space="preserve"> and procedures, and import prohibitions and restrictions</w:t>
            </w:r>
          </w:p>
        </w:tc>
      </w:tr>
      <w:tr w:rsidR="00DE4516" w:rsidRPr="007B09BB" w14:paraId="29C37A48" w14:textId="77777777" w:rsidTr="002C718D">
        <w:trPr>
          <w:cantSplit/>
        </w:trPr>
        <w:tc>
          <w:tcPr>
            <w:tcW w:w="4515" w:type="dxa"/>
          </w:tcPr>
          <w:p w14:paraId="3FAF14CF" w14:textId="77777777" w:rsidR="00DE4516" w:rsidRPr="00A46ADC" w:rsidRDefault="00DE4516" w:rsidP="00DE4516">
            <w:pPr>
              <w:pStyle w:val="TableBody"/>
              <w:autoSpaceDE w:val="0"/>
              <w:autoSpaceDN w:val="0"/>
              <w:adjustRightInd w:val="0"/>
              <w:jc w:val="both"/>
              <w:rPr>
                <w:szCs w:val="16"/>
              </w:rPr>
            </w:pPr>
            <w:r w:rsidRPr="00A46ADC">
              <w:t>Royal Decrees No. 45/2004, 3 May 2004, and No. 47/2004, 5 May 2004</w:t>
            </w:r>
          </w:p>
        </w:tc>
        <w:tc>
          <w:tcPr>
            <w:tcW w:w="4515" w:type="dxa"/>
          </w:tcPr>
          <w:p w14:paraId="3ABE18A0" w14:textId="77777777" w:rsidR="00DE4516" w:rsidRPr="00A46ADC" w:rsidRDefault="00DE4516" w:rsidP="00DE4516">
            <w:pPr>
              <w:pStyle w:val="TableBody"/>
              <w:autoSpaceDE w:val="0"/>
              <w:autoSpaceDN w:val="0"/>
              <w:adjustRightInd w:val="0"/>
              <w:jc w:val="both"/>
              <w:rPr>
                <w:szCs w:val="16"/>
              </w:rPr>
            </w:pPr>
            <w:r w:rsidRPr="00A46ADC">
              <w:t>Implementation of GCC Common Laws on Veterinary Quarantine and Plant Quarantine</w:t>
            </w:r>
          </w:p>
        </w:tc>
      </w:tr>
      <w:tr w:rsidR="00DE4516" w:rsidRPr="007B09BB" w14:paraId="5292FF92"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4B36F2EC" w14:textId="77777777" w:rsidR="00DE4516" w:rsidRPr="00A46ADC" w:rsidRDefault="00DE4516" w:rsidP="00DE4516">
            <w:pPr>
              <w:pStyle w:val="TableBody"/>
              <w:autoSpaceDE w:val="0"/>
              <w:autoSpaceDN w:val="0"/>
              <w:adjustRightInd w:val="0"/>
              <w:jc w:val="both"/>
              <w:rPr>
                <w:szCs w:val="16"/>
              </w:rPr>
            </w:pPr>
            <w:r w:rsidRPr="00A46ADC">
              <w:t>Royal Decree No. 36/2008, 24 March 2008</w:t>
            </w:r>
          </w:p>
        </w:tc>
        <w:tc>
          <w:tcPr>
            <w:tcW w:w="4515" w:type="dxa"/>
          </w:tcPr>
          <w:p w14:paraId="16122E9D" w14:textId="77777777" w:rsidR="00DE4516" w:rsidRPr="00A46ADC" w:rsidRDefault="00DE4516" w:rsidP="00DE4516">
            <w:pPr>
              <w:pStyle w:val="TableBody"/>
              <w:autoSpaceDE w:val="0"/>
              <w:autoSpaceDN w:val="0"/>
              <w:adjustRightInd w:val="0"/>
              <w:jc w:val="both"/>
              <w:rPr>
                <w:szCs w:val="16"/>
              </w:rPr>
            </w:pPr>
            <w:r w:rsidRPr="00A46ADC">
              <w:t>Government procurement</w:t>
            </w:r>
          </w:p>
        </w:tc>
      </w:tr>
      <w:tr w:rsidR="00DE4516" w:rsidRPr="007B09BB" w14:paraId="35D63F11" w14:textId="77777777" w:rsidTr="002C718D">
        <w:trPr>
          <w:cantSplit/>
        </w:trPr>
        <w:tc>
          <w:tcPr>
            <w:tcW w:w="4515" w:type="dxa"/>
          </w:tcPr>
          <w:p w14:paraId="6C636944" w14:textId="77777777" w:rsidR="00DE4516" w:rsidRPr="00A46ADC" w:rsidRDefault="00DE4516" w:rsidP="00DE4516">
            <w:pPr>
              <w:pStyle w:val="TableBody"/>
              <w:autoSpaceDE w:val="0"/>
              <w:autoSpaceDN w:val="0"/>
              <w:adjustRightInd w:val="0"/>
              <w:jc w:val="both"/>
              <w:rPr>
                <w:szCs w:val="16"/>
              </w:rPr>
            </w:pPr>
            <w:r w:rsidRPr="00A46ADC">
              <w:t>Royal Decrees No. 65/2008, 4 May 2008, and No. 132/2008, 16 August 2008</w:t>
            </w:r>
          </w:p>
        </w:tc>
        <w:tc>
          <w:tcPr>
            <w:tcW w:w="4515" w:type="dxa"/>
          </w:tcPr>
          <w:p w14:paraId="3CCA3EC1" w14:textId="77777777" w:rsidR="00DE4516" w:rsidRPr="00A46ADC" w:rsidRDefault="00DE4516" w:rsidP="00DE4516">
            <w:pPr>
              <w:pStyle w:val="TableBody"/>
              <w:autoSpaceDE w:val="0"/>
              <w:autoSpaceDN w:val="0"/>
              <w:adjustRightInd w:val="0"/>
              <w:jc w:val="both"/>
              <w:rPr>
                <w:szCs w:val="16"/>
              </w:rPr>
            </w:pPr>
            <w:r w:rsidRPr="00A46ADC">
              <w:t>Copyright and related rights</w:t>
            </w:r>
          </w:p>
        </w:tc>
      </w:tr>
      <w:tr w:rsidR="00DE4516" w:rsidRPr="007B09BB" w14:paraId="21897491"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773E378E" w14:textId="77777777" w:rsidR="00DE4516" w:rsidRPr="00A46ADC" w:rsidRDefault="00DE4516" w:rsidP="00DE4516">
            <w:pPr>
              <w:pStyle w:val="TableBody"/>
              <w:autoSpaceDE w:val="0"/>
              <w:autoSpaceDN w:val="0"/>
              <w:adjustRightInd w:val="0"/>
              <w:jc w:val="both"/>
              <w:rPr>
                <w:szCs w:val="16"/>
              </w:rPr>
            </w:pPr>
            <w:r w:rsidRPr="00A46ADC">
              <w:t>Royal Decree No. 67/2008, 12 May 2008</w:t>
            </w:r>
          </w:p>
        </w:tc>
        <w:tc>
          <w:tcPr>
            <w:tcW w:w="4515" w:type="dxa"/>
          </w:tcPr>
          <w:p w14:paraId="28E62E42" w14:textId="77777777" w:rsidR="00DE4516" w:rsidRPr="00A46ADC" w:rsidRDefault="00DE4516" w:rsidP="00DE4516">
            <w:pPr>
              <w:pStyle w:val="TableBody"/>
              <w:autoSpaceDE w:val="0"/>
              <w:autoSpaceDN w:val="0"/>
              <w:adjustRightInd w:val="0"/>
              <w:jc w:val="both"/>
              <w:rPr>
                <w:szCs w:val="16"/>
              </w:rPr>
            </w:pPr>
            <w:r w:rsidRPr="00A46ADC">
              <w:t>Industrial property rights</w:t>
            </w:r>
          </w:p>
        </w:tc>
      </w:tr>
      <w:tr w:rsidR="00DE4516" w:rsidRPr="007B09BB" w14:paraId="4295E8B6" w14:textId="77777777" w:rsidTr="002C718D">
        <w:trPr>
          <w:cantSplit/>
        </w:trPr>
        <w:tc>
          <w:tcPr>
            <w:tcW w:w="4515" w:type="dxa"/>
          </w:tcPr>
          <w:p w14:paraId="3149A94E" w14:textId="77777777" w:rsidR="00DE4516" w:rsidRPr="00A46ADC" w:rsidRDefault="00DE4516" w:rsidP="00DE4516">
            <w:pPr>
              <w:pStyle w:val="TableBody"/>
              <w:autoSpaceDE w:val="0"/>
              <w:autoSpaceDN w:val="0"/>
              <w:adjustRightInd w:val="0"/>
              <w:jc w:val="both"/>
              <w:rPr>
                <w:szCs w:val="16"/>
              </w:rPr>
            </w:pPr>
            <w:r w:rsidRPr="00A46ADC">
              <w:t>Royal Decree No. 49/2009, 29 August 2009</w:t>
            </w:r>
          </w:p>
        </w:tc>
        <w:tc>
          <w:tcPr>
            <w:tcW w:w="4515" w:type="dxa"/>
          </w:tcPr>
          <w:p w14:paraId="71F0EBE0" w14:textId="77777777" w:rsidR="00DE4516" w:rsidRPr="00A46ADC" w:rsidRDefault="00DE4516" w:rsidP="00DE4516">
            <w:pPr>
              <w:pStyle w:val="TableBody"/>
              <w:autoSpaceDE w:val="0"/>
              <w:autoSpaceDN w:val="0"/>
              <w:adjustRightInd w:val="0"/>
              <w:jc w:val="both"/>
              <w:rPr>
                <w:szCs w:val="16"/>
              </w:rPr>
            </w:pPr>
            <w:r w:rsidRPr="00A46ADC">
              <w:t>Plant breeders' rights</w:t>
            </w:r>
          </w:p>
        </w:tc>
      </w:tr>
      <w:tr w:rsidR="00DE4516" w:rsidRPr="007B09BB" w14:paraId="034A7CF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0C0D5D2C"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34/2014</w:t>
            </w:r>
          </w:p>
        </w:tc>
        <w:tc>
          <w:tcPr>
            <w:tcW w:w="4515" w:type="dxa"/>
          </w:tcPr>
          <w:p w14:paraId="77BC064C" w14:textId="77777777" w:rsidR="00DE4516" w:rsidRPr="00A46ADC" w:rsidRDefault="00DE4516" w:rsidP="00DE4516">
            <w:pPr>
              <w:pStyle w:val="TableBody"/>
              <w:autoSpaceDE w:val="0"/>
              <w:autoSpaceDN w:val="0"/>
              <w:adjustRightInd w:val="0"/>
              <w:jc w:val="both"/>
              <w:rPr>
                <w:rFonts w:cs="Arial"/>
                <w:color w:val="000000"/>
                <w:szCs w:val="16"/>
              </w:rPr>
            </w:pPr>
            <w:r w:rsidRPr="00A46ADC">
              <w:t>Amendment to the Commercial Agency Law</w:t>
            </w:r>
          </w:p>
        </w:tc>
      </w:tr>
      <w:tr w:rsidR="00DE4516" w:rsidRPr="007B09BB" w14:paraId="7063FD2F" w14:textId="77777777" w:rsidTr="002C718D">
        <w:trPr>
          <w:cantSplit/>
        </w:trPr>
        <w:tc>
          <w:tcPr>
            <w:tcW w:w="4515" w:type="dxa"/>
          </w:tcPr>
          <w:p w14:paraId="5BA98E43" w14:textId="77777777" w:rsidR="00DE4516" w:rsidRPr="00A46ADC" w:rsidRDefault="00DE4516" w:rsidP="00DE4516">
            <w:pPr>
              <w:pStyle w:val="TableBody"/>
              <w:autoSpaceDE w:val="0"/>
              <w:autoSpaceDN w:val="0"/>
              <w:adjustRightInd w:val="0"/>
              <w:jc w:val="both"/>
              <w:rPr>
                <w:szCs w:val="16"/>
              </w:rPr>
            </w:pPr>
            <w:r w:rsidRPr="00A46ADC">
              <w:lastRenderedPageBreak/>
              <w:t>Royal Decree No. 62/2014</w:t>
            </w:r>
          </w:p>
        </w:tc>
        <w:tc>
          <w:tcPr>
            <w:tcW w:w="4515" w:type="dxa"/>
          </w:tcPr>
          <w:p w14:paraId="12C37B75" w14:textId="77777777" w:rsidR="00DE4516" w:rsidRPr="00A46ADC" w:rsidRDefault="00DE4516" w:rsidP="00DE4516">
            <w:pPr>
              <w:pStyle w:val="TableBody"/>
              <w:autoSpaceDE w:val="0"/>
              <w:autoSpaceDN w:val="0"/>
              <w:adjustRightInd w:val="0"/>
              <w:jc w:val="both"/>
              <w:rPr>
                <w:szCs w:val="16"/>
              </w:rPr>
            </w:pPr>
            <w:r w:rsidRPr="00A46ADC">
              <w:t>Law Determining Port Shipping Fares for Hydrocarbons and Petroleum Products</w:t>
            </w:r>
          </w:p>
        </w:tc>
      </w:tr>
      <w:tr w:rsidR="00DE4516" w:rsidRPr="007B09BB" w14:paraId="2A08EBA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46F4F16E" w14:textId="77777777" w:rsidR="00DE4516" w:rsidRPr="00A46ADC" w:rsidRDefault="00DE4516" w:rsidP="00DE4516">
            <w:pPr>
              <w:pStyle w:val="TableBody"/>
              <w:autoSpaceDE w:val="0"/>
              <w:autoSpaceDN w:val="0"/>
              <w:adjustRightInd w:val="0"/>
              <w:jc w:val="both"/>
              <w:rPr>
                <w:szCs w:val="16"/>
              </w:rPr>
            </w:pPr>
            <w:r w:rsidRPr="00A46ADC">
              <w:t>Royal Decree No. 66/2014, 30 November 2014</w:t>
            </w:r>
          </w:p>
        </w:tc>
        <w:tc>
          <w:tcPr>
            <w:tcW w:w="4515" w:type="dxa"/>
          </w:tcPr>
          <w:p w14:paraId="3DDEDE74" w14:textId="77777777" w:rsidR="00DE4516" w:rsidRPr="00A46ADC" w:rsidRDefault="00DE4516" w:rsidP="00DE4516">
            <w:pPr>
              <w:pStyle w:val="TableBody"/>
              <w:autoSpaceDE w:val="0"/>
              <w:autoSpaceDN w:val="0"/>
              <w:adjustRightInd w:val="0"/>
              <w:jc w:val="both"/>
              <w:rPr>
                <w:szCs w:val="16"/>
              </w:rPr>
            </w:pPr>
            <w:r w:rsidRPr="00A46ADC">
              <w:t>New Consumer Protection Law</w:t>
            </w:r>
          </w:p>
        </w:tc>
      </w:tr>
      <w:tr w:rsidR="00DE4516" w:rsidRPr="007B09BB" w14:paraId="483B27A9" w14:textId="77777777" w:rsidTr="002C718D">
        <w:trPr>
          <w:cantSplit/>
        </w:trPr>
        <w:tc>
          <w:tcPr>
            <w:tcW w:w="4515" w:type="dxa"/>
          </w:tcPr>
          <w:p w14:paraId="3344FB2C" w14:textId="77777777" w:rsidR="00DE4516" w:rsidRPr="00A46ADC" w:rsidRDefault="00DE4516" w:rsidP="00DE4516">
            <w:pPr>
              <w:pStyle w:val="TableBody"/>
              <w:autoSpaceDE w:val="0"/>
              <w:autoSpaceDN w:val="0"/>
              <w:adjustRightInd w:val="0"/>
              <w:jc w:val="both"/>
              <w:rPr>
                <w:szCs w:val="16"/>
              </w:rPr>
            </w:pPr>
            <w:r w:rsidRPr="00A46ADC">
              <w:t>Royal Decree No. 67/2014</w:t>
            </w:r>
          </w:p>
        </w:tc>
        <w:tc>
          <w:tcPr>
            <w:tcW w:w="4515" w:type="dxa"/>
          </w:tcPr>
          <w:p w14:paraId="7864A5D7" w14:textId="77777777" w:rsidR="00DE4516" w:rsidRPr="00A46ADC" w:rsidRDefault="00DE4516" w:rsidP="00DE4516">
            <w:pPr>
              <w:pStyle w:val="TableBody"/>
              <w:autoSpaceDE w:val="0"/>
              <w:autoSpaceDN w:val="0"/>
              <w:adjustRightInd w:val="0"/>
              <w:jc w:val="both"/>
              <w:rPr>
                <w:szCs w:val="16"/>
              </w:rPr>
            </w:pPr>
            <w:r w:rsidRPr="00A46ADC">
              <w:t>Competition and Anti-Monopoly Law</w:t>
            </w:r>
          </w:p>
        </w:tc>
      </w:tr>
      <w:tr w:rsidR="00DE4516" w:rsidRPr="007B09BB" w14:paraId="5D6F4792"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206D504B"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20/2015, 24 May 2015</w:t>
            </w:r>
          </w:p>
        </w:tc>
        <w:tc>
          <w:tcPr>
            <w:tcW w:w="4515" w:type="dxa"/>
          </w:tcPr>
          <w:p w14:paraId="1CAE152E" w14:textId="77777777" w:rsidR="00DE4516" w:rsidRPr="00A46ADC" w:rsidRDefault="00DE4516" w:rsidP="00DE4516">
            <w:pPr>
              <w:pStyle w:val="TableBody"/>
              <w:autoSpaceDE w:val="0"/>
              <w:autoSpaceDN w:val="0"/>
              <w:adjustRightInd w:val="0"/>
              <w:jc w:val="both"/>
              <w:rPr>
                <w:rFonts w:cs="Arial"/>
                <w:color w:val="000000"/>
                <w:szCs w:val="16"/>
              </w:rPr>
            </w:pPr>
            <w:r w:rsidRPr="00A46ADC">
              <w:t>GCC Amended Common Law on Anti</w:t>
            </w:r>
            <w:r w:rsidRPr="00A46ADC">
              <w:noBreakHyphen/>
              <w:t>dumping, Countervailing Measures and Safeguards</w:t>
            </w:r>
          </w:p>
        </w:tc>
      </w:tr>
      <w:tr w:rsidR="00DE4516" w:rsidRPr="007B09BB" w14:paraId="69D30077" w14:textId="77777777" w:rsidTr="002C718D">
        <w:trPr>
          <w:cantSplit/>
        </w:trPr>
        <w:tc>
          <w:tcPr>
            <w:tcW w:w="4515" w:type="dxa"/>
          </w:tcPr>
          <w:p w14:paraId="11199F48" w14:textId="77777777" w:rsidR="00DE4516" w:rsidRPr="00A46ADC" w:rsidRDefault="00DE4516" w:rsidP="00DE4516">
            <w:pPr>
              <w:pStyle w:val="TableBody"/>
              <w:autoSpaceDE w:val="0"/>
              <w:autoSpaceDN w:val="0"/>
              <w:adjustRightInd w:val="0"/>
              <w:jc w:val="both"/>
              <w:rPr>
                <w:szCs w:val="16"/>
              </w:rPr>
            </w:pPr>
            <w:r w:rsidRPr="00A46ADC">
              <w:t>Royal Decree No. 30/2016</w:t>
            </w:r>
          </w:p>
        </w:tc>
        <w:tc>
          <w:tcPr>
            <w:tcW w:w="4515" w:type="dxa"/>
          </w:tcPr>
          <w:p w14:paraId="1F004E92" w14:textId="77777777" w:rsidR="00DE4516" w:rsidRPr="00A46ADC" w:rsidRDefault="00DE4516" w:rsidP="00DE4516">
            <w:pPr>
              <w:pStyle w:val="TableBody"/>
              <w:autoSpaceDE w:val="0"/>
              <w:autoSpaceDN w:val="0"/>
              <w:adjustRightInd w:val="0"/>
              <w:jc w:val="both"/>
              <w:rPr>
                <w:szCs w:val="16"/>
              </w:rPr>
            </w:pPr>
            <w:r w:rsidRPr="00A46ADC">
              <w:t>Law for Combating Money Laundering and Terrorism Financing</w:t>
            </w:r>
          </w:p>
        </w:tc>
      </w:tr>
      <w:tr w:rsidR="00DE4516" w:rsidRPr="007B09BB" w14:paraId="6FA6BB9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5EC5D5BB"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5/2017, 15 January 2017</w:t>
            </w:r>
          </w:p>
        </w:tc>
        <w:tc>
          <w:tcPr>
            <w:tcW w:w="4515" w:type="dxa"/>
          </w:tcPr>
          <w:p w14:paraId="66A5547A" w14:textId="77777777" w:rsidR="00DE4516" w:rsidRPr="00A46ADC" w:rsidRDefault="00DE4516" w:rsidP="00DE4516">
            <w:pPr>
              <w:pStyle w:val="TableBody"/>
              <w:autoSpaceDE w:val="0"/>
              <w:autoSpaceDN w:val="0"/>
              <w:adjustRightInd w:val="0"/>
              <w:jc w:val="both"/>
              <w:rPr>
                <w:rFonts w:cs="Arial"/>
                <w:color w:val="000000"/>
                <w:szCs w:val="16"/>
              </w:rPr>
            </w:pPr>
            <w:r w:rsidRPr="00A46ADC">
              <w:t>Accession to the Grain Trade Convention</w:t>
            </w:r>
          </w:p>
        </w:tc>
      </w:tr>
      <w:tr w:rsidR="00DE4516" w:rsidRPr="007B09BB" w14:paraId="454B1C64" w14:textId="77777777" w:rsidTr="002C718D">
        <w:trPr>
          <w:cantSplit/>
        </w:trPr>
        <w:tc>
          <w:tcPr>
            <w:tcW w:w="4515" w:type="dxa"/>
          </w:tcPr>
          <w:p w14:paraId="6A775F94"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35/2017, 25 July 2017</w:t>
            </w:r>
          </w:p>
        </w:tc>
        <w:tc>
          <w:tcPr>
            <w:tcW w:w="4515" w:type="dxa"/>
          </w:tcPr>
          <w:p w14:paraId="009A94CD" w14:textId="77777777" w:rsidR="00DE4516" w:rsidRPr="00A46ADC" w:rsidRDefault="00DE4516" w:rsidP="00DE4516">
            <w:pPr>
              <w:pStyle w:val="TableBody"/>
              <w:autoSpaceDE w:val="0"/>
              <w:autoSpaceDN w:val="0"/>
              <w:adjustRightInd w:val="0"/>
              <w:jc w:val="both"/>
              <w:rPr>
                <w:rFonts w:cs="Arial"/>
                <w:color w:val="000000"/>
                <w:szCs w:val="16"/>
              </w:rPr>
            </w:pPr>
            <w:r w:rsidRPr="00A46ADC">
              <w:t>Ratifying the Protocol Amending the TRIPS Agreement</w:t>
            </w:r>
          </w:p>
        </w:tc>
      </w:tr>
      <w:tr w:rsidR="00DE4516" w:rsidRPr="007B09BB" w14:paraId="7C4E0AB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6D8D10B4" w14:textId="77777777" w:rsidR="00DE4516" w:rsidRPr="00A46ADC" w:rsidRDefault="00DE4516" w:rsidP="00DE4516">
            <w:pPr>
              <w:pStyle w:val="TableBody"/>
              <w:autoSpaceDE w:val="0"/>
              <w:autoSpaceDN w:val="0"/>
              <w:adjustRightInd w:val="0"/>
              <w:jc w:val="both"/>
              <w:rPr>
                <w:szCs w:val="16"/>
              </w:rPr>
            </w:pPr>
            <w:r w:rsidRPr="00A46ADC">
              <w:t>Royal Decree No. 36/2017, 25 July 2017</w:t>
            </w:r>
          </w:p>
        </w:tc>
        <w:tc>
          <w:tcPr>
            <w:tcW w:w="4515" w:type="dxa"/>
          </w:tcPr>
          <w:p w14:paraId="57C6AFAB" w14:textId="77777777" w:rsidR="00DE4516" w:rsidRPr="00A46ADC" w:rsidRDefault="00DE4516" w:rsidP="00DE4516">
            <w:pPr>
              <w:pStyle w:val="TableBody"/>
              <w:autoSpaceDE w:val="0"/>
              <w:autoSpaceDN w:val="0"/>
              <w:adjustRightInd w:val="0"/>
              <w:jc w:val="both"/>
              <w:rPr>
                <w:szCs w:val="16"/>
              </w:rPr>
            </w:pPr>
            <w:r w:rsidRPr="00A46ADC">
              <w:t>Ratifying the Trade Facilitation Agreement</w:t>
            </w:r>
          </w:p>
        </w:tc>
      </w:tr>
      <w:tr w:rsidR="00DE4516" w:rsidRPr="007B09BB" w14:paraId="11A44653" w14:textId="77777777" w:rsidTr="002C718D">
        <w:trPr>
          <w:cantSplit/>
        </w:trPr>
        <w:tc>
          <w:tcPr>
            <w:tcW w:w="4515" w:type="dxa"/>
          </w:tcPr>
          <w:p w14:paraId="58FDCEEB" w14:textId="77777777" w:rsidR="00DE4516" w:rsidRPr="00A46ADC" w:rsidRDefault="00DE4516" w:rsidP="00DE4516">
            <w:pPr>
              <w:pStyle w:val="TableBody"/>
              <w:autoSpaceDE w:val="0"/>
              <w:autoSpaceDN w:val="0"/>
              <w:adjustRightInd w:val="0"/>
              <w:jc w:val="both"/>
              <w:rPr>
                <w:szCs w:val="16"/>
              </w:rPr>
            </w:pPr>
            <w:r w:rsidRPr="00A46ADC">
              <w:t>Royal Decree No. 26/2018, 17 October 2018</w:t>
            </w:r>
          </w:p>
        </w:tc>
        <w:tc>
          <w:tcPr>
            <w:tcW w:w="4515" w:type="dxa"/>
          </w:tcPr>
          <w:p w14:paraId="1BF7EF4E" w14:textId="77777777" w:rsidR="00DE4516" w:rsidRPr="00A46ADC" w:rsidRDefault="00DE4516" w:rsidP="00DE4516">
            <w:pPr>
              <w:pStyle w:val="TableBody"/>
              <w:autoSpaceDE w:val="0"/>
              <w:autoSpaceDN w:val="0"/>
              <w:adjustRightInd w:val="0"/>
              <w:jc w:val="both"/>
              <w:rPr>
                <w:szCs w:val="16"/>
              </w:rPr>
            </w:pPr>
            <w:r w:rsidRPr="00A46ADC">
              <w:t>Establishing the Oman Commercial Arbitration Centre</w:t>
            </w:r>
          </w:p>
        </w:tc>
      </w:tr>
      <w:tr w:rsidR="00DE4516" w:rsidRPr="007B09BB" w14:paraId="1159A7A3"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662AA076" w14:textId="77777777" w:rsidR="00DE4516" w:rsidRPr="00A46ADC" w:rsidRDefault="00DE4516" w:rsidP="00DE4516">
            <w:pPr>
              <w:pStyle w:val="TableBody"/>
              <w:autoSpaceDE w:val="0"/>
              <w:autoSpaceDN w:val="0"/>
              <w:adjustRightInd w:val="0"/>
              <w:jc w:val="both"/>
              <w:rPr>
                <w:szCs w:val="16"/>
              </w:rPr>
            </w:pPr>
            <w:r w:rsidRPr="00A46ADC">
              <w:t>Royal Decree No. 27/2018, 29 October 2018</w:t>
            </w:r>
          </w:p>
        </w:tc>
        <w:tc>
          <w:tcPr>
            <w:tcW w:w="4515" w:type="dxa"/>
          </w:tcPr>
          <w:p w14:paraId="0C5AC58F" w14:textId="77777777" w:rsidR="00DE4516" w:rsidRPr="00A46ADC" w:rsidRDefault="00DE4516" w:rsidP="00DE4516">
            <w:pPr>
              <w:pStyle w:val="TableBody"/>
              <w:autoSpaceDE w:val="0"/>
              <w:autoSpaceDN w:val="0"/>
              <w:adjustRightInd w:val="0"/>
              <w:jc w:val="both"/>
              <w:rPr>
                <w:szCs w:val="16"/>
              </w:rPr>
            </w:pPr>
            <w:r w:rsidRPr="00A46ADC">
              <w:t>Approbation of the Accession to the Customs Convention on the International Transport of Goods Under Cover of TIR Carnets (TIR Convention), with reservations</w:t>
            </w:r>
          </w:p>
        </w:tc>
      </w:tr>
      <w:tr w:rsidR="00DE4516" w:rsidRPr="007B09BB" w14:paraId="113CC289" w14:textId="77777777" w:rsidTr="002C718D">
        <w:trPr>
          <w:cantSplit/>
        </w:trPr>
        <w:tc>
          <w:tcPr>
            <w:tcW w:w="4515" w:type="dxa"/>
          </w:tcPr>
          <w:p w14:paraId="3780E3E5"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18/2019, 13 February 2019</w:t>
            </w:r>
          </w:p>
        </w:tc>
        <w:tc>
          <w:tcPr>
            <w:tcW w:w="4515" w:type="dxa"/>
          </w:tcPr>
          <w:p w14:paraId="66B38D33" w14:textId="77777777" w:rsidR="00DE4516" w:rsidRPr="00A46ADC" w:rsidRDefault="00DE4516" w:rsidP="00DE4516">
            <w:pPr>
              <w:pStyle w:val="TableBody"/>
              <w:autoSpaceDE w:val="0"/>
              <w:autoSpaceDN w:val="0"/>
              <w:adjustRightInd w:val="0"/>
              <w:jc w:val="both"/>
              <w:rPr>
                <w:rFonts w:cs="Arial"/>
                <w:color w:val="000000"/>
                <w:szCs w:val="16"/>
              </w:rPr>
            </w:pPr>
            <w:r w:rsidRPr="00A46ADC">
              <w:t>Promulgation of the Commercial Companies Law</w:t>
            </w:r>
          </w:p>
        </w:tc>
      </w:tr>
      <w:tr w:rsidR="00DE4516" w:rsidRPr="007B09BB" w14:paraId="1182EEA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62FFAF8D"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19/2019</w:t>
            </w:r>
          </w:p>
        </w:tc>
        <w:tc>
          <w:tcPr>
            <w:tcW w:w="4515" w:type="dxa"/>
          </w:tcPr>
          <w:p w14:paraId="05FE8D64" w14:textId="77777777" w:rsidR="00DE4516" w:rsidRPr="00A46ADC" w:rsidRDefault="00DE4516" w:rsidP="00DE4516">
            <w:pPr>
              <w:pStyle w:val="TableBody"/>
              <w:autoSpaceDE w:val="0"/>
              <w:autoSpaceDN w:val="0"/>
              <w:adjustRightInd w:val="0"/>
              <w:jc w:val="both"/>
              <w:rPr>
                <w:rFonts w:cs="Arial"/>
                <w:color w:val="000000"/>
                <w:szCs w:val="16"/>
              </w:rPr>
            </w:pPr>
            <w:r w:rsidRPr="00A46ADC">
              <w:t>Mineral Resources Law</w:t>
            </w:r>
          </w:p>
        </w:tc>
      </w:tr>
      <w:tr w:rsidR="00DE4516" w:rsidRPr="007B09BB" w14:paraId="7EA72770" w14:textId="77777777" w:rsidTr="002C718D">
        <w:trPr>
          <w:cantSplit/>
        </w:trPr>
        <w:tc>
          <w:tcPr>
            <w:tcW w:w="4515" w:type="dxa"/>
          </w:tcPr>
          <w:p w14:paraId="670A2E6B"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23/2019</w:t>
            </w:r>
          </w:p>
        </w:tc>
        <w:tc>
          <w:tcPr>
            <w:tcW w:w="4515" w:type="dxa"/>
          </w:tcPr>
          <w:p w14:paraId="0CA3B017" w14:textId="77777777" w:rsidR="00DE4516" w:rsidRPr="00A46ADC" w:rsidRDefault="00DE4516" w:rsidP="00DE4516">
            <w:pPr>
              <w:pStyle w:val="TableBody"/>
              <w:autoSpaceDE w:val="0"/>
              <w:autoSpaceDN w:val="0"/>
              <w:adjustRightInd w:val="0"/>
              <w:jc w:val="both"/>
              <w:rPr>
                <w:rFonts w:cs="Arial"/>
                <w:color w:val="000000"/>
                <w:szCs w:val="16"/>
              </w:rPr>
            </w:pPr>
            <w:r w:rsidRPr="00A46ADC">
              <w:t>Excise Tax Law</w:t>
            </w:r>
          </w:p>
        </w:tc>
      </w:tr>
      <w:tr w:rsidR="00DE4516" w:rsidRPr="007B09BB" w14:paraId="5A1E905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6DA0DFA8" w14:textId="77777777" w:rsidR="00DE4516" w:rsidRPr="00A46ADC" w:rsidRDefault="00DE4516" w:rsidP="00DE4516">
            <w:pPr>
              <w:pStyle w:val="TableBody"/>
              <w:autoSpaceDE w:val="0"/>
              <w:autoSpaceDN w:val="0"/>
              <w:adjustRightInd w:val="0"/>
              <w:jc w:val="both"/>
              <w:rPr>
                <w:szCs w:val="16"/>
              </w:rPr>
            </w:pPr>
            <w:r w:rsidRPr="00A46ADC">
              <w:t>Royal Decree No. 27/2019</w:t>
            </w:r>
          </w:p>
        </w:tc>
        <w:tc>
          <w:tcPr>
            <w:tcW w:w="4515" w:type="dxa"/>
          </w:tcPr>
          <w:p w14:paraId="4FB1267E" w14:textId="77777777" w:rsidR="00DE4516" w:rsidRPr="00A46ADC" w:rsidRDefault="00DE4516" w:rsidP="00DE4516">
            <w:pPr>
              <w:pStyle w:val="TableBody"/>
              <w:autoSpaceDE w:val="0"/>
              <w:autoSpaceDN w:val="0"/>
              <w:adjustRightInd w:val="0"/>
              <w:jc w:val="both"/>
              <w:rPr>
                <w:szCs w:val="16"/>
              </w:rPr>
            </w:pPr>
            <w:r w:rsidRPr="00A46ADC">
              <w:t>Regarding Scientific Zones and Other Specialist Zones</w:t>
            </w:r>
          </w:p>
        </w:tc>
      </w:tr>
      <w:tr w:rsidR="00DE4516" w:rsidRPr="007B09BB" w14:paraId="6583C5EA" w14:textId="77777777" w:rsidTr="002C718D">
        <w:trPr>
          <w:cantSplit/>
        </w:trPr>
        <w:tc>
          <w:tcPr>
            <w:tcW w:w="4515" w:type="dxa"/>
          </w:tcPr>
          <w:p w14:paraId="6194D211"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50/2019, 1 July 2019</w:t>
            </w:r>
          </w:p>
        </w:tc>
        <w:tc>
          <w:tcPr>
            <w:tcW w:w="4515" w:type="dxa"/>
          </w:tcPr>
          <w:p w14:paraId="254BBC4E" w14:textId="77777777" w:rsidR="00DE4516" w:rsidRPr="00A46ADC" w:rsidRDefault="00DE4516" w:rsidP="00DE4516">
            <w:pPr>
              <w:pStyle w:val="TableBody"/>
              <w:autoSpaceDE w:val="0"/>
              <w:autoSpaceDN w:val="0"/>
              <w:adjustRightInd w:val="0"/>
              <w:jc w:val="both"/>
              <w:rPr>
                <w:rFonts w:cs="Arial"/>
                <w:color w:val="000000"/>
                <w:szCs w:val="16"/>
              </w:rPr>
            </w:pPr>
            <w:r w:rsidRPr="00A46ADC">
              <w:t>New Foreign Capital Investment Law</w:t>
            </w:r>
          </w:p>
        </w:tc>
      </w:tr>
      <w:tr w:rsidR="00DE4516" w:rsidRPr="007B09BB" w14:paraId="287A967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Pr>
          <w:p w14:paraId="0B4C8A16" w14:textId="77777777" w:rsidR="00DE4516" w:rsidRPr="00A46ADC" w:rsidRDefault="00DE4516" w:rsidP="00DE4516">
            <w:pPr>
              <w:pStyle w:val="TableBody"/>
              <w:autoSpaceDE w:val="0"/>
              <w:autoSpaceDN w:val="0"/>
              <w:adjustRightInd w:val="0"/>
              <w:jc w:val="both"/>
              <w:rPr>
                <w:szCs w:val="16"/>
              </w:rPr>
            </w:pPr>
            <w:r w:rsidRPr="00A46ADC">
              <w:t>Royal Decree No. 51/2019</w:t>
            </w:r>
          </w:p>
        </w:tc>
        <w:tc>
          <w:tcPr>
            <w:tcW w:w="4515" w:type="dxa"/>
          </w:tcPr>
          <w:p w14:paraId="125A2CEF" w14:textId="77777777" w:rsidR="00DE4516" w:rsidRPr="00A46ADC" w:rsidRDefault="00DE4516" w:rsidP="00DE4516">
            <w:pPr>
              <w:pStyle w:val="TableBody"/>
              <w:autoSpaceDE w:val="0"/>
              <w:autoSpaceDN w:val="0"/>
              <w:adjustRightInd w:val="0"/>
              <w:jc w:val="both"/>
              <w:rPr>
                <w:szCs w:val="16"/>
              </w:rPr>
            </w:pPr>
            <w:r w:rsidRPr="00A46ADC">
              <w:t>Privatization Law</w:t>
            </w:r>
          </w:p>
        </w:tc>
      </w:tr>
      <w:tr w:rsidR="00DE4516" w:rsidRPr="007B09BB" w14:paraId="0081A121" w14:textId="77777777" w:rsidTr="002C718D">
        <w:trPr>
          <w:cantSplit/>
        </w:trPr>
        <w:tc>
          <w:tcPr>
            <w:tcW w:w="4515" w:type="dxa"/>
          </w:tcPr>
          <w:p w14:paraId="01EBB55E"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95/2020, 18 August 2020</w:t>
            </w:r>
          </w:p>
        </w:tc>
        <w:tc>
          <w:tcPr>
            <w:tcW w:w="4515" w:type="dxa"/>
          </w:tcPr>
          <w:p w14:paraId="4A9991F8" w14:textId="77777777" w:rsidR="00DE4516" w:rsidRPr="00A46ADC" w:rsidRDefault="00DE4516" w:rsidP="00DE4516">
            <w:pPr>
              <w:pStyle w:val="TableBody"/>
              <w:autoSpaceDE w:val="0"/>
              <w:autoSpaceDN w:val="0"/>
              <w:adjustRightInd w:val="0"/>
              <w:jc w:val="both"/>
              <w:rPr>
                <w:rFonts w:cs="Arial"/>
                <w:color w:val="000000"/>
                <w:szCs w:val="16"/>
              </w:rPr>
            </w:pPr>
            <w:r w:rsidRPr="00A46ADC">
              <w:t>Creation of the Ministry of Commerce, Industry, and Investment Promotion</w:t>
            </w:r>
          </w:p>
        </w:tc>
      </w:tr>
      <w:tr w:rsidR="00DE4516" w:rsidRPr="007B09BB" w14:paraId="3A78556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4515" w:type="dxa"/>
            <w:tcBorders>
              <w:bottom w:val="single" w:sz="4" w:space="0" w:color="auto"/>
            </w:tcBorders>
          </w:tcPr>
          <w:p w14:paraId="080F24CA" w14:textId="77777777" w:rsidR="00DE4516" w:rsidRPr="00A46ADC" w:rsidRDefault="00DE4516" w:rsidP="00DE4516">
            <w:pPr>
              <w:pStyle w:val="TableBody"/>
              <w:autoSpaceDE w:val="0"/>
              <w:autoSpaceDN w:val="0"/>
              <w:adjustRightInd w:val="0"/>
              <w:jc w:val="both"/>
              <w:rPr>
                <w:rFonts w:cs="Arial"/>
                <w:color w:val="000000"/>
                <w:szCs w:val="16"/>
              </w:rPr>
            </w:pPr>
            <w:r w:rsidRPr="00A46ADC">
              <w:t>Royal Decree No. 114/2020, 1 September 2020</w:t>
            </w:r>
          </w:p>
        </w:tc>
        <w:tc>
          <w:tcPr>
            <w:tcW w:w="4515" w:type="dxa"/>
            <w:tcBorders>
              <w:bottom w:val="single" w:sz="4" w:space="0" w:color="auto"/>
            </w:tcBorders>
          </w:tcPr>
          <w:p w14:paraId="48031CE5" w14:textId="77777777" w:rsidR="00DE4516" w:rsidRPr="00A46ADC" w:rsidRDefault="00DE4516" w:rsidP="00DE4516">
            <w:pPr>
              <w:pStyle w:val="TableBody"/>
              <w:autoSpaceDE w:val="0"/>
              <w:autoSpaceDN w:val="0"/>
              <w:adjustRightInd w:val="0"/>
              <w:jc w:val="both"/>
              <w:rPr>
                <w:rFonts w:cs="Arial"/>
                <w:color w:val="000000"/>
                <w:szCs w:val="16"/>
              </w:rPr>
            </w:pPr>
            <w:r w:rsidRPr="00A46ADC">
              <w:t>Accession to the Convention on the Contract for the International Carriage of Goods by Road (CMR) and the Additional Protocol concerning the Electronic Consignment Note, with reservations</w:t>
            </w:r>
          </w:p>
        </w:tc>
      </w:tr>
    </w:tbl>
    <w:p w14:paraId="6A9E7591" w14:textId="127C7EAB" w:rsidR="00DE4516" w:rsidRDefault="00DE4516">
      <w:pPr>
        <w:pStyle w:val="TableSource"/>
        <w:autoSpaceDE w:val="0"/>
        <w:autoSpaceDN w:val="0"/>
        <w:adjustRightInd w:val="0"/>
        <w:rPr>
          <w:szCs w:val="24"/>
        </w:rPr>
      </w:pPr>
      <w:r>
        <w:rPr>
          <w:szCs w:val="24"/>
        </w:rPr>
        <w:t>Source:</w:t>
      </w:r>
      <w:r>
        <w:rPr>
          <w:szCs w:val="24"/>
        </w:rPr>
        <w:tab/>
        <w:t>Compiled by the WTO Secretariat, based on information provided by the authorities.</w:t>
      </w:r>
    </w:p>
    <w:p w14:paraId="5C113D73" w14:textId="77777777" w:rsidR="00DE4516" w:rsidRDefault="00DE4516">
      <w:pPr>
        <w:pStyle w:val="Heading20"/>
        <w:autoSpaceDE w:val="0"/>
        <w:autoSpaceDN w:val="0"/>
        <w:adjustRightInd w:val="0"/>
        <w:rPr>
          <w:szCs w:val="24"/>
        </w:rPr>
      </w:pPr>
      <w:r>
        <w:rPr>
          <w:szCs w:val="24"/>
        </w:rPr>
        <w:t>Trade Agreements and Arrangements</w:t>
      </w:r>
    </w:p>
    <w:p w14:paraId="1C6F55B2" w14:textId="77777777" w:rsidR="00DE4516" w:rsidRDefault="00DE4516">
      <w:pPr>
        <w:pStyle w:val="Heading30"/>
        <w:autoSpaceDE w:val="0"/>
        <w:autoSpaceDN w:val="0"/>
        <w:adjustRightInd w:val="0"/>
        <w:rPr>
          <w:szCs w:val="24"/>
        </w:rPr>
      </w:pPr>
      <w:r>
        <w:rPr>
          <w:szCs w:val="24"/>
        </w:rPr>
        <w:t>WTO</w:t>
      </w:r>
    </w:p>
    <w:p w14:paraId="76375D3C" w14:textId="77777777" w:rsidR="00DE4516" w:rsidRDefault="00DE4516">
      <w:pPr>
        <w:pStyle w:val="BodyText0"/>
        <w:autoSpaceDE w:val="0"/>
        <w:autoSpaceDN w:val="0"/>
        <w:adjustRightInd w:val="0"/>
        <w:rPr>
          <w:szCs w:val="24"/>
        </w:rPr>
      </w:pPr>
      <w:r>
        <w:rPr>
          <w:szCs w:val="24"/>
          <w:highlight w:val="white"/>
        </w:rPr>
        <w:t>Oman has been a member of the WTO since 2000. It is a member of the Information Technology Agreement, and an observer to the Committee on Government Procurement and to the Committee on Trade in Civil Aircraft. In 2017, Oman accepted both the Protocol Amending the TRIPS Agreement and the Trade Facilitation Agreement.</w:t>
      </w:r>
      <w:r w:rsidRPr="00DE4516">
        <w:rPr>
          <w:rStyle w:val="FootnoteReference"/>
        </w:rPr>
        <w:footnoteReference w:id="34"/>
      </w:r>
      <w:r>
        <w:rPr>
          <w:szCs w:val="24"/>
        </w:rPr>
        <w:t xml:space="preserve"> It is also a member of the Asian Group of Developing Members and the Article XII members negotiation group. Oman's notifications to the WTO are presented in </w:t>
      </w:r>
      <w:r>
        <w:rPr>
          <w:rStyle w:val="citetbl"/>
          <w:szCs w:val="24"/>
        </w:rPr>
        <w:t>Table 2.3</w:t>
      </w:r>
      <w:r>
        <w:rPr>
          <w:szCs w:val="24"/>
        </w:rPr>
        <w:t>.</w:t>
      </w:r>
    </w:p>
    <w:p w14:paraId="4500C341" w14:textId="77777777" w:rsidR="00DE4516" w:rsidRDefault="00DE4516">
      <w:pPr>
        <w:pStyle w:val="TableTitle"/>
        <w:autoSpaceDE w:val="0"/>
        <w:autoSpaceDN w:val="0"/>
        <w:adjustRightInd w:val="0"/>
      </w:pPr>
      <w:r>
        <w:lastRenderedPageBreak/>
        <w:t>Table 2.3 Selected notifications to the WTO, June 2021</w:t>
      </w:r>
    </w:p>
    <w:tbl>
      <w:tblPr>
        <w:tblStyle w:val="WTOTable1"/>
        <w:tblW w:w="0" w:type="auto"/>
        <w:tblLayout w:type="fixed"/>
        <w:tblLook w:val="05E0" w:firstRow="1" w:lastRow="1" w:firstColumn="1" w:lastColumn="1" w:noHBand="0" w:noVBand="1"/>
      </w:tblPr>
      <w:tblGrid>
        <w:gridCol w:w="1413"/>
        <w:gridCol w:w="1276"/>
        <w:gridCol w:w="850"/>
        <w:gridCol w:w="3119"/>
        <w:gridCol w:w="2358"/>
      </w:tblGrid>
      <w:tr w:rsidR="00DE4516" w:rsidRPr="007F015E" w14:paraId="126E7A69" w14:textId="77777777" w:rsidTr="002C718D">
        <w:trPr>
          <w:cnfStyle w:val="100000000000" w:firstRow="1" w:lastRow="0" w:firstColumn="0" w:lastColumn="0" w:oddVBand="0" w:evenVBand="0" w:oddHBand="0" w:evenHBand="0" w:firstRowFirstColumn="0" w:firstRowLastColumn="0" w:lastRowFirstColumn="0" w:lastRowLastColumn="0"/>
          <w:cantSplit/>
          <w:trHeight w:val="1134"/>
          <w:tblHeader/>
        </w:trPr>
        <w:tc>
          <w:tcPr>
            <w:tcW w:w="1413" w:type="dxa"/>
            <w:tcBorders>
              <w:top w:val="single" w:sz="4" w:space="0" w:color="auto"/>
            </w:tcBorders>
            <w:vAlign w:val="center"/>
            <w:hideMark/>
          </w:tcPr>
          <w:p w14:paraId="059DFD37" w14:textId="77777777" w:rsidR="00DE4516" w:rsidRPr="007F015E" w:rsidRDefault="00DE4516" w:rsidP="00DE4516">
            <w:pPr>
              <w:pStyle w:val="TableHead"/>
              <w:autoSpaceDE w:val="0"/>
              <w:autoSpaceDN w:val="0"/>
              <w:adjustRightInd w:val="0"/>
              <w:jc w:val="both"/>
              <w:rPr>
                <w:b/>
                <w:color w:val="FFFFFF" w:themeColor="background1"/>
                <w:sz w:val="14"/>
                <w:szCs w:val="16"/>
              </w:rPr>
            </w:pPr>
            <w:r w:rsidRPr="007F015E">
              <w:rPr>
                <w:b/>
              </w:rPr>
              <w:t xml:space="preserve">WTO </w:t>
            </w:r>
            <w:r w:rsidRPr="007F015E">
              <w:rPr>
                <w:b/>
              </w:rPr>
              <w:br/>
              <w:t>Agreement</w:t>
            </w:r>
          </w:p>
        </w:tc>
        <w:tc>
          <w:tcPr>
            <w:tcW w:w="1276" w:type="dxa"/>
            <w:tcBorders>
              <w:top w:val="single" w:sz="4" w:space="0" w:color="auto"/>
            </w:tcBorders>
            <w:vAlign w:val="center"/>
            <w:hideMark/>
          </w:tcPr>
          <w:p w14:paraId="1907DE5B" w14:textId="77777777" w:rsidR="00DE4516" w:rsidRPr="007F015E" w:rsidRDefault="00DE4516" w:rsidP="00DE4516">
            <w:pPr>
              <w:pStyle w:val="TableHead"/>
              <w:autoSpaceDE w:val="0"/>
              <w:autoSpaceDN w:val="0"/>
              <w:adjustRightInd w:val="0"/>
              <w:jc w:val="both"/>
              <w:rPr>
                <w:b/>
                <w:color w:val="FFFFFF" w:themeColor="background1"/>
                <w:sz w:val="14"/>
                <w:szCs w:val="16"/>
              </w:rPr>
            </w:pPr>
            <w:r w:rsidRPr="007F015E">
              <w:rPr>
                <w:b/>
              </w:rPr>
              <w:t>Description of requirement</w:t>
            </w:r>
          </w:p>
        </w:tc>
        <w:tc>
          <w:tcPr>
            <w:tcW w:w="850" w:type="dxa"/>
            <w:tcBorders>
              <w:top w:val="single" w:sz="4" w:space="0" w:color="auto"/>
            </w:tcBorders>
            <w:textDirection w:val="btLr"/>
            <w:vAlign w:val="center"/>
            <w:hideMark/>
          </w:tcPr>
          <w:p w14:paraId="5DEA0573" w14:textId="77777777" w:rsidR="00DE4516" w:rsidRPr="007F015E" w:rsidRDefault="00DE4516" w:rsidP="00DE4516">
            <w:pPr>
              <w:pStyle w:val="TableHead"/>
              <w:autoSpaceDE w:val="0"/>
              <w:autoSpaceDN w:val="0"/>
              <w:adjustRightInd w:val="0"/>
              <w:ind w:left="113" w:right="113"/>
              <w:jc w:val="both"/>
              <w:rPr>
                <w:b/>
                <w:color w:val="FFFFFF" w:themeColor="background1"/>
                <w:sz w:val="14"/>
                <w:szCs w:val="16"/>
              </w:rPr>
            </w:pPr>
            <w:r w:rsidRPr="007F015E">
              <w:rPr>
                <w:b/>
              </w:rPr>
              <w:t>Periodicity</w:t>
            </w:r>
          </w:p>
        </w:tc>
        <w:tc>
          <w:tcPr>
            <w:tcW w:w="3119" w:type="dxa"/>
            <w:tcBorders>
              <w:top w:val="single" w:sz="4" w:space="0" w:color="auto"/>
            </w:tcBorders>
            <w:vAlign w:val="center"/>
            <w:hideMark/>
          </w:tcPr>
          <w:p w14:paraId="75DFF60C" w14:textId="77777777" w:rsidR="00DE4516" w:rsidRPr="007F015E" w:rsidRDefault="00DE4516" w:rsidP="00DE4516">
            <w:pPr>
              <w:pStyle w:val="TableHead"/>
              <w:autoSpaceDE w:val="0"/>
              <w:autoSpaceDN w:val="0"/>
              <w:adjustRightInd w:val="0"/>
              <w:jc w:val="both"/>
              <w:rPr>
                <w:b/>
                <w:color w:val="FFFFFF" w:themeColor="background1"/>
                <w:sz w:val="14"/>
                <w:szCs w:val="16"/>
              </w:rPr>
            </w:pPr>
            <w:r w:rsidRPr="007F015E">
              <w:rPr>
                <w:b/>
              </w:rPr>
              <w:t>Most recent notification</w:t>
            </w:r>
          </w:p>
        </w:tc>
        <w:tc>
          <w:tcPr>
            <w:tcW w:w="2358" w:type="dxa"/>
            <w:tcBorders>
              <w:top w:val="single" w:sz="4" w:space="0" w:color="auto"/>
            </w:tcBorders>
            <w:vAlign w:val="center"/>
            <w:hideMark/>
          </w:tcPr>
          <w:p w14:paraId="2BEF326E" w14:textId="77777777" w:rsidR="00DE4516" w:rsidRPr="007F015E" w:rsidRDefault="00DE4516" w:rsidP="00DE4516">
            <w:pPr>
              <w:pStyle w:val="TableHead"/>
              <w:autoSpaceDE w:val="0"/>
              <w:autoSpaceDN w:val="0"/>
              <w:adjustRightInd w:val="0"/>
              <w:jc w:val="both"/>
              <w:rPr>
                <w:b/>
                <w:color w:val="FFFFFF" w:themeColor="background1"/>
                <w:sz w:val="14"/>
                <w:szCs w:val="16"/>
              </w:rPr>
            </w:pPr>
            <w:r w:rsidRPr="007F015E">
              <w:rPr>
                <w:b/>
              </w:rPr>
              <w:t>Comment</w:t>
            </w:r>
          </w:p>
        </w:tc>
      </w:tr>
      <w:tr w:rsidR="00DE4516" w:rsidRPr="007B09BB" w14:paraId="3A1675B4" w14:textId="77777777" w:rsidTr="002C718D">
        <w:trPr>
          <w:cantSplit/>
        </w:trPr>
        <w:tc>
          <w:tcPr>
            <w:tcW w:w="9016" w:type="dxa"/>
            <w:gridSpan w:val="5"/>
            <w:hideMark/>
          </w:tcPr>
          <w:p w14:paraId="335AB675" w14:textId="77777777" w:rsidR="00DE4516" w:rsidRPr="00A46ADC" w:rsidRDefault="00DE4516" w:rsidP="00DE4516">
            <w:pPr>
              <w:pStyle w:val="TableBody"/>
              <w:autoSpaceDE w:val="0"/>
              <w:autoSpaceDN w:val="0"/>
              <w:adjustRightInd w:val="0"/>
              <w:jc w:val="both"/>
              <w:rPr>
                <w:b/>
                <w:sz w:val="14"/>
                <w:szCs w:val="16"/>
              </w:rPr>
            </w:pPr>
            <w:r w:rsidRPr="00A46ADC">
              <w:rPr>
                <w:b/>
              </w:rPr>
              <w:t>Agreement on Agriculture</w:t>
            </w:r>
          </w:p>
        </w:tc>
      </w:tr>
      <w:tr w:rsidR="00DE4516" w:rsidRPr="007B09BB" w14:paraId="28827AE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413" w:type="dxa"/>
            <w:hideMark/>
          </w:tcPr>
          <w:p w14:paraId="0AAE5402" w14:textId="77777777" w:rsidR="00DE4516" w:rsidRPr="00A46ADC" w:rsidRDefault="00DE4516" w:rsidP="00DE4516">
            <w:pPr>
              <w:pStyle w:val="TableBody"/>
              <w:autoSpaceDE w:val="0"/>
              <w:autoSpaceDN w:val="0"/>
              <w:adjustRightInd w:val="0"/>
              <w:jc w:val="both"/>
              <w:rPr>
                <w:sz w:val="14"/>
                <w:szCs w:val="16"/>
              </w:rPr>
            </w:pPr>
            <w:r w:rsidRPr="00A46ADC">
              <w:t>Article 18.2 DS:1 and DS:2</w:t>
            </w:r>
          </w:p>
        </w:tc>
        <w:tc>
          <w:tcPr>
            <w:tcW w:w="1276" w:type="dxa"/>
            <w:hideMark/>
          </w:tcPr>
          <w:p w14:paraId="5CD98D7E" w14:textId="77777777" w:rsidR="00DE4516" w:rsidRPr="00A46ADC" w:rsidRDefault="00DE4516" w:rsidP="00DE4516">
            <w:pPr>
              <w:pStyle w:val="TableBody"/>
              <w:autoSpaceDE w:val="0"/>
              <w:autoSpaceDN w:val="0"/>
              <w:adjustRightInd w:val="0"/>
              <w:jc w:val="both"/>
              <w:rPr>
                <w:sz w:val="14"/>
                <w:szCs w:val="16"/>
              </w:rPr>
            </w:pPr>
            <w:r w:rsidRPr="00A46ADC">
              <w:t>Domestic support</w:t>
            </w:r>
          </w:p>
        </w:tc>
        <w:tc>
          <w:tcPr>
            <w:tcW w:w="850" w:type="dxa"/>
            <w:hideMark/>
          </w:tcPr>
          <w:p w14:paraId="21160087" w14:textId="77777777" w:rsidR="00DE4516" w:rsidRPr="00A46ADC" w:rsidRDefault="00DE4516" w:rsidP="00DE4516">
            <w:pPr>
              <w:pStyle w:val="TableBody"/>
              <w:autoSpaceDE w:val="0"/>
              <w:autoSpaceDN w:val="0"/>
              <w:adjustRightInd w:val="0"/>
              <w:jc w:val="both"/>
              <w:rPr>
                <w:sz w:val="14"/>
                <w:szCs w:val="16"/>
              </w:rPr>
            </w:pPr>
            <w:r w:rsidRPr="00A46ADC">
              <w:t>Annual</w:t>
            </w:r>
          </w:p>
        </w:tc>
        <w:tc>
          <w:tcPr>
            <w:tcW w:w="3119" w:type="dxa"/>
            <w:hideMark/>
          </w:tcPr>
          <w:p w14:paraId="641F0824" w14:textId="77777777" w:rsidR="00DE4516" w:rsidRPr="00A46ADC" w:rsidRDefault="00DE4516" w:rsidP="00DE4516">
            <w:pPr>
              <w:pStyle w:val="TableBody"/>
              <w:autoSpaceDE w:val="0"/>
              <w:autoSpaceDN w:val="0"/>
              <w:adjustRightInd w:val="0"/>
              <w:jc w:val="both"/>
              <w:rPr>
                <w:sz w:val="14"/>
                <w:szCs w:val="16"/>
              </w:rPr>
            </w:pPr>
            <w:r w:rsidRPr="00A46ADC">
              <w:t>G/AG/N/OMN/12-13, 21-25, 20 June 2014 to 8 May 2019</w:t>
            </w:r>
          </w:p>
        </w:tc>
        <w:tc>
          <w:tcPr>
            <w:tcW w:w="2358" w:type="dxa"/>
            <w:hideMark/>
          </w:tcPr>
          <w:p w14:paraId="158849C3" w14:textId="77777777" w:rsidR="00DE4516" w:rsidRPr="00A46ADC" w:rsidRDefault="00DE4516" w:rsidP="00DE4516">
            <w:pPr>
              <w:pStyle w:val="TableBody"/>
              <w:autoSpaceDE w:val="0"/>
              <w:autoSpaceDN w:val="0"/>
              <w:adjustRightInd w:val="0"/>
              <w:jc w:val="both"/>
              <w:rPr>
                <w:sz w:val="14"/>
                <w:szCs w:val="16"/>
              </w:rPr>
            </w:pPr>
            <w:r w:rsidRPr="00A46ADC">
              <w:t>List of domestic support measures for 2012-18</w:t>
            </w:r>
          </w:p>
        </w:tc>
      </w:tr>
      <w:tr w:rsidR="00DE4516" w:rsidRPr="007B09BB" w14:paraId="1216FCEE" w14:textId="77777777" w:rsidTr="002C718D">
        <w:trPr>
          <w:cantSplit/>
        </w:trPr>
        <w:tc>
          <w:tcPr>
            <w:tcW w:w="1413" w:type="dxa"/>
            <w:hideMark/>
          </w:tcPr>
          <w:p w14:paraId="30B1F18C" w14:textId="77777777" w:rsidR="00DE4516" w:rsidRPr="00A46ADC" w:rsidRDefault="00DE4516" w:rsidP="00DE4516">
            <w:pPr>
              <w:pStyle w:val="TableBody"/>
              <w:autoSpaceDE w:val="0"/>
              <w:autoSpaceDN w:val="0"/>
              <w:adjustRightInd w:val="0"/>
              <w:jc w:val="both"/>
              <w:rPr>
                <w:sz w:val="14"/>
                <w:szCs w:val="16"/>
              </w:rPr>
            </w:pPr>
            <w:r w:rsidRPr="00A46ADC">
              <w:t>Articles 10 and 18.2</w:t>
            </w:r>
          </w:p>
        </w:tc>
        <w:tc>
          <w:tcPr>
            <w:tcW w:w="1276" w:type="dxa"/>
            <w:hideMark/>
          </w:tcPr>
          <w:p w14:paraId="358C447A" w14:textId="77777777" w:rsidR="00DE4516" w:rsidRPr="00A46ADC" w:rsidRDefault="00DE4516" w:rsidP="00DE4516">
            <w:pPr>
              <w:pStyle w:val="TableBody"/>
              <w:autoSpaceDE w:val="0"/>
              <w:autoSpaceDN w:val="0"/>
              <w:adjustRightInd w:val="0"/>
              <w:jc w:val="both"/>
              <w:rPr>
                <w:sz w:val="14"/>
                <w:szCs w:val="16"/>
              </w:rPr>
            </w:pPr>
            <w:r w:rsidRPr="00A46ADC">
              <w:t>Export subsidies</w:t>
            </w:r>
          </w:p>
        </w:tc>
        <w:tc>
          <w:tcPr>
            <w:tcW w:w="850" w:type="dxa"/>
            <w:hideMark/>
          </w:tcPr>
          <w:p w14:paraId="612BD422" w14:textId="77777777" w:rsidR="00DE4516" w:rsidRPr="00A46ADC" w:rsidRDefault="00DE4516" w:rsidP="00DE4516">
            <w:pPr>
              <w:pStyle w:val="TableBody"/>
              <w:autoSpaceDE w:val="0"/>
              <w:autoSpaceDN w:val="0"/>
              <w:adjustRightInd w:val="0"/>
              <w:jc w:val="both"/>
              <w:rPr>
                <w:sz w:val="14"/>
                <w:szCs w:val="16"/>
              </w:rPr>
            </w:pPr>
            <w:r w:rsidRPr="00A46ADC">
              <w:t>Annual</w:t>
            </w:r>
          </w:p>
        </w:tc>
        <w:tc>
          <w:tcPr>
            <w:tcW w:w="3119" w:type="dxa"/>
            <w:hideMark/>
          </w:tcPr>
          <w:p w14:paraId="6976180E" w14:textId="77777777" w:rsidR="00DE4516" w:rsidRPr="00A46ADC" w:rsidRDefault="00DE4516" w:rsidP="00DE4516">
            <w:pPr>
              <w:pStyle w:val="TableBody"/>
              <w:autoSpaceDE w:val="0"/>
              <w:autoSpaceDN w:val="0"/>
              <w:adjustRightInd w:val="0"/>
              <w:jc w:val="both"/>
              <w:rPr>
                <w:sz w:val="14"/>
                <w:szCs w:val="16"/>
              </w:rPr>
            </w:pPr>
            <w:r w:rsidRPr="00A46ADC">
              <w:t>G/AG/N/OMN/14-20, 31 March 2015 to 31 July 2019</w:t>
            </w:r>
          </w:p>
        </w:tc>
        <w:tc>
          <w:tcPr>
            <w:tcW w:w="2358" w:type="dxa"/>
            <w:hideMark/>
          </w:tcPr>
          <w:p w14:paraId="7285CD04" w14:textId="77777777" w:rsidR="00DE4516" w:rsidRPr="00A46ADC" w:rsidRDefault="00DE4516" w:rsidP="00DE4516">
            <w:pPr>
              <w:pStyle w:val="TableBody"/>
              <w:autoSpaceDE w:val="0"/>
              <w:autoSpaceDN w:val="0"/>
              <w:adjustRightInd w:val="0"/>
              <w:jc w:val="both"/>
              <w:rPr>
                <w:sz w:val="14"/>
                <w:szCs w:val="16"/>
              </w:rPr>
            </w:pPr>
            <w:r w:rsidRPr="00A46ADC">
              <w:t>No export subsidies for 2012-18</w:t>
            </w:r>
          </w:p>
        </w:tc>
      </w:tr>
      <w:tr w:rsidR="00DE4516" w:rsidRPr="007B09BB" w14:paraId="5A4F265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9016" w:type="dxa"/>
            <w:gridSpan w:val="5"/>
            <w:hideMark/>
          </w:tcPr>
          <w:p w14:paraId="16F1EE49" w14:textId="77777777" w:rsidR="00DE4516" w:rsidRPr="00A46ADC" w:rsidRDefault="00DE4516" w:rsidP="00DE4516">
            <w:pPr>
              <w:pStyle w:val="TableBody"/>
              <w:autoSpaceDE w:val="0"/>
              <w:autoSpaceDN w:val="0"/>
              <w:adjustRightInd w:val="0"/>
              <w:jc w:val="both"/>
              <w:rPr>
                <w:b/>
                <w:sz w:val="14"/>
                <w:szCs w:val="16"/>
              </w:rPr>
            </w:pPr>
            <w:r w:rsidRPr="00A46ADC">
              <w:rPr>
                <w:b/>
              </w:rPr>
              <w:t>Committee on Trade and Development; Council for Trade in Services</w:t>
            </w:r>
          </w:p>
        </w:tc>
      </w:tr>
      <w:tr w:rsidR="00DE4516" w:rsidRPr="007B09BB" w14:paraId="4C869BA2" w14:textId="77777777" w:rsidTr="002C718D">
        <w:trPr>
          <w:cantSplit/>
        </w:trPr>
        <w:tc>
          <w:tcPr>
            <w:tcW w:w="1413" w:type="dxa"/>
            <w:hideMark/>
          </w:tcPr>
          <w:p w14:paraId="297F67F9" w14:textId="77777777" w:rsidR="00DE4516" w:rsidRPr="00A46ADC" w:rsidRDefault="00DE4516" w:rsidP="00DE4516">
            <w:pPr>
              <w:pStyle w:val="TableBody"/>
              <w:autoSpaceDE w:val="0"/>
              <w:autoSpaceDN w:val="0"/>
              <w:adjustRightInd w:val="0"/>
              <w:jc w:val="both"/>
              <w:rPr>
                <w:sz w:val="14"/>
                <w:szCs w:val="16"/>
              </w:rPr>
            </w:pPr>
            <w:r w:rsidRPr="00A46ADC">
              <w:t>Enabling Clause – RTA; GATS Article V:7(a)</w:t>
            </w:r>
          </w:p>
        </w:tc>
        <w:tc>
          <w:tcPr>
            <w:tcW w:w="1276" w:type="dxa"/>
            <w:hideMark/>
          </w:tcPr>
          <w:p w14:paraId="17C4790D" w14:textId="77777777" w:rsidR="00DE4516" w:rsidRPr="00A46ADC" w:rsidRDefault="00DE4516" w:rsidP="00DE4516">
            <w:pPr>
              <w:pStyle w:val="TableBody"/>
              <w:autoSpaceDE w:val="0"/>
              <w:autoSpaceDN w:val="0"/>
              <w:adjustRightInd w:val="0"/>
              <w:jc w:val="both"/>
              <w:rPr>
                <w:sz w:val="14"/>
                <w:szCs w:val="16"/>
              </w:rPr>
            </w:pPr>
            <w:r w:rsidRPr="00A46ADC">
              <w:t>Economic integration</w:t>
            </w:r>
          </w:p>
        </w:tc>
        <w:tc>
          <w:tcPr>
            <w:tcW w:w="850" w:type="dxa"/>
            <w:hideMark/>
          </w:tcPr>
          <w:p w14:paraId="6764A709" w14:textId="77777777" w:rsidR="00DE4516" w:rsidRPr="00A46ADC" w:rsidRDefault="00DE4516" w:rsidP="00DE4516">
            <w:pPr>
              <w:pStyle w:val="TableBody"/>
              <w:autoSpaceDE w:val="0"/>
              <w:autoSpaceDN w:val="0"/>
              <w:adjustRightInd w:val="0"/>
              <w:jc w:val="both"/>
              <w:rPr>
                <w:i/>
                <w:sz w:val="14"/>
                <w:szCs w:val="16"/>
              </w:rPr>
            </w:pPr>
            <w:r w:rsidRPr="00A46ADC">
              <w:rPr>
                <w:i/>
              </w:rPr>
              <w:t>Ad hoc</w:t>
            </w:r>
          </w:p>
        </w:tc>
        <w:tc>
          <w:tcPr>
            <w:tcW w:w="3119" w:type="dxa"/>
            <w:hideMark/>
          </w:tcPr>
          <w:p w14:paraId="1B68F0C5" w14:textId="77777777" w:rsidR="00DE4516" w:rsidRPr="00A46ADC" w:rsidRDefault="00DE4516" w:rsidP="00DE4516">
            <w:pPr>
              <w:pStyle w:val="TableBody"/>
              <w:autoSpaceDE w:val="0"/>
              <w:autoSpaceDN w:val="0"/>
              <w:adjustRightInd w:val="0"/>
              <w:jc w:val="both"/>
              <w:rPr>
                <w:sz w:val="14"/>
                <w:szCs w:val="16"/>
              </w:rPr>
            </w:pPr>
            <w:r w:rsidRPr="00A46ADC">
              <w:t>WT/COMTD/N/45, S/C/N/807, 6 July 2015, revised on 14 July 2015; WT/COMTD/N/45/Rev.1 – S/C/N/807/Rev.1</w:t>
            </w:r>
          </w:p>
        </w:tc>
        <w:tc>
          <w:tcPr>
            <w:tcW w:w="2358" w:type="dxa"/>
            <w:hideMark/>
          </w:tcPr>
          <w:p w14:paraId="23E969A5" w14:textId="77777777" w:rsidR="00DE4516" w:rsidRPr="00A46ADC" w:rsidRDefault="00DE4516" w:rsidP="00DE4516">
            <w:pPr>
              <w:pStyle w:val="TableBody"/>
              <w:autoSpaceDE w:val="0"/>
              <w:autoSpaceDN w:val="0"/>
              <w:adjustRightInd w:val="0"/>
              <w:jc w:val="both"/>
              <w:rPr>
                <w:sz w:val="14"/>
                <w:szCs w:val="16"/>
              </w:rPr>
            </w:pPr>
            <w:r w:rsidRPr="00A46ADC">
              <w:t>Agreement between the GCC and Singapore</w:t>
            </w:r>
          </w:p>
        </w:tc>
      </w:tr>
      <w:tr w:rsidR="00DE4516" w:rsidRPr="007B09BB" w14:paraId="16406271"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9016" w:type="dxa"/>
            <w:gridSpan w:val="5"/>
            <w:hideMark/>
          </w:tcPr>
          <w:p w14:paraId="630D74A2" w14:textId="77777777" w:rsidR="00DE4516" w:rsidRPr="00A46ADC" w:rsidRDefault="00DE4516" w:rsidP="00DE4516">
            <w:pPr>
              <w:pStyle w:val="TableBody"/>
              <w:autoSpaceDE w:val="0"/>
              <w:autoSpaceDN w:val="0"/>
              <w:adjustRightInd w:val="0"/>
              <w:jc w:val="both"/>
              <w:rPr>
                <w:b/>
                <w:sz w:val="14"/>
                <w:szCs w:val="16"/>
              </w:rPr>
            </w:pPr>
            <w:r w:rsidRPr="00A46ADC">
              <w:rPr>
                <w:b/>
              </w:rPr>
              <w:t>Agreement on Anti</w:t>
            </w:r>
            <w:r w:rsidRPr="00A46ADC">
              <w:rPr>
                <w:b/>
              </w:rPr>
              <w:noBreakHyphen/>
              <w:t>dumping</w:t>
            </w:r>
          </w:p>
        </w:tc>
      </w:tr>
      <w:tr w:rsidR="00DE4516" w:rsidRPr="007B09BB" w14:paraId="19530BD2" w14:textId="77777777" w:rsidTr="002C718D">
        <w:trPr>
          <w:cantSplit/>
        </w:trPr>
        <w:tc>
          <w:tcPr>
            <w:tcW w:w="1413" w:type="dxa"/>
            <w:hideMark/>
          </w:tcPr>
          <w:p w14:paraId="3F0D38A1" w14:textId="77777777" w:rsidR="00DE4516" w:rsidRPr="00A46ADC" w:rsidRDefault="00DE4516" w:rsidP="00DE4516">
            <w:pPr>
              <w:pStyle w:val="TableBody"/>
              <w:autoSpaceDE w:val="0"/>
              <w:autoSpaceDN w:val="0"/>
              <w:adjustRightInd w:val="0"/>
              <w:jc w:val="both"/>
              <w:rPr>
                <w:sz w:val="14"/>
                <w:szCs w:val="16"/>
              </w:rPr>
            </w:pPr>
            <w:r w:rsidRPr="00A46ADC">
              <w:t>Article 18.5</w:t>
            </w:r>
          </w:p>
        </w:tc>
        <w:tc>
          <w:tcPr>
            <w:tcW w:w="1276" w:type="dxa"/>
            <w:hideMark/>
          </w:tcPr>
          <w:p w14:paraId="79425F70" w14:textId="77777777" w:rsidR="00DE4516" w:rsidRPr="00A46ADC" w:rsidRDefault="00DE4516" w:rsidP="00DE4516">
            <w:pPr>
              <w:pStyle w:val="TableBody"/>
              <w:autoSpaceDE w:val="0"/>
              <w:autoSpaceDN w:val="0"/>
              <w:adjustRightInd w:val="0"/>
              <w:jc w:val="both"/>
              <w:rPr>
                <w:sz w:val="14"/>
                <w:szCs w:val="16"/>
              </w:rPr>
            </w:pPr>
            <w:r w:rsidRPr="00A46ADC">
              <w:t>Laws and regulations</w:t>
            </w:r>
          </w:p>
        </w:tc>
        <w:tc>
          <w:tcPr>
            <w:tcW w:w="850" w:type="dxa"/>
            <w:hideMark/>
          </w:tcPr>
          <w:p w14:paraId="02543B8F" w14:textId="77777777" w:rsidR="00DE4516" w:rsidRPr="00A46ADC" w:rsidRDefault="00DE4516" w:rsidP="00DE4516">
            <w:pPr>
              <w:pStyle w:val="TableBody"/>
              <w:autoSpaceDE w:val="0"/>
              <w:autoSpaceDN w:val="0"/>
              <w:adjustRightInd w:val="0"/>
              <w:jc w:val="both"/>
              <w:rPr>
                <w:sz w:val="14"/>
                <w:szCs w:val="16"/>
              </w:rPr>
            </w:pPr>
            <w:r w:rsidRPr="00A46ADC">
              <w:t xml:space="preserve">Once, </w:t>
            </w:r>
            <w:r w:rsidRPr="00A46ADC">
              <w:rPr>
                <w:i/>
              </w:rPr>
              <w:t>ad hoc</w:t>
            </w:r>
          </w:p>
        </w:tc>
        <w:tc>
          <w:tcPr>
            <w:tcW w:w="3119" w:type="dxa"/>
            <w:hideMark/>
          </w:tcPr>
          <w:p w14:paraId="747D97C4" w14:textId="77777777" w:rsidR="00DE4516" w:rsidRPr="00A46ADC" w:rsidRDefault="00DE4516" w:rsidP="00DE4516">
            <w:pPr>
              <w:pStyle w:val="TableBody"/>
              <w:autoSpaceDE w:val="0"/>
              <w:autoSpaceDN w:val="0"/>
              <w:adjustRightInd w:val="0"/>
              <w:jc w:val="both"/>
              <w:rPr>
                <w:sz w:val="14"/>
                <w:szCs w:val="16"/>
                <w:lang w:val="da-DK"/>
              </w:rPr>
            </w:pPr>
            <w:r w:rsidRPr="00A46ADC">
              <w:t>G/ADP/N/1/OMN/3, 28 September 2015</w:t>
            </w:r>
          </w:p>
        </w:tc>
        <w:tc>
          <w:tcPr>
            <w:tcW w:w="2358" w:type="dxa"/>
            <w:hideMark/>
          </w:tcPr>
          <w:p w14:paraId="11342A9A" w14:textId="77777777" w:rsidR="00DE4516" w:rsidRPr="00A46ADC" w:rsidRDefault="00DE4516" w:rsidP="00DE4516">
            <w:pPr>
              <w:pStyle w:val="TableBody"/>
              <w:autoSpaceDE w:val="0"/>
              <w:autoSpaceDN w:val="0"/>
              <w:adjustRightInd w:val="0"/>
              <w:jc w:val="both"/>
              <w:rPr>
                <w:sz w:val="14"/>
                <w:szCs w:val="16"/>
              </w:rPr>
            </w:pPr>
            <w:r w:rsidRPr="00A46ADC">
              <w:t>GCC common law on anti</w:t>
            </w:r>
            <w:r w:rsidRPr="00A46ADC">
              <w:noBreakHyphen/>
              <w:t>dumping, countervailing measures, and safeguards</w:t>
            </w:r>
          </w:p>
        </w:tc>
      </w:tr>
      <w:tr w:rsidR="00DE4516" w:rsidRPr="007B09BB" w14:paraId="7ADB792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413" w:type="dxa"/>
            <w:hideMark/>
          </w:tcPr>
          <w:p w14:paraId="21F941C5" w14:textId="77777777" w:rsidR="00DE4516" w:rsidRPr="00A46ADC" w:rsidRDefault="00DE4516" w:rsidP="00DE4516">
            <w:pPr>
              <w:pStyle w:val="TableBody"/>
              <w:autoSpaceDE w:val="0"/>
              <w:autoSpaceDN w:val="0"/>
              <w:adjustRightInd w:val="0"/>
              <w:jc w:val="both"/>
              <w:rPr>
                <w:sz w:val="14"/>
                <w:szCs w:val="16"/>
              </w:rPr>
            </w:pPr>
            <w:r w:rsidRPr="00A46ADC">
              <w:t>Article 16.4</w:t>
            </w:r>
          </w:p>
        </w:tc>
        <w:tc>
          <w:tcPr>
            <w:tcW w:w="1276" w:type="dxa"/>
            <w:hideMark/>
          </w:tcPr>
          <w:p w14:paraId="725CEB2B" w14:textId="77777777" w:rsidR="00DE4516" w:rsidRPr="00A46ADC" w:rsidRDefault="00DE4516" w:rsidP="00DE4516">
            <w:pPr>
              <w:pStyle w:val="TableBody"/>
              <w:autoSpaceDE w:val="0"/>
              <w:autoSpaceDN w:val="0"/>
              <w:adjustRightInd w:val="0"/>
              <w:jc w:val="both"/>
              <w:rPr>
                <w:sz w:val="14"/>
                <w:szCs w:val="16"/>
              </w:rPr>
            </w:pPr>
            <w:r w:rsidRPr="00A46ADC">
              <w:t>Notification</w:t>
            </w:r>
          </w:p>
        </w:tc>
        <w:tc>
          <w:tcPr>
            <w:tcW w:w="850" w:type="dxa"/>
            <w:hideMark/>
          </w:tcPr>
          <w:p w14:paraId="71B6D132" w14:textId="77777777" w:rsidR="00DE4516" w:rsidRPr="00A46ADC" w:rsidRDefault="00DE4516" w:rsidP="00DE4516">
            <w:pPr>
              <w:pStyle w:val="TableBody"/>
              <w:autoSpaceDE w:val="0"/>
              <w:autoSpaceDN w:val="0"/>
              <w:adjustRightInd w:val="0"/>
              <w:jc w:val="both"/>
              <w:rPr>
                <w:i/>
                <w:sz w:val="14"/>
                <w:szCs w:val="16"/>
              </w:rPr>
            </w:pPr>
            <w:r w:rsidRPr="00A46ADC">
              <w:rPr>
                <w:i/>
              </w:rPr>
              <w:t>Ad hoc</w:t>
            </w:r>
          </w:p>
        </w:tc>
        <w:tc>
          <w:tcPr>
            <w:tcW w:w="3119" w:type="dxa"/>
            <w:hideMark/>
          </w:tcPr>
          <w:p w14:paraId="0D845FAE" w14:textId="77777777" w:rsidR="00DE4516" w:rsidRDefault="00DE4516" w:rsidP="00DE4516">
            <w:pPr>
              <w:pStyle w:val="TableBody"/>
              <w:autoSpaceDE w:val="0"/>
              <w:autoSpaceDN w:val="0"/>
              <w:adjustRightInd w:val="0"/>
            </w:pPr>
            <w:r>
              <w:t>G/ADP/N/287, 23 June 2016</w:t>
            </w:r>
          </w:p>
          <w:p w14:paraId="2A575B12" w14:textId="77777777" w:rsidR="00DE4516" w:rsidRDefault="00DE4516" w:rsidP="00DE4516">
            <w:pPr>
              <w:pStyle w:val="TableBody"/>
              <w:autoSpaceDE w:val="0"/>
              <w:autoSpaceDN w:val="0"/>
              <w:adjustRightInd w:val="0"/>
            </w:pPr>
            <w:r>
              <w:t>G/ADP/N/301, 28 June 2017</w:t>
            </w:r>
          </w:p>
          <w:p w14:paraId="744D989A" w14:textId="77777777" w:rsidR="00DE4516" w:rsidRDefault="00DE4516" w:rsidP="00DE4516">
            <w:pPr>
              <w:pStyle w:val="TableBody"/>
              <w:autoSpaceDE w:val="0"/>
              <w:autoSpaceDN w:val="0"/>
              <w:adjustRightInd w:val="0"/>
            </w:pPr>
            <w:r>
              <w:t>G/ADP/N/304, 20 September 2017</w:t>
            </w:r>
          </w:p>
          <w:p w14:paraId="5FE44EB2" w14:textId="77777777" w:rsidR="00DE4516" w:rsidRDefault="00DE4516" w:rsidP="00DE4516">
            <w:pPr>
              <w:pStyle w:val="TableBody"/>
              <w:autoSpaceDE w:val="0"/>
              <w:autoSpaceDN w:val="0"/>
              <w:adjustRightInd w:val="0"/>
            </w:pPr>
            <w:r>
              <w:t>G/ADP/N/321, 7 January 2019</w:t>
            </w:r>
          </w:p>
          <w:p w14:paraId="54ABDB27" w14:textId="77777777" w:rsidR="00DE4516" w:rsidRPr="00A46ADC" w:rsidRDefault="00DE4516" w:rsidP="00DE4516">
            <w:pPr>
              <w:pStyle w:val="TableBody"/>
              <w:autoSpaceDE w:val="0"/>
              <w:autoSpaceDN w:val="0"/>
              <w:adjustRightInd w:val="0"/>
              <w:jc w:val="both"/>
              <w:rPr>
                <w:sz w:val="14"/>
                <w:szCs w:val="16"/>
              </w:rPr>
            </w:pPr>
            <w:r w:rsidRPr="00A46ADC">
              <w:t>G/ADP/N/325, 1 May 2019</w:t>
            </w:r>
          </w:p>
        </w:tc>
        <w:tc>
          <w:tcPr>
            <w:tcW w:w="2358" w:type="dxa"/>
            <w:hideMark/>
          </w:tcPr>
          <w:p w14:paraId="600354DD" w14:textId="77777777" w:rsidR="00DE4516" w:rsidRPr="00A46ADC" w:rsidRDefault="00DE4516" w:rsidP="00DE4516">
            <w:pPr>
              <w:pStyle w:val="TableBody"/>
              <w:autoSpaceDE w:val="0"/>
              <w:autoSpaceDN w:val="0"/>
              <w:adjustRightInd w:val="0"/>
              <w:jc w:val="both"/>
              <w:rPr>
                <w:sz w:val="14"/>
                <w:szCs w:val="16"/>
              </w:rPr>
            </w:pPr>
            <w:r w:rsidRPr="00A46ADC">
              <w:t>Reports under Article 16.4 of the Agreement</w:t>
            </w:r>
          </w:p>
        </w:tc>
      </w:tr>
      <w:tr w:rsidR="00DE4516" w:rsidRPr="007B09BB" w14:paraId="4EC2AFCD" w14:textId="77777777" w:rsidTr="002C718D">
        <w:trPr>
          <w:cantSplit/>
        </w:trPr>
        <w:tc>
          <w:tcPr>
            <w:tcW w:w="1413" w:type="dxa"/>
          </w:tcPr>
          <w:p w14:paraId="50C2AE78" w14:textId="77777777" w:rsidR="00DE4516" w:rsidRPr="00A46ADC" w:rsidRDefault="00DE4516" w:rsidP="00DE4516">
            <w:pPr>
              <w:pStyle w:val="TableBody"/>
              <w:autoSpaceDE w:val="0"/>
              <w:autoSpaceDN w:val="0"/>
              <w:adjustRightInd w:val="0"/>
              <w:jc w:val="both"/>
              <w:rPr>
                <w:color w:val="000000"/>
                <w:sz w:val="14"/>
                <w:szCs w:val="16"/>
              </w:rPr>
            </w:pPr>
            <w:r w:rsidRPr="00A46ADC">
              <w:t>Article 16.4</w:t>
            </w:r>
          </w:p>
        </w:tc>
        <w:tc>
          <w:tcPr>
            <w:tcW w:w="1276" w:type="dxa"/>
          </w:tcPr>
          <w:p w14:paraId="57AC1685" w14:textId="77777777" w:rsidR="00DE4516" w:rsidRPr="00A46ADC" w:rsidRDefault="00DE4516" w:rsidP="00DE4516">
            <w:pPr>
              <w:pStyle w:val="TableBody"/>
              <w:autoSpaceDE w:val="0"/>
              <w:autoSpaceDN w:val="0"/>
              <w:adjustRightInd w:val="0"/>
              <w:jc w:val="both"/>
              <w:rPr>
                <w:color w:val="000000"/>
                <w:sz w:val="14"/>
                <w:szCs w:val="16"/>
              </w:rPr>
            </w:pPr>
            <w:r w:rsidRPr="00A46ADC">
              <w:t>Notification</w:t>
            </w:r>
          </w:p>
        </w:tc>
        <w:tc>
          <w:tcPr>
            <w:tcW w:w="850" w:type="dxa"/>
          </w:tcPr>
          <w:p w14:paraId="7FE8DFDA" w14:textId="77777777" w:rsidR="00DE4516" w:rsidRPr="00A46ADC" w:rsidRDefault="00DE4516" w:rsidP="00DE4516">
            <w:pPr>
              <w:pStyle w:val="TableBody"/>
              <w:autoSpaceDE w:val="0"/>
              <w:autoSpaceDN w:val="0"/>
              <w:adjustRightInd w:val="0"/>
              <w:jc w:val="both"/>
              <w:rPr>
                <w:color w:val="000000"/>
                <w:sz w:val="14"/>
                <w:szCs w:val="16"/>
              </w:rPr>
            </w:pPr>
            <w:r w:rsidRPr="00A46ADC">
              <w:t>Semi-annual</w:t>
            </w:r>
          </w:p>
        </w:tc>
        <w:tc>
          <w:tcPr>
            <w:tcW w:w="3119" w:type="dxa"/>
          </w:tcPr>
          <w:p w14:paraId="23E0B1D9" w14:textId="77777777" w:rsidR="00DE4516" w:rsidRPr="00A46ADC" w:rsidRDefault="00DE4516" w:rsidP="00DE4516">
            <w:pPr>
              <w:pStyle w:val="TableBody"/>
              <w:autoSpaceDE w:val="0"/>
              <w:autoSpaceDN w:val="0"/>
              <w:adjustRightInd w:val="0"/>
              <w:jc w:val="both"/>
              <w:rPr>
                <w:color w:val="000000"/>
                <w:sz w:val="14"/>
                <w:szCs w:val="16"/>
                <w:lang w:val="da-DK"/>
              </w:rPr>
            </w:pPr>
            <w:r w:rsidRPr="00A46ADC">
              <w:t>G/ADP/N/350/OMN, 5 February 2021</w:t>
            </w:r>
          </w:p>
        </w:tc>
        <w:tc>
          <w:tcPr>
            <w:tcW w:w="2358" w:type="dxa"/>
          </w:tcPr>
          <w:p w14:paraId="7E138AD9" w14:textId="77777777" w:rsidR="00DE4516" w:rsidRPr="00A46ADC" w:rsidRDefault="00DE4516" w:rsidP="00DE4516">
            <w:pPr>
              <w:pStyle w:val="TableBody"/>
              <w:autoSpaceDE w:val="0"/>
              <w:autoSpaceDN w:val="0"/>
              <w:adjustRightInd w:val="0"/>
              <w:jc w:val="both"/>
              <w:rPr>
                <w:color w:val="000000"/>
                <w:sz w:val="14"/>
                <w:szCs w:val="16"/>
              </w:rPr>
            </w:pPr>
            <w:r w:rsidRPr="00A46ADC">
              <w:t>GCC Report for the period 1 July–31 December 2020</w:t>
            </w:r>
          </w:p>
        </w:tc>
      </w:tr>
      <w:tr w:rsidR="00DE4516" w:rsidRPr="007B09BB" w14:paraId="14E0BD2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9016" w:type="dxa"/>
            <w:gridSpan w:val="5"/>
            <w:hideMark/>
          </w:tcPr>
          <w:p w14:paraId="1DDF26D0" w14:textId="77777777" w:rsidR="00DE4516" w:rsidRPr="00A46ADC" w:rsidRDefault="00DE4516" w:rsidP="00DE4516">
            <w:pPr>
              <w:pStyle w:val="TableBody"/>
              <w:autoSpaceDE w:val="0"/>
              <w:autoSpaceDN w:val="0"/>
              <w:adjustRightInd w:val="0"/>
              <w:jc w:val="both"/>
              <w:rPr>
                <w:b/>
                <w:sz w:val="14"/>
                <w:szCs w:val="16"/>
              </w:rPr>
            </w:pPr>
            <w:r w:rsidRPr="00A46ADC">
              <w:rPr>
                <w:b/>
              </w:rPr>
              <w:t>Agreement on Subsidies and Countervailing Measures</w:t>
            </w:r>
          </w:p>
        </w:tc>
      </w:tr>
      <w:tr w:rsidR="00DE4516" w:rsidRPr="007B09BB" w14:paraId="7EFB6F6D" w14:textId="77777777" w:rsidTr="002C718D">
        <w:trPr>
          <w:cantSplit/>
        </w:trPr>
        <w:tc>
          <w:tcPr>
            <w:tcW w:w="1413" w:type="dxa"/>
            <w:hideMark/>
          </w:tcPr>
          <w:p w14:paraId="0CC52E81" w14:textId="77777777" w:rsidR="00DE4516" w:rsidRPr="00A46ADC" w:rsidRDefault="00DE4516" w:rsidP="00DE4516">
            <w:pPr>
              <w:pStyle w:val="TableBody"/>
              <w:autoSpaceDE w:val="0"/>
              <w:autoSpaceDN w:val="0"/>
              <w:adjustRightInd w:val="0"/>
              <w:jc w:val="both"/>
              <w:rPr>
                <w:sz w:val="14"/>
                <w:szCs w:val="16"/>
              </w:rPr>
            </w:pPr>
            <w:r w:rsidRPr="00A46ADC">
              <w:t>Article 32.6</w:t>
            </w:r>
          </w:p>
        </w:tc>
        <w:tc>
          <w:tcPr>
            <w:tcW w:w="1276" w:type="dxa"/>
            <w:hideMark/>
          </w:tcPr>
          <w:p w14:paraId="0395BA39" w14:textId="77777777" w:rsidR="00DE4516" w:rsidRPr="00A46ADC" w:rsidRDefault="00DE4516" w:rsidP="00DE4516">
            <w:pPr>
              <w:pStyle w:val="TableBody"/>
              <w:autoSpaceDE w:val="0"/>
              <w:autoSpaceDN w:val="0"/>
              <w:adjustRightInd w:val="0"/>
              <w:jc w:val="both"/>
              <w:rPr>
                <w:sz w:val="14"/>
                <w:szCs w:val="16"/>
              </w:rPr>
            </w:pPr>
            <w:r w:rsidRPr="00A46ADC">
              <w:t>Laws and regulations</w:t>
            </w:r>
          </w:p>
        </w:tc>
        <w:tc>
          <w:tcPr>
            <w:tcW w:w="850" w:type="dxa"/>
            <w:hideMark/>
          </w:tcPr>
          <w:p w14:paraId="2215C864" w14:textId="77777777" w:rsidR="00DE4516" w:rsidRPr="00A46ADC" w:rsidRDefault="00DE4516" w:rsidP="00DE4516">
            <w:pPr>
              <w:pStyle w:val="TableBody"/>
              <w:autoSpaceDE w:val="0"/>
              <w:autoSpaceDN w:val="0"/>
              <w:adjustRightInd w:val="0"/>
              <w:jc w:val="both"/>
              <w:rPr>
                <w:sz w:val="14"/>
                <w:szCs w:val="16"/>
              </w:rPr>
            </w:pPr>
            <w:r w:rsidRPr="00A46ADC">
              <w:t xml:space="preserve">Once, </w:t>
            </w:r>
            <w:r w:rsidRPr="00A46ADC">
              <w:rPr>
                <w:i/>
              </w:rPr>
              <w:t>ad hoc</w:t>
            </w:r>
          </w:p>
        </w:tc>
        <w:tc>
          <w:tcPr>
            <w:tcW w:w="3119" w:type="dxa"/>
            <w:hideMark/>
          </w:tcPr>
          <w:p w14:paraId="38B57A32" w14:textId="77777777" w:rsidR="00DE4516" w:rsidRPr="00A46ADC" w:rsidRDefault="00DE4516" w:rsidP="00DE4516">
            <w:pPr>
              <w:pStyle w:val="TableBody"/>
              <w:autoSpaceDE w:val="0"/>
              <w:autoSpaceDN w:val="0"/>
              <w:adjustRightInd w:val="0"/>
              <w:jc w:val="both"/>
              <w:rPr>
                <w:sz w:val="14"/>
                <w:szCs w:val="16"/>
                <w:lang w:val="da-DK"/>
              </w:rPr>
            </w:pPr>
            <w:r w:rsidRPr="00A46ADC">
              <w:t>G/SCM/N/1/OMN/3, 28 September 2015</w:t>
            </w:r>
          </w:p>
        </w:tc>
        <w:tc>
          <w:tcPr>
            <w:tcW w:w="2358" w:type="dxa"/>
            <w:hideMark/>
          </w:tcPr>
          <w:p w14:paraId="251DB026" w14:textId="77777777" w:rsidR="00DE4516" w:rsidRPr="00A46ADC" w:rsidRDefault="00DE4516" w:rsidP="00DE4516">
            <w:pPr>
              <w:pStyle w:val="TableBody"/>
              <w:autoSpaceDE w:val="0"/>
              <w:autoSpaceDN w:val="0"/>
              <w:adjustRightInd w:val="0"/>
              <w:jc w:val="both"/>
              <w:rPr>
                <w:sz w:val="14"/>
                <w:szCs w:val="16"/>
              </w:rPr>
            </w:pPr>
            <w:r w:rsidRPr="00A46ADC">
              <w:t>GCC common law on anti</w:t>
            </w:r>
            <w:r w:rsidRPr="00A46ADC">
              <w:noBreakHyphen/>
              <w:t>dumping, countervailing measures, and safeguards</w:t>
            </w:r>
          </w:p>
        </w:tc>
      </w:tr>
      <w:tr w:rsidR="00DE4516" w:rsidRPr="007B09BB" w14:paraId="24887D7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413" w:type="dxa"/>
            <w:hideMark/>
          </w:tcPr>
          <w:p w14:paraId="0EEEAFB2" w14:textId="77777777" w:rsidR="00DE4516" w:rsidRPr="00A46ADC" w:rsidRDefault="00DE4516" w:rsidP="00DE4516">
            <w:pPr>
              <w:pStyle w:val="TableBody"/>
              <w:autoSpaceDE w:val="0"/>
              <w:autoSpaceDN w:val="0"/>
              <w:adjustRightInd w:val="0"/>
              <w:jc w:val="both"/>
              <w:rPr>
                <w:sz w:val="14"/>
                <w:szCs w:val="16"/>
              </w:rPr>
            </w:pPr>
            <w:r w:rsidRPr="00A46ADC">
              <w:t>Article 25.1, and GATT 1994, Article XVI:1</w:t>
            </w:r>
          </w:p>
        </w:tc>
        <w:tc>
          <w:tcPr>
            <w:tcW w:w="1276" w:type="dxa"/>
            <w:hideMark/>
          </w:tcPr>
          <w:p w14:paraId="75D70652" w14:textId="77777777" w:rsidR="00DE4516" w:rsidRPr="00A46ADC" w:rsidRDefault="00DE4516" w:rsidP="00DE4516">
            <w:pPr>
              <w:pStyle w:val="TableBody"/>
              <w:autoSpaceDE w:val="0"/>
              <w:autoSpaceDN w:val="0"/>
              <w:adjustRightInd w:val="0"/>
              <w:jc w:val="both"/>
              <w:rPr>
                <w:sz w:val="14"/>
                <w:szCs w:val="16"/>
              </w:rPr>
            </w:pPr>
            <w:r w:rsidRPr="00A46ADC">
              <w:t>Notification of measures</w:t>
            </w:r>
          </w:p>
        </w:tc>
        <w:tc>
          <w:tcPr>
            <w:tcW w:w="850" w:type="dxa"/>
            <w:hideMark/>
          </w:tcPr>
          <w:p w14:paraId="551A5CA4" w14:textId="77777777" w:rsidR="00DE4516" w:rsidRPr="00A46ADC" w:rsidRDefault="00DE4516" w:rsidP="00DE4516">
            <w:pPr>
              <w:pStyle w:val="TableBody"/>
              <w:autoSpaceDE w:val="0"/>
              <w:autoSpaceDN w:val="0"/>
              <w:adjustRightInd w:val="0"/>
              <w:jc w:val="both"/>
            </w:pPr>
          </w:p>
        </w:tc>
        <w:tc>
          <w:tcPr>
            <w:tcW w:w="3119" w:type="dxa"/>
            <w:hideMark/>
          </w:tcPr>
          <w:p w14:paraId="6F60EC4C" w14:textId="77777777" w:rsidR="00DE4516" w:rsidRPr="00A46ADC" w:rsidRDefault="00DE4516" w:rsidP="00DE4516">
            <w:pPr>
              <w:pStyle w:val="TableBody"/>
              <w:autoSpaceDE w:val="0"/>
              <w:autoSpaceDN w:val="0"/>
              <w:adjustRightInd w:val="0"/>
              <w:jc w:val="both"/>
              <w:rPr>
                <w:sz w:val="14"/>
                <w:szCs w:val="16"/>
              </w:rPr>
            </w:pPr>
            <w:r w:rsidRPr="00A46ADC">
              <w:t>G/SCM/N/155/OMN, G/SCM/N/186/OMN, G/SCM/N/220/OMN, G/SCM/N/253/OMN, 29 July 2014; G/SCM/N/284/OMN, G/SCM/N/315/OMN, 26 June 2017</w:t>
            </w:r>
          </w:p>
        </w:tc>
        <w:tc>
          <w:tcPr>
            <w:tcW w:w="2358" w:type="dxa"/>
            <w:hideMark/>
          </w:tcPr>
          <w:p w14:paraId="74560EF3" w14:textId="77777777" w:rsidR="00DE4516" w:rsidRPr="00A46ADC" w:rsidRDefault="00DE4516" w:rsidP="00DE4516">
            <w:pPr>
              <w:pStyle w:val="TableBody"/>
              <w:autoSpaceDE w:val="0"/>
              <w:autoSpaceDN w:val="0"/>
              <w:adjustRightInd w:val="0"/>
              <w:jc w:val="both"/>
              <w:rPr>
                <w:sz w:val="14"/>
                <w:szCs w:val="16"/>
              </w:rPr>
            </w:pPr>
            <w:r w:rsidRPr="00A46ADC">
              <w:t>No subsidies as defined in the Agreement</w:t>
            </w:r>
          </w:p>
        </w:tc>
      </w:tr>
      <w:tr w:rsidR="00DE4516" w:rsidRPr="007B09BB" w14:paraId="53A390B1" w14:textId="77777777" w:rsidTr="002C718D">
        <w:trPr>
          <w:cantSplit/>
        </w:trPr>
        <w:tc>
          <w:tcPr>
            <w:tcW w:w="9016" w:type="dxa"/>
            <w:gridSpan w:val="5"/>
            <w:hideMark/>
          </w:tcPr>
          <w:p w14:paraId="2342C59B" w14:textId="77777777" w:rsidR="00DE4516" w:rsidRPr="00A46ADC" w:rsidRDefault="00DE4516" w:rsidP="00DE4516">
            <w:pPr>
              <w:pStyle w:val="TableBody"/>
              <w:autoSpaceDE w:val="0"/>
              <w:autoSpaceDN w:val="0"/>
              <w:adjustRightInd w:val="0"/>
              <w:jc w:val="both"/>
              <w:rPr>
                <w:b/>
                <w:sz w:val="14"/>
                <w:szCs w:val="16"/>
              </w:rPr>
            </w:pPr>
            <w:r w:rsidRPr="00A46ADC">
              <w:rPr>
                <w:b/>
              </w:rPr>
              <w:t>Committee on Subsidies and Countervailing Measures</w:t>
            </w:r>
          </w:p>
        </w:tc>
      </w:tr>
      <w:tr w:rsidR="00DE4516" w:rsidRPr="007B09BB" w14:paraId="2D0386A4"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413" w:type="dxa"/>
            <w:hideMark/>
          </w:tcPr>
          <w:p w14:paraId="44F2B7C8" w14:textId="77777777" w:rsidR="00DE4516" w:rsidRPr="00A46ADC" w:rsidRDefault="00DE4516" w:rsidP="00DE4516">
            <w:pPr>
              <w:pStyle w:val="TableBody"/>
              <w:autoSpaceDE w:val="0"/>
              <w:autoSpaceDN w:val="0"/>
              <w:adjustRightInd w:val="0"/>
              <w:jc w:val="both"/>
              <w:rPr>
                <w:sz w:val="14"/>
                <w:szCs w:val="16"/>
              </w:rPr>
            </w:pPr>
            <w:r w:rsidRPr="00A46ADC">
              <w:lastRenderedPageBreak/>
              <w:t>SCM Agreement, Article 25.11</w:t>
            </w:r>
          </w:p>
        </w:tc>
        <w:tc>
          <w:tcPr>
            <w:tcW w:w="1276" w:type="dxa"/>
            <w:hideMark/>
          </w:tcPr>
          <w:p w14:paraId="2E81598F" w14:textId="77777777" w:rsidR="00DE4516" w:rsidRPr="00A46ADC" w:rsidRDefault="00DE4516" w:rsidP="00DE4516">
            <w:pPr>
              <w:pStyle w:val="TableBody"/>
              <w:autoSpaceDE w:val="0"/>
              <w:autoSpaceDN w:val="0"/>
              <w:adjustRightInd w:val="0"/>
              <w:jc w:val="both"/>
              <w:rPr>
                <w:sz w:val="14"/>
                <w:szCs w:val="16"/>
              </w:rPr>
            </w:pPr>
            <w:r w:rsidRPr="00A46ADC">
              <w:t>Notification of measures</w:t>
            </w:r>
          </w:p>
        </w:tc>
        <w:tc>
          <w:tcPr>
            <w:tcW w:w="850" w:type="dxa"/>
            <w:hideMark/>
          </w:tcPr>
          <w:p w14:paraId="33559DFD" w14:textId="77777777" w:rsidR="00DE4516" w:rsidRPr="00A46ADC" w:rsidRDefault="00DE4516" w:rsidP="00DE4516">
            <w:pPr>
              <w:pStyle w:val="TableBody"/>
              <w:autoSpaceDE w:val="0"/>
              <w:autoSpaceDN w:val="0"/>
              <w:adjustRightInd w:val="0"/>
              <w:jc w:val="both"/>
              <w:rPr>
                <w:sz w:val="14"/>
                <w:szCs w:val="16"/>
              </w:rPr>
            </w:pPr>
            <w:r w:rsidRPr="00A46ADC">
              <w:t>Semi-annual</w:t>
            </w:r>
          </w:p>
        </w:tc>
        <w:tc>
          <w:tcPr>
            <w:tcW w:w="3119" w:type="dxa"/>
            <w:hideMark/>
          </w:tcPr>
          <w:p w14:paraId="769AC0FC" w14:textId="77777777" w:rsidR="00DE4516" w:rsidRDefault="00DE4516" w:rsidP="00DE4516">
            <w:pPr>
              <w:pStyle w:val="TableBody"/>
              <w:autoSpaceDE w:val="0"/>
              <w:autoSpaceDN w:val="0"/>
              <w:adjustRightInd w:val="0"/>
            </w:pPr>
            <w:r>
              <w:t>G/SCM/N/274/Add.1, 17 October 2014</w:t>
            </w:r>
          </w:p>
          <w:p w14:paraId="29EA67BA" w14:textId="77777777" w:rsidR="00DE4516" w:rsidRDefault="00DE4516" w:rsidP="00DE4516">
            <w:pPr>
              <w:pStyle w:val="TableBody"/>
              <w:autoSpaceDE w:val="0"/>
              <w:autoSpaceDN w:val="0"/>
              <w:adjustRightInd w:val="0"/>
            </w:pPr>
            <w:r>
              <w:t>G/SCM/N/281/Add.1, 24 April 2015</w:t>
            </w:r>
          </w:p>
          <w:p w14:paraId="209A1EDE" w14:textId="77777777" w:rsidR="00DE4516" w:rsidRDefault="00DE4516" w:rsidP="00DE4516">
            <w:pPr>
              <w:pStyle w:val="TableBody"/>
              <w:autoSpaceDE w:val="0"/>
              <w:autoSpaceDN w:val="0"/>
              <w:adjustRightInd w:val="0"/>
            </w:pPr>
            <w:r>
              <w:t>G/SCM/N/289/Add.1, 22 October 2015</w:t>
            </w:r>
          </w:p>
          <w:p w14:paraId="539EEB63" w14:textId="77777777" w:rsidR="00DE4516" w:rsidRDefault="00DE4516" w:rsidP="00DE4516">
            <w:pPr>
              <w:pStyle w:val="TableBody"/>
              <w:autoSpaceDE w:val="0"/>
              <w:autoSpaceDN w:val="0"/>
              <w:adjustRightInd w:val="0"/>
            </w:pPr>
            <w:r>
              <w:t>G/SCM/N/298/Add.1, 22 April 2016</w:t>
            </w:r>
          </w:p>
          <w:p w14:paraId="12B90C69" w14:textId="77777777" w:rsidR="00DE4516" w:rsidRDefault="00DE4516" w:rsidP="00DE4516">
            <w:pPr>
              <w:pStyle w:val="TableBody"/>
              <w:autoSpaceDE w:val="0"/>
              <w:autoSpaceDN w:val="0"/>
              <w:adjustRightInd w:val="0"/>
            </w:pPr>
            <w:r>
              <w:t>G/SCM/N/305/Add.1, 21 October 2016</w:t>
            </w:r>
          </w:p>
          <w:p w14:paraId="601DCAA5" w14:textId="77777777" w:rsidR="00DE4516" w:rsidRDefault="00DE4516" w:rsidP="00DE4516">
            <w:pPr>
              <w:pStyle w:val="TableBody"/>
              <w:autoSpaceDE w:val="0"/>
              <w:autoSpaceDN w:val="0"/>
              <w:adjustRightInd w:val="0"/>
            </w:pPr>
            <w:r>
              <w:t>G/SCM/N/313/Add.1, 21 April 2017</w:t>
            </w:r>
          </w:p>
          <w:p w14:paraId="71F4061D" w14:textId="77777777" w:rsidR="00DE4516" w:rsidRDefault="00DE4516" w:rsidP="00DE4516">
            <w:pPr>
              <w:pStyle w:val="TableBody"/>
              <w:autoSpaceDE w:val="0"/>
              <w:autoSpaceDN w:val="0"/>
              <w:adjustRightInd w:val="0"/>
            </w:pPr>
            <w:r>
              <w:t>G/SCM/N/321/Add.1, 23 October 2017</w:t>
            </w:r>
          </w:p>
          <w:p w14:paraId="399B6F23" w14:textId="77777777" w:rsidR="00DE4516" w:rsidRDefault="00DE4516" w:rsidP="00DE4516">
            <w:pPr>
              <w:pStyle w:val="TableBody"/>
              <w:autoSpaceDE w:val="0"/>
              <w:autoSpaceDN w:val="0"/>
              <w:adjustRightInd w:val="0"/>
            </w:pPr>
            <w:r>
              <w:t>G/SCM/N/328/Add.1, 20 April 2018</w:t>
            </w:r>
          </w:p>
          <w:p w14:paraId="1B035B12" w14:textId="77777777" w:rsidR="00DE4516" w:rsidRDefault="00DE4516" w:rsidP="00DE4516">
            <w:pPr>
              <w:pStyle w:val="TableBody"/>
              <w:autoSpaceDE w:val="0"/>
              <w:autoSpaceDN w:val="0"/>
              <w:adjustRightInd w:val="0"/>
            </w:pPr>
            <w:r>
              <w:t>G/SCM/N/334/Add.1, 19 October 2018</w:t>
            </w:r>
          </w:p>
          <w:p w14:paraId="6AC994B5" w14:textId="77777777" w:rsidR="00DE4516" w:rsidRDefault="00DE4516" w:rsidP="00DE4516">
            <w:pPr>
              <w:pStyle w:val="TableBody"/>
              <w:autoSpaceDE w:val="0"/>
              <w:autoSpaceDN w:val="0"/>
              <w:adjustRightInd w:val="0"/>
            </w:pPr>
            <w:r>
              <w:t>G/SCM/N/342/Add.1, 24 April 2019</w:t>
            </w:r>
          </w:p>
          <w:p w14:paraId="525AD56B" w14:textId="77777777" w:rsidR="00DE4516" w:rsidRDefault="00DE4516" w:rsidP="00DE4516">
            <w:pPr>
              <w:pStyle w:val="TableBody"/>
              <w:autoSpaceDE w:val="0"/>
              <w:autoSpaceDN w:val="0"/>
              <w:adjustRightInd w:val="0"/>
            </w:pPr>
            <w:r>
              <w:t>G/SCM/N/349/Add.1, 15 November 2019</w:t>
            </w:r>
          </w:p>
          <w:p w14:paraId="01BA58D8" w14:textId="77777777" w:rsidR="00DE4516" w:rsidRDefault="00DE4516" w:rsidP="00DE4516">
            <w:pPr>
              <w:pStyle w:val="TableBody"/>
              <w:autoSpaceDE w:val="0"/>
              <w:autoSpaceDN w:val="0"/>
              <w:adjustRightInd w:val="0"/>
            </w:pPr>
            <w:r>
              <w:t>G/SCM/N/356/Add.1, 4 May 2020</w:t>
            </w:r>
          </w:p>
          <w:p w14:paraId="64EF0A51" w14:textId="77777777" w:rsidR="00DE4516" w:rsidRDefault="00DE4516" w:rsidP="00DE4516">
            <w:pPr>
              <w:pStyle w:val="TableBody"/>
              <w:autoSpaceDE w:val="0"/>
              <w:autoSpaceDN w:val="0"/>
              <w:adjustRightInd w:val="0"/>
            </w:pPr>
            <w:r>
              <w:t>G/SCM/N/363/Add.1, 14 October 2020</w:t>
            </w:r>
          </w:p>
          <w:p w14:paraId="416BB9F1" w14:textId="77777777" w:rsidR="00DE4516" w:rsidRPr="00A46ADC" w:rsidRDefault="00DE4516" w:rsidP="00DE4516">
            <w:pPr>
              <w:pStyle w:val="TableBody"/>
              <w:autoSpaceDE w:val="0"/>
              <w:autoSpaceDN w:val="0"/>
              <w:adjustRightInd w:val="0"/>
              <w:jc w:val="both"/>
              <w:rPr>
                <w:sz w:val="14"/>
                <w:szCs w:val="16"/>
              </w:rPr>
            </w:pPr>
            <w:r w:rsidRPr="00A46ADC">
              <w:t>G/SCM/N/371/Add.1, 15 April 2021</w:t>
            </w:r>
          </w:p>
        </w:tc>
        <w:tc>
          <w:tcPr>
            <w:tcW w:w="2358" w:type="dxa"/>
            <w:hideMark/>
          </w:tcPr>
          <w:p w14:paraId="5CC92E56" w14:textId="77777777" w:rsidR="00DE4516" w:rsidRPr="00A46ADC" w:rsidRDefault="00DE4516" w:rsidP="00DE4516">
            <w:pPr>
              <w:pStyle w:val="TableBody"/>
              <w:autoSpaceDE w:val="0"/>
              <w:autoSpaceDN w:val="0"/>
              <w:adjustRightInd w:val="0"/>
              <w:jc w:val="both"/>
              <w:rPr>
                <w:sz w:val="14"/>
                <w:szCs w:val="16"/>
              </w:rPr>
            </w:pPr>
            <w:r w:rsidRPr="00A46ADC">
              <w:t>Notification that no countervailing duty action has been taken</w:t>
            </w:r>
          </w:p>
        </w:tc>
      </w:tr>
      <w:tr w:rsidR="00DE4516" w:rsidRPr="007B09BB" w14:paraId="6CF55ED3" w14:textId="77777777" w:rsidTr="002C718D">
        <w:trPr>
          <w:cantSplit/>
        </w:trPr>
        <w:tc>
          <w:tcPr>
            <w:tcW w:w="9016" w:type="dxa"/>
            <w:gridSpan w:val="5"/>
            <w:hideMark/>
          </w:tcPr>
          <w:p w14:paraId="7B50FC8B" w14:textId="77777777" w:rsidR="00DE4516" w:rsidRPr="00A46ADC" w:rsidRDefault="00DE4516" w:rsidP="00DE4516">
            <w:pPr>
              <w:pStyle w:val="TableBody"/>
              <w:autoSpaceDE w:val="0"/>
              <w:autoSpaceDN w:val="0"/>
              <w:adjustRightInd w:val="0"/>
              <w:jc w:val="both"/>
              <w:rPr>
                <w:b/>
                <w:sz w:val="14"/>
                <w:szCs w:val="16"/>
              </w:rPr>
            </w:pPr>
            <w:r w:rsidRPr="00A46ADC">
              <w:rPr>
                <w:b/>
              </w:rPr>
              <w:t>Agreement on Safeguards</w:t>
            </w:r>
          </w:p>
        </w:tc>
      </w:tr>
      <w:tr w:rsidR="00DE4516" w:rsidRPr="007B09BB" w14:paraId="21C0830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413" w:type="dxa"/>
            <w:hideMark/>
          </w:tcPr>
          <w:p w14:paraId="1C43A816" w14:textId="77777777" w:rsidR="00DE4516" w:rsidRPr="00A46ADC" w:rsidRDefault="00DE4516" w:rsidP="00DE4516">
            <w:pPr>
              <w:pStyle w:val="TableBody"/>
              <w:autoSpaceDE w:val="0"/>
              <w:autoSpaceDN w:val="0"/>
              <w:adjustRightInd w:val="0"/>
              <w:jc w:val="both"/>
              <w:rPr>
                <w:sz w:val="14"/>
                <w:szCs w:val="16"/>
              </w:rPr>
            </w:pPr>
            <w:r w:rsidRPr="00A46ADC">
              <w:t>Article 12.6</w:t>
            </w:r>
          </w:p>
        </w:tc>
        <w:tc>
          <w:tcPr>
            <w:tcW w:w="1276" w:type="dxa"/>
            <w:hideMark/>
          </w:tcPr>
          <w:p w14:paraId="6A9408F7" w14:textId="77777777" w:rsidR="00DE4516" w:rsidRPr="00A46ADC" w:rsidRDefault="00DE4516" w:rsidP="00DE4516">
            <w:pPr>
              <w:pStyle w:val="TableBody"/>
              <w:autoSpaceDE w:val="0"/>
              <w:autoSpaceDN w:val="0"/>
              <w:adjustRightInd w:val="0"/>
              <w:jc w:val="both"/>
              <w:rPr>
                <w:sz w:val="14"/>
                <w:szCs w:val="16"/>
              </w:rPr>
            </w:pPr>
            <w:r w:rsidRPr="00A46ADC">
              <w:t>Laws and regulations</w:t>
            </w:r>
          </w:p>
        </w:tc>
        <w:tc>
          <w:tcPr>
            <w:tcW w:w="850" w:type="dxa"/>
            <w:hideMark/>
          </w:tcPr>
          <w:p w14:paraId="4C28D5AE" w14:textId="77777777" w:rsidR="00DE4516" w:rsidRPr="00A46ADC" w:rsidRDefault="00DE4516" w:rsidP="00DE4516">
            <w:pPr>
              <w:pStyle w:val="TableBody"/>
              <w:autoSpaceDE w:val="0"/>
              <w:autoSpaceDN w:val="0"/>
              <w:adjustRightInd w:val="0"/>
              <w:jc w:val="both"/>
              <w:rPr>
                <w:sz w:val="14"/>
                <w:szCs w:val="16"/>
              </w:rPr>
            </w:pPr>
            <w:r w:rsidRPr="00A46ADC">
              <w:t xml:space="preserve">Once, </w:t>
            </w:r>
            <w:r w:rsidRPr="00A46ADC">
              <w:rPr>
                <w:i/>
              </w:rPr>
              <w:t>ad hoc</w:t>
            </w:r>
          </w:p>
        </w:tc>
        <w:tc>
          <w:tcPr>
            <w:tcW w:w="3119" w:type="dxa"/>
            <w:hideMark/>
          </w:tcPr>
          <w:p w14:paraId="559A47E8" w14:textId="77777777" w:rsidR="00DE4516" w:rsidRPr="00A46ADC" w:rsidRDefault="00DE4516" w:rsidP="00DE4516">
            <w:pPr>
              <w:pStyle w:val="TableBody"/>
              <w:autoSpaceDE w:val="0"/>
              <w:autoSpaceDN w:val="0"/>
              <w:adjustRightInd w:val="0"/>
              <w:jc w:val="both"/>
              <w:rPr>
                <w:sz w:val="14"/>
                <w:szCs w:val="16"/>
                <w:lang w:val="da-DK"/>
              </w:rPr>
            </w:pPr>
            <w:r w:rsidRPr="00A46ADC">
              <w:t>G/SG/N/1/OMN/3, 28 September 2015</w:t>
            </w:r>
          </w:p>
        </w:tc>
        <w:tc>
          <w:tcPr>
            <w:tcW w:w="2358" w:type="dxa"/>
            <w:hideMark/>
          </w:tcPr>
          <w:p w14:paraId="1AC56500" w14:textId="77777777" w:rsidR="00DE4516" w:rsidRPr="00A46ADC" w:rsidRDefault="00DE4516" w:rsidP="00DE4516">
            <w:pPr>
              <w:pStyle w:val="TableBody"/>
              <w:autoSpaceDE w:val="0"/>
              <w:autoSpaceDN w:val="0"/>
              <w:adjustRightInd w:val="0"/>
              <w:jc w:val="both"/>
              <w:rPr>
                <w:sz w:val="14"/>
                <w:szCs w:val="16"/>
              </w:rPr>
            </w:pPr>
            <w:r w:rsidRPr="00A46ADC">
              <w:t>GCC common law on anti</w:t>
            </w:r>
            <w:r w:rsidRPr="00A46ADC">
              <w:noBreakHyphen/>
              <w:t>dumping, countervailing measures, and safeguards</w:t>
            </w:r>
          </w:p>
        </w:tc>
      </w:tr>
      <w:tr w:rsidR="00DE4516" w:rsidRPr="007B09BB" w14:paraId="7950460D" w14:textId="77777777" w:rsidTr="002C718D">
        <w:trPr>
          <w:cantSplit/>
        </w:trPr>
        <w:tc>
          <w:tcPr>
            <w:tcW w:w="9016" w:type="dxa"/>
            <w:gridSpan w:val="5"/>
            <w:hideMark/>
          </w:tcPr>
          <w:p w14:paraId="71703939" w14:textId="77777777" w:rsidR="00DE4516" w:rsidRPr="00A46ADC" w:rsidRDefault="00DE4516" w:rsidP="00DE4516">
            <w:pPr>
              <w:pStyle w:val="TableBody"/>
              <w:autoSpaceDE w:val="0"/>
              <w:autoSpaceDN w:val="0"/>
              <w:adjustRightInd w:val="0"/>
              <w:jc w:val="both"/>
              <w:rPr>
                <w:b/>
                <w:sz w:val="14"/>
                <w:szCs w:val="16"/>
              </w:rPr>
            </w:pPr>
            <w:r w:rsidRPr="00A46ADC">
              <w:rPr>
                <w:b/>
              </w:rPr>
              <w:t>Committee on Safeguards</w:t>
            </w:r>
          </w:p>
        </w:tc>
      </w:tr>
      <w:tr w:rsidR="00DE4516" w:rsidRPr="007B09BB" w14:paraId="62049E4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413" w:type="dxa"/>
            <w:hideMark/>
          </w:tcPr>
          <w:p w14:paraId="179C54CA" w14:textId="77777777" w:rsidR="00DE4516" w:rsidRPr="00A46ADC" w:rsidRDefault="00DE4516" w:rsidP="00DE4516">
            <w:pPr>
              <w:pStyle w:val="TableBody"/>
              <w:autoSpaceDE w:val="0"/>
              <w:autoSpaceDN w:val="0"/>
              <w:adjustRightInd w:val="0"/>
              <w:jc w:val="both"/>
              <w:rPr>
                <w:sz w:val="14"/>
                <w:szCs w:val="16"/>
              </w:rPr>
            </w:pPr>
            <w:r w:rsidRPr="00A46ADC">
              <w:t>Agreement on Safeguards, Article 12(1)(a)</w:t>
            </w:r>
          </w:p>
        </w:tc>
        <w:tc>
          <w:tcPr>
            <w:tcW w:w="1276" w:type="dxa"/>
            <w:hideMark/>
          </w:tcPr>
          <w:p w14:paraId="636D8ACB" w14:textId="77777777" w:rsidR="00DE4516" w:rsidRPr="00A46ADC" w:rsidRDefault="00DE4516" w:rsidP="00DE4516">
            <w:pPr>
              <w:pStyle w:val="TableBody"/>
              <w:autoSpaceDE w:val="0"/>
              <w:autoSpaceDN w:val="0"/>
              <w:adjustRightInd w:val="0"/>
              <w:jc w:val="both"/>
              <w:rPr>
                <w:sz w:val="14"/>
                <w:szCs w:val="16"/>
              </w:rPr>
            </w:pPr>
            <w:r w:rsidRPr="00A46ADC">
              <w:t>Notification of measures</w:t>
            </w:r>
          </w:p>
        </w:tc>
        <w:tc>
          <w:tcPr>
            <w:tcW w:w="850" w:type="dxa"/>
            <w:hideMark/>
          </w:tcPr>
          <w:p w14:paraId="7C727D89" w14:textId="77777777" w:rsidR="00DE4516" w:rsidRPr="00A46ADC" w:rsidRDefault="00DE4516" w:rsidP="00DE4516">
            <w:pPr>
              <w:pStyle w:val="TableBody"/>
              <w:autoSpaceDE w:val="0"/>
              <w:autoSpaceDN w:val="0"/>
              <w:adjustRightInd w:val="0"/>
              <w:jc w:val="both"/>
              <w:rPr>
                <w:i/>
                <w:sz w:val="14"/>
                <w:szCs w:val="16"/>
              </w:rPr>
            </w:pPr>
            <w:r w:rsidRPr="00A46ADC">
              <w:rPr>
                <w:i/>
              </w:rPr>
              <w:t>Ad hoc</w:t>
            </w:r>
          </w:p>
        </w:tc>
        <w:tc>
          <w:tcPr>
            <w:tcW w:w="3119" w:type="dxa"/>
            <w:hideMark/>
          </w:tcPr>
          <w:p w14:paraId="4F46F145" w14:textId="77777777" w:rsidR="00DE4516" w:rsidRDefault="00DE4516" w:rsidP="00DE4516">
            <w:pPr>
              <w:pStyle w:val="TableBody"/>
              <w:autoSpaceDE w:val="0"/>
              <w:autoSpaceDN w:val="0"/>
              <w:adjustRightInd w:val="0"/>
            </w:pPr>
            <w:r>
              <w:t>G/SG/N/6/OMN/1, 10 June 2016</w:t>
            </w:r>
          </w:p>
          <w:p w14:paraId="6FA2D1AF" w14:textId="77777777" w:rsidR="00DE4516" w:rsidRDefault="00DE4516" w:rsidP="00DE4516">
            <w:pPr>
              <w:pStyle w:val="TableBody"/>
              <w:autoSpaceDE w:val="0"/>
              <w:autoSpaceDN w:val="0"/>
              <w:adjustRightInd w:val="0"/>
            </w:pPr>
            <w:r>
              <w:t>G/SG/N/6/OMN/2, 10 October 2016</w:t>
            </w:r>
          </w:p>
          <w:p w14:paraId="54531CCF" w14:textId="77777777" w:rsidR="00DE4516" w:rsidRDefault="00DE4516" w:rsidP="00DE4516">
            <w:pPr>
              <w:pStyle w:val="TableBody"/>
              <w:autoSpaceDE w:val="0"/>
              <w:autoSpaceDN w:val="0"/>
              <w:adjustRightInd w:val="0"/>
            </w:pPr>
            <w:r>
              <w:t>G/SG/N/6/OMN/3, 24 October 2019</w:t>
            </w:r>
          </w:p>
          <w:p w14:paraId="13852351" w14:textId="77777777" w:rsidR="00DE4516" w:rsidRPr="00A46ADC" w:rsidRDefault="00DE4516" w:rsidP="00DE4516">
            <w:pPr>
              <w:pStyle w:val="TableBody"/>
              <w:autoSpaceDE w:val="0"/>
              <w:autoSpaceDN w:val="0"/>
              <w:adjustRightInd w:val="0"/>
              <w:jc w:val="both"/>
              <w:rPr>
                <w:sz w:val="14"/>
                <w:szCs w:val="16"/>
              </w:rPr>
            </w:pPr>
            <w:r w:rsidRPr="00A46ADC">
              <w:t>G/SG/N/6/OMN/3/Suppl.1, 20 January 2021</w:t>
            </w:r>
          </w:p>
        </w:tc>
        <w:tc>
          <w:tcPr>
            <w:tcW w:w="2358" w:type="dxa"/>
            <w:hideMark/>
          </w:tcPr>
          <w:p w14:paraId="75A8A666" w14:textId="77777777" w:rsidR="00DE4516" w:rsidRPr="00A46ADC" w:rsidRDefault="00DE4516" w:rsidP="00DE4516">
            <w:pPr>
              <w:pStyle w:val="TableBody"/>
              <w:autoSpaceDE w:val="0"/>
              <w:autoSpaceDN w:val="0"/>
              <w:adjustRightInd w:val="0"/>
              <w:jc w:val="both"/>
              <w:rPr>
                <w:sz w:val="14"/>
                <w:szCs w:val="16"/>
              </w:rPr>
            </w:pPr>
            <w:r w:rsidRPr="00A46ADC">
              <w:t>Initiation by the GCC of an investigation on flat-rolled products of iron and non</w:t>
            </w:r>
            <w:r w:rsidRPr="00A46ADC">
              <w:noBreakHyphen/>
              <w:t>alloy steel; on ferro-</w:t>
            </w:r>
            <w:proofErr w:type="gramStart"/>
            <w:r w:rsidRPr="00A46ADC">
              <w:t>silico-manganese</w:t>
            </w:r>
            <w:proofErr w:type="gramEnd"/>
            <w:r w:rsidRPr="00A46ADC">
              <w:t>; on certain steel products</w:t>
            </w:r>
          </w:p>
        </w:tc>
      </w:tr>
      <w:tr w:rsidR="00DE4516" w:rsidRPr="007B09BB" w14:paraId="207A3F1E" w14:textId="77777777" w:rsidTr="002C718D">
        <w:trPr>
          <w:cantSplit/>
        </w:trPr>
        <w:tc>
          <w:tcPr>
            <w:tcW w:w="1413" w:type="dxa"/>
          </w:tcPr>
          <w:p w14:paraId="6639C491" w14:textId="77777777" w:rsidR="00DE4516" w:rsidRPr="00A46ADC" w:rsidRDefault="00DE4516" w:rsidP="00DE4516">
            <w:pPr>
              <w:pStyle w:val="TableBody"/>
              <w:autoSpaceDE w:val="0"/>
              <w:autoSpaceDN w:val="0"/>
              <w:adjustRightInd w:val="0"/>
              <w:jc w:val="both"/>
              <w:rPr>
                <w:color w:val="000000"/>
                <w:sz w:val="14"/>
                <w:szCs w:val="16"/>
              </w:rPr>
            </w:pPr>
            <w:r w:rsidRPr="00A46ADC">
              <w:t>Agreement on Safeguards, Articles 9(1), 12(1)(b), and 12(1)(c)</w:t>
            </w:r>
          </w:p>
        </w:tc>
        <w:tc>
          <w:tcPr>
            <w:tcW w:w="1276" w:type="dxa"/>
          </w:tcPr>
          <w:p w14:paraId="5136CB49" w14:textId="77777777" w:rsidR="00DE4516" w:rsidRPr="00A46ADC" w:rsidRDefault="00DE4516" w:rsidP="00DE4516">
            <w:pPr>
              <w:pStyle w:val="TableBody"/>
              <w:autoSpaceDE w:val="0"/>
              <w:autoSpaceDN w:val="0"/>
              <w:adjustRightInd w:val="0"/>
              <w:jc w:val="both"/>
              <w:rPr>
                <w:color w:val="000000"/>
                <w:sz w:val="14"/>
                <w:szCs w:val="16"/>
              </w:rPr>
            </w:pPr>
            <w:r w:rsidRPr="00A46ADC">
              <w:t>Notification of measures</w:t>
            </w:r>
          </w:p>
        </w:tc>
        <w:tc>
          <w:tcPr>
            <w:tcW w:w="850" w:type="dxa"/>
          </w:tcPr>
          <w:p w14:paraId="3E219CD7" w14:textId="77777777" w:rsidR="00DE4516" w:rsidRPr="00A46ADC" w:rsidRDefault="00DE4516" w:rsidP="00DE4516">
            <w:pPr>
              <w:pStyle w:val="TableBody"/>
              <w:autoSpaceDE w:val="0"/>
              <w:autoSpaceDN w:val="0"/>
              <w:adjustRightInd w:val="0"/>
              <w:jc w:val="both"/>
              <w:rPr>
                <w:i/>
                <w:color w:val="000000"/>
                <w:sz w:val="14"/>
                <w:szCs w:val="16"/>
              </w:rPr>
            </w:pPr>
            <w:r w:rsidRPr="00A46ADC">
              <w:rPr>
                <w:i/>
              </w:rPr>
              <w:t>Ad hoc</w:t>
            </w:r>
          </w:p>
        </w:tc>
        <w:tc>
          <w:tcPr>
            <w:tcW w:w="3119" w:type="dxa"/>
          </w:tcPr>
          <w:p w14:paraId="2A8ABE78" w14:textId="77777777" w:rsidR="00DE4516" w:rsidRPr="00A46ADC" w:rsidRDefault="00DE4516" w:rsidP="00DE4516">
            <w:pPr>
              <w:pStyle w:val="TableBody"/>
              <w:autoSpaceDE w:val="0"/>
              <w:autoSpaceDN w:val="0"/>
              <w:adjustRightInd w:val="0"/>
              <w:jc w:val="both"/>
              <w:rPr>
                <w:color w:val="000000"/>
                <w:sz w:val="14"/>
                <w:szCs w:val="16"/>
                <w:shd w:val="clear" w:color="auto" w:fill="FFFFFF"/>
                <w:lang w:val="da-DK"/>
              </w:rPr>
            </w:pPr>
            <w:r w:rsidRPr="00A46ADC">
              <w:t>G/SG/N/10/OMN/1, 15 June 2017</w:t>
            </w:r>
          </w:p>
        </w:tc>
        <w:tc>
          <w:tcPr>
            <w:tcW w:w="2358" w:type="dxa"/>
          </w:tcPr>
          <w:p w14:paraId="27B9DDAF" w14:textId="77777777" w:rsidR="00DE4516" w:rsidRPr="00A46ADC" w:rsidRDefault="00DE4516" w:rsidP="00DE4516">
            <w:pPr>
              <w:pStyle w:val="TableBody"/>
              <w:autoSpaceDE w:val="0"/>
              <w:autoSpaceDN w:val="0"/>
              <w:adjustRightInd w:val="0"/>
              <w:jc w:val="both"/>
              <w:rPr>
                <w:color w:val="000000"/>
                <w:sz w:val="14"/>
                <w:szCs w:val="16"/>
              </w:rPr>
            </w:pPr>
            <w:r w:rsidRPr="00A46ADC">
              <w:t>Final determination of serious injury to the GCC industry</w:t>
            </w:r>
          </w:p>
        </w:tc>
      </w:tr>
      <w:tr w:rsidR="00DE4516" w:rsidRPr="007B09BB" w14:paraId="43ABA2DA"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9016" w:type="dxa"/>
            <w:gridSpan w:val="5"/>
            <w:hideMark/>
          </w:tcPr>
          <w:p w14:paraId="0CD432C0" w14:textId="77777777" w:rsidR="00DE4516" w:rsidRPr="00A46ADC" w:rsidRDefault="00DE4516" w:rsidP="00DE4516">
            <w:pPr>
              <w:pStyle w:val="TableBody"/>
              <w:autoSpaceDE w:val="0"/>
              <w:autoSpaceDN w:val="0"/>
              <w:adjustRightInd w:val="0"/>
              <w:jc w:val="both"/>
              <w:rPr>
                <w:b/>
                <w:sz w:val="14"/>
                <w:szCs w:val="16"/>
              </w:rPr>
            </w:pPr>
            <w:r w:rsidRPr="00A46ADC">
              <w:rPr>
                <w:b/>
              </w:rPr>
              <w:t>Agreement on Import Licensing Procedures</w:t>
            </w:r>
          </w:p>
        </w:tc>
      </w:tr>
      <w:tr w:rsidR="00DE4516" w:rsidRPr="007B09BB" w14:paraId="4838A1E6" w14:textId="77777777" w:rsidTr="002C718D">
        <w:trPr>
          <w:cantSplit/>
        </w:trPr>
        <w:tc>
          <w:tcPr>
            <w:tcW w:w="1413" w:type="dxa"/>
            <w:hideMark/>
          </w:tcPr>
          <w:p w14:paraId="2A935A64" w14:textId="77777777" w:rsidR="00DE4516" w:rsidRPr="00A46ADC" w:rsidRDefault="00DE4516" w:rsidP="00DE4516">
            <w:pPr>
              <w:pStyle w:val="TableBody"/>
              <w:autoSpaceDE w:val="0"/>
              <w:autoSpaceDN w:val="0"/>
              <w:adjustRightInd w:val="0"/>
              <w:jc w:val="both"/>
              <w:rPr>
                <w:sz w:val="14"/>
                <w:szCs w:val="16"/>
              </w:rPr>
            </w:pPr>
            <w:r w:rsidRPr="00A46ADC">
              <w:t>Article 7.3</w:t>
            </w:r>
          </w:p>
        </w:tc>
        <w:tc>
          <w:tcPr>
            <w:tcW w:w="1276" w:type="dxa"/>
            <w:hideMark/>
          </w:tcPr>
          <w:p w14:paraId="71FF75F5" w14:textId="77777777" w:rsidR="00DE4516" w:rsidRPr="00A46ADC" w:rsidRDefault="00DE4516" w:rsidP="00DE4516">
            <w:pPr>
              <w:pStyle w:val="TableBody"/>
              <w:autoSpaceDE w:val="0"/>
              <w:autoSpaceDN w:val="0"/>
              <w:adjustRightInd w:val="0"/>
              <w:jc w:val="both"/>
              <w:rPr>
                <w:sz w:val="14"/>
                <w:szCs w:val="16"/>
              </w:rPr>
            </w:pPr>
            <w:r w:rsidRPr="00A46ADC">
              <w:t>Notification of measures</w:t>
            </w:r>
          </w:p>
        </w:tc>
        <w:tc>
          <w:tcPr>
            <w:tcW w:w="850" w:type="dxa"/>
            <w:hideMark/>
          </w:tcPr>
          <w:p w14:paraId="705D2AB7" w14:textId="77777777" w:rsidR="00DE4516" w:rsidRPr="00A46ADC" w:rsidRDefault="00DE4516" w:rsidP="00DE4516">
            <w:pPr>
              <w:pStyle w:val="TableBody"/>
              <w:autoSpaceDE w:val="0"/>
              <w:autoSpaceDN w:val="0"/>
              <w:adjustRightInd w:val="0"/>
              <w:jc w:val="both"/>
              <w:rPr>
                <w:sz w:val="14"/>
                <w:szCs w:val="16"/>
              </w:rPr>
            </w:pPr>
            <w:r w:rsidRPr="00A46ADC">
              <w:t>Annual</w:t>
            </w:r>
          </w:p>
        </w:tc>
        <w:tc>
          <w:tcPr>
            <w:tcW w:w="3119" w:type="dxa"/>
            <w:hideMark/>
          </w:tcPr>
          <w:p w14:paraId="413CB248" w14:textId="77777777" w:rsidR="00DE4516" w:rsidRPr="00A46ADC" w:rsidRDefault="00DE4516" w:rsidP="00DE4516">
            <w:pPr>
              <w:pStyle w:val="TableBody"/>
              <w:autoSpaceDE w:val="0"/>
              <w:autoSpaceDN w:val="0"/>
              <w:adjustRightInd w:val="0"/>
              <w:jc w:val="both"/>
              <w:rPr>
                <w:sz w:val="14"/>
                <w:szCs w:val="16"/>
              </w:rPr>
            </w:pPr>
            <w:r w:rsidRPr="00A46ADC">
              <w:t>G/LIC/N/3/OMN/7, 26 May 2014</w:t>
            </w:r>
          </w:p>
        </w:tc>
        <w:tc>
          <w:tcPr>
            <w:tcW w:w="2358" w:type="dxa"/>
            <w:hideMark/>
          </w:tcPr>
          <w:p w14:paraId="50903B1D" w14:textId="77777777" w:rsidR="00DE4516" w:rsidRPr="00A46ADC" w:rsidRDefault="00DE4516" w:rsidP="00DE4516">
            <w:pPr>
              <w:pStyle w:val="TableBody"/>
              <w:autoSpaceDE w:val="0"/>
              <w:autoSpaceDN w:val="0"/>
              <w:adjustRightInd w:val="0"/>
              <w:jc w:val="both"/>
              <w:rPr>
                <w:sz w:val="14"/>
                <w:szCs w:val="16"/>
              </w:rPr>
            </w:pPr>
            <w:r w:rsidRPr="00A46ADC">
              <w:t>No import licence procedures</w:t>
            </w:r>
          </w:p>
        </w:tc>
      </w:tr>
      <w:tr w:rsidR="00DE4516" w:rsidRPr="007B09BB" w14:paraId="23FC067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9016" w:type="dxa"/>
            <w:gridSpan w:val="5"/>
            <w:hideMark/>
          </w:tcPr>
          <w:p w14:paraId="3FA7D0A4" w14:textId="77777777" w:rsidR="00DE4516" w:rsidRPr="00A46ADC" w:rsidRDefault="00DE4516" w:rsidP="00DE4516">
            <w:pPr>
              <w:pStyle w:val="TableBody"/>
              <w:autoSpaceDE w:val="0"/>
              <w:autoSpaceDN w:val="0"/>
              <w:adjustRightInd w:val="0"/>
              <w:jc w:val="both"/>
              <w:rPr>
                <w:b/>
                <w:sz w:val="14"/>
                <w:szCs w:val="16"/>
              </w:rPr>
            </w:pPr>
            <w:r w:rsidRPr="00A46ADC">
              <w:rPr>
                <w:b/>
              </w:rPr>
              <w:t>Committee on Trade Facilitation</w:t>
            </w:r>
          </w:p>
        </w:tc>
      </w:tr>
      <w:tr w:rsidR="00DE4516" w:rsidRPr="007B09BB" w14:paraId="06BB8A76" w14:textId="77777777" w:rsidTr="002C718D">
        <w:trPr>
          <w:cantSplit/>
        </w:trPr>
        <w:tc>
          <w:tcPr>
            <w:tcW w:w="1413" w:type="dxa"/>
            <w:vMerge w:val="restart"/>
            <w:hideMark/>
          </w:tcPr>
          <w:p w14:paraId="169193E6" w14:textId="77777777" w:rsidR="00DE4516" w:rsidRPr="00A46ADC" w:rsidRDefault="00DE4516" w:rsidP="00DE4516">
            <w:pPr>
              <w:pStyle w:val="TableBody"/>
              <w:autoSpaceDE w:val="0"/>
              <w:autoSpaceDN w:val="0"/>
              <w:adjustRightInd w:val="0"/>
              <w:jc w:val="both"/>
              <w:rPr>
                <w:sz w:val="14"/>
                <w:szCs w:val="16"/>
              </w:rPr>
            </w:pPr>
            <w:r w:rsidRPr="00A46ADC">
              <w:lastRenderedPageBreak/>
              <w:t>Trade Facilitation Agreement</w:t>
            </w:r>
          </w:p>
        </w:tc>
        <w:tc>
          <w:tcPr>
            <w:tcW w:w="1276" w:type="dxa"/>
            <w:vMerge w:val="restart"/>
            <w:hideMark/>
          </w:tcPr>
          <w:p w14:paraId="69E391A7" w14:textId="77777777" w:rsidR="00DE4516" w:rsidRPr="00A46ADC" w:rsidRDefault="00DE4516" w:rsidP="00DE4516">
            <w:pPr>
              <w:pStyle w:val="TableBody"/>
              <w:autoSpaceDE w:val="0"/>
              <w:autoSpaceDN w:val="0"/>
              <w:adjustRightInd w:val="0"/>
              <w:jc w:val="both"/>
              <w:rPr>
                <w:sz w:val="14"/>
                <w:szCs w:val="16"/>
              </w:rPr>
            </w:pPr>
            <w:r w:rsidRPr="00A46ADC">
              <w:t>Commitments under the Agreement</w:t>
            </w:r>
          </w:p>
        </w:tc>
        <w:tc>
          <w:tcPr>
            <w:tcW w:w="850" w:type="dxa"/>
            <w:vMerge w:val="restart"/>
            <w:hideMark/>
          </w:tcPr>
          <w:p w14:paraId="5A57AF39" w14:textId="77777777" w:rsidR="00DE4516" w:rsidRPr="00A46ADC" w:rsidRDefault="00DE4516" w:rsidP="00DE4516">
            <w:pPr>
              <w:pStyle w:val="TableBody"/>
              <w:autoSpaceDE w:val="0"/>
              <w:autoSpaceDN w:val="0"/>
              <w:adjustRightInd w:val="0"/>
              <w:jc w:val="both"/>
              <w:rPr>
                <w:i/>
                <w:sz w:val="14"/>
                <w:szCs w:val="16"/>
              </w:rPr>
            </w:pPr>
            <w:r w:rsidRPr="00A46ADC">
              <w:rPr>
                <w:i/>
              </w:rPr>
              <w:t>Ad hoc</w:t>
            </w:r>
          </w:p>
        </w:tc>
        <w:tc>
          <w:tcPr>
            <w:tcW w:w="3119" w:type="dxa"/>
            <w:hideMark/>
          </w:tcPr>
          <w:p w14:paraId="70EA0BB3" w14:textId="77777777" w:rsidR="00DE4516" w:rsidRPr="00A46ADC" w:rsidRDefault="00DE4516" w:rsidP="00DE4516">
            <w:pPr>
              <w:pStyle w:val="TableBody"/>
              <w:autoSpaceDE w:val="0"/>
              <w:autoSpaceDN w:val="0"/>
              <w:adjustRightInd w:val="0"/>
              <w:jc w:val="both"/>
              <w:rPr>
                <w:sz w:val="14"/>
                <w:szCs w:val="16"/>
                <w:lang w:val="da-DK"/>
              </w:rPr>
            </w:pPr>
            <w:r w:rsidRPr="00A46ADC">
              <w:t>WT/PCTF/N/OMN/1, 14 August 2014</w:t>
            </w:r>
          </w:p>
        </w:tc>
        <w:tc>
          <w:tcPr>
            <w:tcW w:w="2358" w:type="dxa"/>
            <w:hideMark/>
          </w:tcPr>
          <w:p w14:paraId="5DCFC4BE" w14:textId="77777777" w:rsidR="00DE4516" w:rsidRPr="00A46ADC" w:rsidRDefault="00DE4516" w:rsidP="00DE4516">
            <w:pPr>
              <w:pStyle w:val="TableBody"/>
              <w:autoSpaceDE w:val="0"/>
              <w:autoSpaceDN w:val="0"/>
              <w:adjustRightInd w:val="0"/>
              <w:jc w:val="both"/>
              <w:rPr>
                <w:sz w:val="14"/>
                <w:szCs w:val="16"/>
              </w:rPr>
            </w:pPr>
            <w:r w:rsidRPr="00A46ADC">
              <w:t>Notification of Category A commitments</w:t>
            </w:r>
          </w:p>
        </w:tc>
      </w:tr>
      <w:tr w:rsidR="00DE4516" w:rsidRPr="007B09BB" w14:paraId="726BCB3D"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413" w:type="dxa"/>
            <w:vMerge/>
            <w:hideMark/>
          </w:tcPr>
          <w:p w14:paraId="63BB97BF" w14:textId="77777777" w:rsidR="00DE4516" w:rsidRPr="007B09BB" w:rsidRDefault="00DE4516" w:rsidP="00DE4516">
            <w:pPr>
              <w:pStyle w:val="TableBody"/>
            </w:pPr>
          </w:p>
        </w:tc>
        <w:tc>
          <w:tcPr>
            <w:tcW w:w="1276" w:type="dxa"/>
            <w:vMerge/>
            <w:hideMark/>
          </w:tcPr>
          <w:p w14:paraId="2EB97426" w14:textId="77777777" w:rsidR="00DE4516" w:rsidRPr="007B09BB" w:rsidRDefault="00DE4516" w:rsidP="00DE4516">
            <w:pPr>
              <w:pStyle w:val="TableBody"/>
            </w:pPr>
          </w:p>
        </w:tc>
        <w:tc>
          <w:tcPr>
            <w:tcW w:w="850" w:type="dxa"/>
            <w:vMerge/>
            <w:hideMark/>
          </w:tcPr>
          <w:p w14:paraId="1BA98FA7" w14:textId="77777777" w:rsidR="00DE4516" w:rsidRPr="007B09BB" w:rsidRDefault="00DE4516" w:rsidP="00DE4516">
            <w:pPr>
              <w:pStyle w:val="TableBody"/>
            </w:pPr>
          </w:p>
        </w:tc>
        <w:tc>
          <w:tcPr>
            <w:tcW w:w="3119" w:type="dxa"/>
            <w:hideMark/>
          </w:tcPr>
          <w:p w14:paraId="52F8B5D6" w14:textId="77777777" w:rsidR="00DE4516" w:rsidRPr="00A46ADC" w:rsidRDefault="00DE4516" w:rsidP="00DE4516">
            <w:pPr>
              <w:pStyle w:val="TableBody"/>
              <w:autoSpaceDE w:val="0"/>
              <w:autoSpaceDN w:val="0"/>
              <w:adjustRightInd w:val="0"/>
              <w:jc w:val="both"/>
              <w:rPr>
                <w:sz w:val="14"/>
                <w:szCs w:val="16"/>
              </w:rPr>
            </w:pPr>
            <w:r w:rsidRPr="00A46ADC">
              <w:t>G/TFA/N/OMN/1, 22 March 2019</w:t>
            </w:r>
          </w:p>
        </w:tc>
        <w:tc>
          <w:tcPr>
            <w:tcW w:w="2358" w:type="dxa"/>
            <w:hideMark/>
          </w:tcPr>
          <w:p w14:paraId="2A64A71D" w14:textId="77777777" w:rsidR="00DE4516" w:rsidRPr="00A46ADC" w:rsidRDefault="00DE4516" w:rsidP="00DE4516">
            <w:pPr>
              <w:pStyle w:val="TableBody"/>
              <w:autoSpaceDE w:val="0"/>
              <w:autoSpaceDN w:val="0"/>
              <w:adjustRightInd w:val="0"/>
              <w:jc w:val="both"/>
              <w:rPr>
                <w:sz w:val="14"/>
                <w:szCs w:val="16"/>
              </w:rPr>
            </w:pPr>
            <w:r w:rsidRPr="00A46ADC">
              <w:t>Notifications of Category B and additional Category A commitments</w:t>
            </w:r>
          </w:p>
        </w:tc>
      </w:tr>
      <w:tr w:rsidR="00DE4516" w:rsidRPr="007B09BB" w14:paraId="257C013E" w14:textId="77777777" w:rsidTr="002C718D">
        <w:trPr>
          <w:cantSplit/>
        </w:trPr>
        <w:tc>
          <w:tcPr>
            <w:tcW w:w="1413" w:type="dxa"/>
            <w:vMerge/>
            <w:hideMark/>
          </w:tcPr>
          <w:p w14:paraId="2C60DCD8" w14:textId="77777777" w:rsidR="00DE4516" w:rsidRPr="007B09BB" w:rsidRDefault="00DE4516" w:rsidP="00DE4516">
            <w:pPr>
              <w:pStyle w:val="TableBody"/>
            </w:pPr>
          </w:p>
        </w:tc>
        <w:tc>
          <w:tcPr>
            <w:tcW w:w="1276" w:type="dxa"/>
            <w:vMerge/>
            <w:hideMark/>
          </w:tcPr>
          <w:p w14:paraId="1B0523B6" w14:textId="77777777" w:rsidR="00DE4516" w:rsidRPr="007B09BB" w:rsidRDefault="00DE4516" w:rsidP="00DE4516">
            <w:pPr>
              <w:pStyle w:val="TableBody"/>
            </w:pPr>
          </w:p>
        </w:tc>
        <w:tc>
          <w:tcPr>
            <w:tcW w:w="850" w:type="dxa"/>
            <w:vMerge/>
            <w:hideMark/>
          </w:tcPr>
          <w:p w14:paraId="2F37BD68" w14:textId="77777777" w:rsidR="00DE4516" w:rsidRPr="007B09BB" w:rsidRDefault="00DE4516" w:rsidP="00DE4516">
            <w:pPr>
              <w:pStyle w:val="TableBody"/>
            </w:pPr>
          </w:p>
        </w:tc>
        <w:tc>
          <w:tcPr>
            <w:tcW w:w="3119" w:type="dxa"/>
            <w:hideMark/>
          </w:tcPr>
          <w:p w14:paraId="086A12C8" w14:textId="77777777" w:rsidR="00DE4516" w:rsidRPr="00A46ADC" w:rsidRDefault="00DE4516" w:rsidP="00DE4516">
            <w:pPr>
              <w:pStyle w:val="TableBody"/>
              <w:autoSpaceDE w:val="0"/>
              <w:autoSpaceDN w:val="0"/>
              <w:adjustRightInd w:val="0"/>
              <w:jc w:val="both"/>
              <w:rPr>
                <w:sz w:val="14"/>
                <w:szCs w:val="16"/>
                <w:lang w:val="da-DK"/>
              </w:rPr>
            </w:pPr>
            <w:r w:rsidRPr="00A46ADC">
              <w:t>G/TFA/N/OMN/2, 7 November 2019</w:t>
            </w:r>
          </w:p>
        </w:tc>
        <w:tc>
          <w:tcPr>
            <w:tcW w:w="2358" w:type="dxa"/>
            <w:hideMark/>
          </w:tcPr>
          <w:p w14:paraId="685F2785" w14:textId="77777777" w:rsidR="00DE4516" w:rsidRPr="00A46ADC" w:rsidRDefault="00DE4516" w:rsidP="00DE4516">
            <w:pPr>
              <w:pStyle w:val="TableBody"/>
              <w:autoSpaceDE w:val="0"/>
              <w:autoSpaceDN w:val="0"/>
              <w:adjustRightInd w:val="0"/>
              <w:jc w:val="both"/>
              <w:rPr>
                <w:sz w:val="14"/>
                <w:szCs w:val="16"/>
              </w:rPr>
            </w:pPr>
            <w:r w:rsidRPr="00A46ADC">
              <w:t>Notifications based on Articles 1.4, 10.4.3, 10.6.2, and 12.2.2</w:t>
            </w:r>
          </w:p>
        </w:tc>
      </w:tr>
      <w:tr w:rsidR="00DE4516" w:rsidRPr="007B09BB" w14:paraId="7538C2B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9016" w:type="dxa"/>
            <w:gridSpan w:val="5"/>
            <w:hideMark/>
          </w:tcPr>
          <w:p w14:paraId="21487EE4" w14:textId="77777777" w:rsidR="00DE4516" w:rsidRPr="00A46ADC" w:rsidRDefault="00DE4516" w:rsidP="00DE4516">
            <w:pPr>
              <w:pStyle w:val="TableBody"/>
              <w:autoSpaceDE w:val="0"/>
              <w:autoSpaceDN w:val="0"/>
              <w:adjustRightInd w:val="0"/>
              <w:jc w:val="both"/>
              <w:rPr>
                <w:b/>
                <w:sz w:val="14"/>
                <w:szCs w:val="16"/>
              </w:rPr>
            </w:pPr>
            <w:r w:rsidRPr="00A46ADC">
              <w:rPr>
                <w:b/>
              </w:rPr>
              <w:t>Agreement on Sanitary and Phytosanitary Measures</w:t>
            </w:r>
          </w:p>
        </w:tc>
      </w:tr>
      <w:tr w:rsidR="00DE4516" w:rsidRPr="007B09BB" w14:paraId="5B493292" w14:textId="77777777" w:rsidTr="002C718D">
        <w:trPr>
          <w:cantSplit/>
        </w:trPr>
        <w:tc>
          <w:tcPr>
            <w:tcW w:w="1413" w:type="dxa"/>
            <w:hideMark/>
          </w:tcPr>
          <w:p w14:paraId="1D932181" w14:textId="77777777" w:rsidR="00DE4516" w:rsidRPr="00A46ADC" w:rsidRDefault="00DE4516" w:rsidP="00DE4516">
            <w:pPr>
              <w:pStyle w:val="TableBody"/>
              <w:autoSpaceDE w:val="0"/>
              <w:autoSpaceDN w:val="0"/>
              <w:adjustRightInd w:val="0"/>
              <w:jc w:val="both"/>
              <w:rPr>
                <w:sz w:val="14"/>
                <w:szCs w:val="16"/>
              </w:rPr>
            </w:pPr>
            <w:r w:rsidRPr="00A46ADC">
              <w:t>Article 7, Annex B</w:t>
            </w:r>
          </w:p>
        </w:tc>
        <w:tc>
          <w:tcPr>
            <w:tcW w:w="1276" w:type="dxa"/>
            <w:hideMark/>
          </w:tcPr>
          <w:p w14:paraId="307913BA" w14:textId="77777777" w:rsidR="00DE4516" w:rsidRPr="00A46ADC" w:rsidRDefault="00DE4516" w:rsidP="00DE4516">
            <w:pPr>
              <w:pStyle w:val="TableBody"/>
              <w:autoSpaceDE w:val="0"/>
              <w:autoSpaceDN w:val="0"/>
              <w:adjustRightInd w:val="0"/>
              <w:jc w:val="both"/>
              <w:rPr>
                <w:sz w:val="14"/>
                <w:szCs w:val="16"/>
              </w:rPr>
            </w:pPr>
            <w:r w:rsidRPr="00A46ADC">
              <w:t>Sanitary and phytosanitary measures</w:t>
            </w:r>
          </w:p>
        </w:tc>
        <w:tc>
          <w:tcPr>
            <w:tcW w:w="850" w:type="dxa"/>
            <w:hideMark/>
          </w:tcPr>
          <w:p w14:paraId="2FF69373" w14:textId="77777777" w:rsidR="00DE4516" w:rsidRPr="00A46ADC" w:rsidRDefault="00DE4516" w:rsidP="00DE4516">
            <w:pPr>
              <w:pStyle w:val="TableBody"/>
              <w:autoSpaceDE w:val="0"/>
              <w:autoSpaceDN w:val="0"/>
              <w:adjustRightInd w:val="0"/>
              <w:jc w:val="both"/>
              <w:rPr>
                <w:i/>
                <w:iCs/>
                <w:sz w:val="14"/>
                <w:szCs w:val="16"/>
              </w:rPr>
            </w:pPr>
            <w:r w:rsidRPr="00A46ADC">
              <w:rPr>
                <w:i/>
              </w:rPr>
              <w:t>Ad hoc</w:t>
            </w:r>
          </w:p>
        </w:tc>
        <w:tc>
          <w:tcPr>
            <w:tcW w:w="3119" w:type="dxa"/>
            <w:hideMark/>
          </w:tcPr>
          <w:p w14:paraId="21836431" w14:textId="77777777" w:rsidR="00DE4516" w:rsidRPr="00A46ADC" w:rsidRDefault="00DE4516" w:rsidP="00DE4516">
            <w:pPr>
              <w:pStyle w:val="TableBody"/>
              <w:autoSpaceDE w:val="0"/>
              <w:autoSpaceDN w:val="0"/>
              <w:adjustRightInd w:val="0"/>
              <w:jc w:val="both"/>
              <w:rPr>
                <w:sz w:val="14"/>
                <w:szCs w:val="16"/>
              </w:rPr>
            </w:pPr>
            <w:r w:rsidRPr="00A46ADC">
              <w:t>69 notifications: G/SPS/N/OMN/48, 6 May 2014 to G/SPS/N/OMN/115, 15 December 2020</w:t>
            </w:r>
          </w:p>
        </w:tc>
        <w:tc>
          <w:tcPr>
            <w:tcW w:w="2358" w:type="dxa"/>
            <w:hideMark/>
          </w:tcPr>
          <w:p w14:paraId="48A7753B" w14:textId="77777777" w:rsidR="00DE4516" w:rsidRPr="00A46ADC" w:rsidRDefault="00DE4516" w:rsidP="00DE4516">
            <w:pPr>
              <w:pStyle w:val="TableBody"/>
              <w:autoSpaceDE w:val="0"/>
              <w:autoSpaceDN w:val="0"/>
              <w:adjustRightInd w:val="0"/>
              <w:jc w:val="both"/>
              <w:rPr>
                <w:sz w:val="14"/>
                <w:szCs w:val="16"/>
              </w:rPr>
            </w:pPr>
            <w:r w:rsidRPr="00A46ADC">
              <w:t>57 draft technical regulations, 1 revision, 6 administrative decisions, 1 addendum on administrative decision, 1 ministerial decision</w:t>
            </w:r>
          </w:p>
        </w:tc>
      </w:tr>
      <w:tr w:rsidR="00DE4516" w:rsidRPr="007B09BB" w14:paraId="25BE5B6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9016" w:type="dxa"/>
            <w:gridSpan w:val="5"/>
            <w:hideMark/>
          </w:tcPr>
          <w:p w14:paraId="2225F896" w14:textId="77777777" w:rsidR="00DE4516" w:rsidRPr="00A46ADC" w:rsidRDefault="00DE4516" w:rsidP="00DE4516">
            <w:pPr>
              <w:pStyle w:val="TableBody"/>
              <w:autoSpaceDE w:val="0"/>
              <w:autoSpaceDN w:val="0"/>
              <w:adjustRightInd w:val="0"/>
              <w:jc w:val="both"/>
              <w:rPr>
                <w:b/>
                <w:sz w:val="14"/>
                <w:szCs w:val="16"/>
              </w:rPr>
            </w:pPr>
            <w:r w:rsidRPr="00A46ADC">
              <w:rPr>
                <w:b/>
              </w:rPr>
              <w:t>Agreement on Technical Barriers to Trade</w:t>
            </w:r>
          </w:p>
        </w:tc>
      </w:tr>
      <w:tr w:rsidR="00DE4516" w:rsidRPr="007B09BB" w14:paraId="6F4809A3" w14:textId="77777777" w:rsidTr="002C718D">
        <w:trPr>
          <w:cantSplit/>
        </w:trPr>
        <w:tc>
          <w:tcPr>
            <w:tcW w:w="1413" w:type="dxa"/>
            <w:hideMark/>
          </w:tcPr>
          <w:p w14:paraId="12C527C8" w14:textId="77777777" w:rsidR="00DE4516" w:rsidRPr="00A46ADC" w:rsidRDefault="00DE4516" w:rsidP="00DE4516">
            <w:pPr>
              <w:pStyle w:val="TableBody"/>
              <w:autoSpaceDE w:val="0"/>
              <w:autoSpaceDN w:val="0"/>
              <w:adjustRightInd w:val="0"/>
              <w:jc w:val="both"/>
              <w:rPr>
                <w:sz w:val="14"/>
                <w:szCs w:val="16"/>
              </w:rPr>
            </w:pPr>
            <w:r w:rsidRPr="00A46ADC">
              <w:t>Article 2.9.2-Article 5.6</w:t>
            </w:r>
          </w:p>
        </w:tc>
        <w:tc>
          <w:tcPr>
            <w:tcW w:w="1276" w:type="dxa"/>
            <w:hideMark/>
          </w:tcPr>
          <w:p w14:paraId="3093E153" w14:textId="77777777" w:rsidR="00DE4516" w:rsidRPr="00A46ADC" w:rsidRDefault="00DE4516" w:rsidP="00DE4516">
            <w:pPr>
              <w:pStyle w:val="TableBody"/>
              <w:autoSpaceDE w:val="0"/>
              <w:autoSpaceDN w:val="0"/>
              <w:adjustRightInd w:val="0"/>
              <w:jc w:val="both"/>
              <w:rPr>
                <w:sz w:val="14"/>
                <w:szCs w:val="16"/>
              </w:rPr>
            </w:pPr>
            <w:r w:rsidRPr="00A46ADC">
              <w:t>Technical regulations</w:t>
            </w:r>
          </w:p>
        </w:tc>
        <w:tc>
          <w:tcPr>
            <w:tcW w:w="850" w:type="dxa"/>
            <w:hideMark/>
          </w:tcPr>
          <w:p w14:paraId="3437F370" w14:textId="77777777" w:rsidR="00DE4516" w:rsidRPr="00A46ADC" w:rsidRDefault="00DE4516" w:rsidP="00DE4516">
            <w:pPr>
              <w:pStyle w:val="TableBody"/>
              <w:autoSpaceDE w:val="0"/>
              <w:autoSpaceDN w:val="0"/>
              <w:adjustRightInd w:val="0"/>
              <w:jc w:val="both"/>
              <w:rPr>
                <w:i/>
                <w:iCs/>
                <w:sz w:val="14"/>
                <w:szCs w:val="16"/>
              </w:rPr>
            </w:pPr>
            <w:r w:rsidRPr="00A46ADC">
              <w:rPr>
                <w:i/>
              </w:rPr>
              <w:t>Ad hoc</w:t>
            </w:r>
          </w:p>
        </w:tc>
        <w:tc>
          <w:tcPr>
            <w:tcW w:w="3119" w:type="dxa"/>
            <w:hideMark/>
          </w:tcPr>
          <w:p w14:paraId="6182D1B3" w14:textId="77777777" w:rsidR="00DE4516" w:rsidRPr="00A46ADC" w:rsidRDefault="00DE4516" w:rsidP="00DE4516">
            <w:pPr>
              <w:pStyle w:val="TableBody"/>
              <w:autoSpaceDE w:val="0"/>
              <w:autoSpaceDN w:val="0"/>
              <w:adjustRightInd w:val="0"/>
              <w:jc w:val="both"/>
              <w:rPr>
                <w:sz w:val="14"/>
                <w:szCs w:val="16"/>
              </w:rPr>
            </w:pPr>
            <w:r w:rsidRPr="00A46ADC">
              <w:t>298 notifications since the last Review: G/TBT/N/OMN/143 to 440, 17 June 2013 to 7 June 2021</w:t>
            </w:r>
          </w:p>
        </w:tc>
        <w:tc>
          <w:tcPr>
            <w:tcW w:w="2358" w:type="dxa"/>
            <w:hideMark/>
          </w:tcPr>
          <w:p w14:paraId="72B39AD6" w14:textId="77777777" w:rsidR="00DE4516" w:rsidRPr="00A46ADC" w:rsidRDefault="00DE4516" w:rsidP="00DE4516">
            <w:pPr>
              <w:pStyle w:val="TableBody"/>
              <w:autoSpaceDE w:val="0"/>
              <w:autoSpaceDN w:val="0"/>
              <w:adjustRightInd w:val="0"/>
              <w:jc w:val="both"/>
              <w:rPr>
                <w:sz w:val="14"/>
                <w:szCs w:val="16"/>
              </w:rPr>
            </w:pPr>
            <w:r w:rsidRPr="00A46ADC">
              <w:t>Draft technical regulations, ministerial decrees, standards, labelling requirements</w:t>
            </w:r>
          </w:p>
        </w:tc>
      </w:tr>
      <w:tr w:rsidR="00DE4516" w:rsidRPr="007B09BB" w14:paraId="48C19F84"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9016" w:type="dxa"/>
            <w:gridSpan w:val="5"/>
            <w:hideMark/>
          </w:tcPr>
          <w:p w14:paraId="39A6A2D5" w14:textId="77777777" w:rsidR="00DE4516" w:rsidRPr="00A46ADC" w:rsidRDefault="00DE4516" w:rsidP="00DE4516">
            <w:pPr>
              <w:pStyle w:val="TableBody"/>
              <w:autoSpaceDE w:val="0"/>
              <w:autoSpaceDN w:val="0"/>
              <w:adjustRightInd w:val="0"/>
              <w:jc w:val="both"/>
              <w:rPr>
                <w:b/>
                <w:sz w:val="14"/>
                <w:szCs w:val="16"/>
              </w:rPr>
            </w:pPr>
            <w:r w:rsidRPr="00A46ADC">
              <w:rPr>
                <w:b/>
              </w:rPr>
              <w:t>Working Party on State Trading Enterprises</w:t>
            </w:r>
          </w:p>
        </w:tc>
      </w:tr>
      <w:tr w:rsidR="00DE4516" w:rsidRPr="007B09BB" w14:paraId="5C86F534" w14:textId="77777777" w:rsidTr="002C718D">
        <w:trPr>
          <w:cantSplit/>
          <w:trHeight w:val="1368"/>
        </w:trPr>
        <w:tc>
          <w:tcPr>
            <w:tcW w:w="0" w:type="dxa"/>
            <w:tcBorders>
              <w:bottom w:val="single" w:sz="4" w:space="0" w:color="auto"/>
            </w:tcBorders>
          </w:tcPr>
          <w:p w14:paraId="47117880" w14:textId="77777777" w:rsidR="00DE4516" w:rsidRPr="00A46ADC" w:rsidRDefault="00DE4516" w:rsidP="00DE4516">
            <w:pPr>
              <w:pStyle w:val="TableBody"/>
              <w:autoSpaceDE w:val="0"/>
              <w:autoSpaceDN w:val="0"/>
              <w:adjustRightInd w:val="0"/>
              <w:jc w:val="both"/>
              <w:rPr>
                <w:color w:val="000000"/>
                <w:sz w:val="14"/>
                <w:szCs w:val="16"/>
                <w:shd w:val="clear" w:color="auto" w:fill="FFFFFF"/>
              </w:rPr>
            </w:pPr>
            <w:r w:rsidRPr="00A46ADC">
              <w:t>GATT 1994 XVII:4(a); Understanding – Article XVII:01</w:t>
            </w:r>
          </w:p>
        </w:tc>
        <w:tc>
          <w:tcPr>
            <w:tcW w:w="0" w:type="dxa"/>
            <w:tcBorders>
              <w:bottom w:val="single" w:sz="4" w:space="0" w:color="auto"/>
            </w:tcBorders>
          </w:tcPr>
          <w:p w14:paraId="04488F69" w14:textId="77777777" w:rsidR="00DE4516" w:rsidRPr="00A46ADC" w:rsidRDefault="00DE4516" w:rsidP="00DE4516">
            <w:pPr>
              <w:pStyle w:val="TableBody"/>
              <w:autoSpaceDE w:val="0"/>
              <w:autoSpaceDN w:val="0"/>
              <w:adjustRightInd w:val="0"/>
              <w:jc w:val="both"/>
              <w:rPr>
                <w:color w:val="000000"/>
                <w:sz w:val="14"/>
                <w:szCs w:val="16"/>
              </w:rPr>
            </w:pPr>
            <w:r w:rsidRPr="00A46ADC">
              <w:t>Notification</w:t>
            </w:r>
          </w:p>
        </w:tc>
        <w:tc>
          <w:tcPr>
            <w:tcW w:w="0" w:type="dxa"/>
            <w:tcBorders>
              <w:bottom w:val="single" w:sz="4" w:space="0" w:color="auto"/>
            </w:tcBorders>
          </w:tcPr>
          <w:p w14:paraId="6EB25881" w14:textId="77777777" w:rsidR="00DE4516" w:rsidRPr="00A46ADC" w:rsidRDefault="00DE4516" w:rsidP="00DE4516">
            <w:pPr>
              <w:pStyle w:val="TableBody"/>
              <w:autoSpaceDE w:val="0"/>
              <w:autoSpaceDN w:val="0"/>
              <w:adjustRightInd w:val="0"/>
              <w:jc w:val="both"/>
              <w:rPr>
                <w:color w:val="000000"/>
                <w:sz w:val="14"/>
                <w:szCs w:val="16"/>
              </w:rPr>
            </w:pPr>
            <w:r w:rsidRPr="00A46ADC">
              <w:t>Biennial</w:t>
            </w:r>
          </w:p>
        </w:tc>
        <w:tc>
          <w:tcPr>
            <w:tcW w:w="0" w:type="dxa"/>
            <w:tcBorders>
              <w:bottom w:val="single" w:sz="4" w:space="0" w:color="auto"/>
            </w:tcBorders>
          </w:tcPr>
          <w:p w14:paraId="4AFA30E4" w14:textId="77777777" w:rsidR="00DE4516" w:rsidRPr="00A46ADC" w:rsidRDefault="00DE4516" w:rsidP="00DE4516">
            <w:pPr>
              <w:pStyle w:val="TableBody"/>
              <w:autoSpaceDE w:val="0"/>
              <w:autoSpaceDN w:val="0"/>
              <w:adjustRightInd w:val="0"/>
              <w:jc w:val="both"/>
              <w:rPr>
                <w:color w:val="000000"/>
                <w:sz w:val="14"/>
                <w:szCs w:val="16"/>
                <w:lang w:val="da-DK"/>
              </w:rPr>
            </w:pPr>
            <w:r w:rsidRPr="00A46ADC">
              <w:t>G/STR/N/10/OMN to G/STR/N/15/OMN, 13 August 2014</w:t>
            </w:r>
          </w:p>
        </w:tc>
        <w:tc>
          <w:tcPr>
            <w:tcW w:w="0" w:type="dxa"/>
            <w:tcBorders>
              <w:bottom w:val="single" w:sz="4" w:space="0" w:color="auto"/>
            </w:tcBorders>
          </w:tcPr>
          <w:p w14:paraId="7B32878C" w14:textId="77777777" w:rsidR="00DE4516" w:rsidRPr="00A46ADC" w:rsidRDefault="00DE4516" w:rsidP="00DE4516">
            <w:pPr>
              <w:pStyle w:val="TableBody"/>
              <w:autoSpaceDE w:val="0"/>
              <w:autoSpaceDN w:val="0"/>
              <w:adjustRightInd w:val="0"/>
              <w:jc w:val="both"/>
              <w:rPr>
                <w:color w:val="000000"/>
                <w:sz w:val="14"/>
                <w:szCs w:val="16"/>
              </w:rPr>
            </w:pPr>
            <w:r w:rsidRPr="00A46ADC">
              <w:t>Notification that the Public Authority for Stores and Food Reserves (PASFR) is not a state trading enterprise in terms of the definition in Article XVII of GATT 1994 and Understanding on Interpretation of Article XVII</w:t>
            </w:r>
          </w:p>
        </w:tc>
      </w:tr>
    </w:tbl>
    <w:p w14:paraId="1564CDC8" w14:textId="3C721B41" w:rsidR="00DE4516" w:rsidRDefault="00DE4516">
      <w:pPr>
        <w:pStyle w:val="TableSource"/>
        <w:autoSpaceDE w:val="0"/>
        <w:autoSpaceDN w:val="0"/>
        <w:adjustRightInd w:val="0"/>
        <w:rPr>
          <w:szCs w:val="24"/>
        </w:rPr>
      </w:pPr>
      <w:r>
        <w:rPr>
          <w:szCs w:val="24"/>
        </w:rPr>
        <w:t>Source:</w:t>
      </w:r>
      <w:r>
        <w:rPr>
          <w:szCs w:val="24"/>
        </w:rPr>
        <w:tab/>
        <w:t>WTO documents.</w:t>
      </w:r>
    </w:p>
    <w:p w14:paraId="57373012" w14:textId="77777777" w:rsidR="00DE4516" w:rsidRDefault="00DE4516">
      <w:pPr>
        <w:pStyle w:val="BodyText0"/>
        <w:autoSpaceDE w:val="0"/>
        <w:autoSpaceDN w:val="0"/>
        <w:adjustRightInd w:val="0"/>
        <w:rPr>
          <w:szCs w:val="24"/>
        </w:rPr>
      </w:pPr>
      <w:r>
        <w:rPr>
          <w:szCs w:val="24"/>
        </w:rPr>
        <w:t xml:space="preserve">Oman grants at least most-favoured-nation (MFN) treatment to </w:t>
      </w:r>
      <w:proofErr w:type="gramStart"/>
      <w:r>
        <w:rPr>
          <w:szCs w:val="24"/>
        </w:rPr>
        <w:t>all of</w:t>
      </w:r>
      <w:proofErr w:type="gramEnd"/>
      <w:r>
        <w:rPr>
          <w:szCs w:val="24"/>
        </w:rPr>
        <w:t xml:space="preserve"> its trading partners. It is an active participant in the current round of multilateral trade negotiations and has particular interest in non</w:t>
      </w:r>
      <w:r>
        <w:rPr>
          <w:szCs w:val="24"/>
        </w:rPr>
        <w:noBreakHyphen/>
        <w:t>agricultural market access, services, and fishery subsidies.</w:t>
      </w:r>
    </w:p>
    <w:p w14:paraId="7B3C0823" w14:textId="77777777" w:rsidR="00DE4516" w:rsidRDefault="00DE4516">
      <w:pPr>
        <w:pStyle w:val="BodyText0"/>
        <w:autoSpaceDE w:val="0"/>
        <w:autoSpaceDN w:val="0"/>
        <w:adjustRightInd w:val="0"/>
        <w:rPr>
          <w:szCs w:val="24"/>
        </w:rPr>
      </w:pPr>
      <w:r>
        <w:rPr>
          <w:szCs w:val="24"/>
        </w:rPr>
        <w:t>Oman has never been either a complainant or a defendant in any WTO dispute. It has been a third party in 13 cases. No dispute under bilateral agreements has been reported.</w:t>
      </w:r>
    </w:p>
    <w:p w14:paraId="4911329B" w14:textId="77777777" w:rsidR="00DE4516" w:rsidRDefault="00DE4516">
      <w:pPr>
        <w:pStyle w:val="BodyText0"/>
        <w:autoSpaceDE w:val="0"/>
        <w:autoSpaceDN w:val="0"/>
        <w:adjustRightInd w:val="0"/>
        <w:rPr>
          <w:szCs w:val="24"/>
        </w:rPr>
      </w:pPr>
      <w:r>
        <w:rPr>
          <w:szCs w:val="24"/>
          <w:highlight w:val="white"/>
        </w:rPr>
        <w:t xml:space="preserve">In 2020, Oman implemented </w:t>
      </w:r>
      <w:proofErr w:type="gramStart"/>
      <w:r>
        <w:rPr>
          <w:szCs w:val="24"/>
          <w:highlight w:val="white"/>
        </w:rPr>
        <w:t>all of</w:t>
      </w:r>
      <w:proofErr w:type="gramEnd"/>
      <w:r>
        <w:rPr>
          <w:szCs w:val="24"/>
          <w:highlight w:val="white"/>
        </w:rPr>
        <w:t xml:space="preserve"> its commitments under the Trade Facilitation Agreement, which it ratified in February 2017.</w:t>
      </w:r>
      <w:r w:rsidRPr="00DE4516">
        <w:rPr>
          <w:rStyle w:val="FootnoteReference"/>
        </w:rPr>
        <w:footnoteReference w:id="35"/>
      </w:r>
    </w:p>
    <w:p w14:paraId="33CF42F2" w14:textId="77777777" w:rsidR="00DE4516" w:rsidRDefault="00DE4516">
      <w:pPr>
        <w:pStyle w:val="Heading30"/>
        <w:autoSpaceDE w:val="0"/>
        <w:autoSpaceDN w:val="0"/>
        <w:adjustRightInd w:val="0"/>
        <w:rPr>
          <w:szCs w:val="24"/>
        </w:rPr>
      </w:pPr>
      <w:r>
        <w:rPr>
          <w:szCs w:val="24"/>
        </w:rPr>
        <w:t>Regional and preferential agreements</w:t>
      </w:r>
    </w:p>
    <w:p w14:paraId="31480133" w14:textId="77777777" w:rsidR="00DE4516" w:rsidRDefault="00DE4516">
      <w:pPr>
        <w:pStyle w:val="Heading40"/>
        <w:autoSpaceDE w:val="0"/>
        <w:autoSpaceDN w:val="0"/>
        <w:adjustRightInd w:val="0"/>
        <w:rPr>
          <w:szCs w:val="24"/>
        </w:rPr>
      </w:pPr>
      <w:r>
        <w:rPr>
          <w:szCs w:val="24"/>
        </w:rPr>
        <w:t>Gulf Cooperation Council (GCC)</w:t>
      </w:r>
    </w:p>
    <w:p w14:paraId="3262DFB7" w14:textId="77777777" w:rsidR="00DE4516" w:rsidRDefault="00DE4516">
      <w:pPr>
        <w:pStyle w:val="BodyText0"/>
        <w:autoSpaceDE w:val="0"/>
        <w:autoSpaceDN w:val="0"/>
        <w:adjustRightInd w:val="0"/>
        <w:rPr>
          <w:szCs w:val="24"/>
        </w:rPr>
      </w:pPr>
      <w:r>
        <w:rPr>
          <w:szCs w:val="24"/>
        </w:rPr>
        <w:lastRenderedPageBreak/>
        <w:t>The GCC was created in May 1981 and comprises the Kingdom of Bahrain, the State of Kuwait, Oman, Qatar, the Kingdom of Saudi Arabia, and the United Arab Emirates. Its main objectives are regional cooperation and integration in economic, social, and cultural affairs. The Gulf Common Market (GCM) was officially launched in January 2008.</w:t>
      </w:r>
    </w:p>
    <w:p w14:paraId="162D2F52" w14:textId="77777777" w:rsidR="00DE4516" w:rsidRDefault="00DE4516">
      <w:pPr>
        <w:pStyle w:val="BodyText0"/>
        <w:autoSpaceDE w:val="0"/>
        <w:autoSpaceDN w:val="0"/>
        <w:adjustRightInd w:val="0"/>
        <w:rPr>
          <w:szCs w:val="24"/>
        </w:rPr>
      </w:pPr>
      <w:r>
        <w:rPr>
          <w:szCs w:val="24"/>
          <w:highlight w:val="white"/>
        </w:rPr>
        <w:t>In 2001, the GCC Supreme Council adopted the Economic Agreement between the GCC States, which contains the foundation of the GCC Customs Union.</w:t>
      </w:r>
      <w:r w:rsidRPr="00DE4516">
        <w:rPr>
          <w:rStyle w:val="FootnoteReference"/>
        </w:rPr>
        <w:footnoteReference w:id="36"/>
      </w:r>
      <w:r>
        <w:rPr>
          <w:szCs w:val="24"/>
          <w:highlight w:val="white"/>
        </w:rPr>
        <w:t xml:space="preserve"> Launched in 2003, the GCC Customs Union was finalized in January 2015, replacing the 1983 free trade area.</w:t>
      </w:r>
      <w:r w:rsidRPr="00DE4516">
        <w:rPr>
          <w:rStyle w:val="FootnoteReference"/>
        </w:rPr>
        <w:footnoteReference w:id="37"/>
      </w:r>
      <w:r>
        <w:rPr>
          <w:szCs w:val="24"/>
          <w:highlight w:val="white"/>
        </w:rPr>
        <w:t xml:space="preserve"> Following its accession to the WTO in December 2005, the Kingdom of Saudi Arabia notified the Agreement under Article XXIV of the GATT</w:t>
      </w:r>
      <w:r w:rsidRPr="00DE4516">
        <w:rPr>
          <w:rStyle w:val="FootnoteReference"/>
        </w:rPr>
        <w:footnoteReference w:id="38"/>
      </w:r>
      <w:r>
        <w:rPr>
          <w:szCs w:val="24"/>
          <w:highlight w:val="white"/>
        </w:rPr>
        <w:t>, but subsequently changed the notification to come under the Enabling Clause.</w:t>
      </w:r>
      <w:r w:rsidRPr="00DE4516">
        <w:rPr>
          <w:rStyle w:val="FootnoteReference"/>
        </w:rPr>
        <w:footnoteReference w:id="39"/>
      </w:r>
      <w:r>
        <w:rPr>
          <w:szCs w:val="24"/>
          <w:highlight w:val="white"/>
        </w:rPr>
        <w:t xml:space="preserve"> In October 2009, the Agreement was re-notified by the Kingdom of Saudi Arabia under Article XXIV:7(a) of the GATT 1994.</w:t>
      </w:r>
      <w:r w:rsidRPr="00DE4516">
        <w:rPr>
          <w:rStyle w:val="FootnoteReference"/>
        </w:rPr>
        <w:footnoteReference w:id="40"/>
      </w:r>
    </w:p>
    <w:p w14:paraId="5E7D2D56" w14:textId="77777777" w:rsidR="00DE4516" w:rsidRDefault="00DE4516">
      <w:pPr>
        <w:pStyle w:val="BodyText0"/>
        <w:autoSpaceDE w:val="0"/>
        <w:autoSpaceDN w:val="0"/>
        <w:adjustRightInd w:val="0"/>
        <w:rPr>
          <w:szCs w:val="24"/>
        </w:rPr>
      </w:pPr>
      <w:r>
        <w:rPr>
          <w:szCs w:val="24"/>
        </w:rPr>
        <w:t>The GCC has created several institutions impacting trade, including the Gulf Investment Corporation, the GCC Bureau of the Technical Secretariat for Anti</w:t>
      </w:r>
      <w:r>
        <w:rPr>
          <w:szCs w:val="24"/>
        </w:rPr>
        <w:noBreakHyphen/>
        <w:t>dumping, the GCC Standardization Organization, the Commercial Arbitration Centre, the Patents Office, the Technical Office for Telecommunications, the GCC ATM Network, the GCC Intellectual Property Training Centre, and the GCC Federation of Chambers of Commerce. Between June 2017 and January 2021, the GCC suffered from an internal crisis, with three of its members (the Kingdom of Bahrain, the Kingdom of Saudi Arabia, and the United Arab Emirates) imposing certain restrictive measures on Qatar.</w:t>
      </w:r>
    </w:p>
    <w:p w14:paraId="03412033" w14:textId="77777777" w:rsidR="00DE4516" w:rsidRDefault="00DE4516">
      <w:pPr>
        <w:pStyle w:val="BodyText0"/>
        <w:autoSpaceDE w:val="0"/>
        <w:autoSpaceDN w:val="0"/>
        <w:adjustRightInd w:val="0"/>
        <w:rPr>
          <w:szCs w:val="24"/>
        </w:rPr>
      </w:pPr>
      <w:r>
        <w:rPr>
          <w:szCs w:val="24"/>
        </w:rPr>
        <w:t>Since January 2003, the GCC member States have operated a common external tariff (CET) of 0% and 5% for most products (Section 3.1.3</w:t>
      </w:r>
      <w:r>
        <w:rPr>
          <w:szCs w:val="24"/>
          <w:highlight w:val="white"/>
        </w:rPr>
        <w:t>)</w:t>
      </w:r>
      <w:r w:rsidRPr="00DE4516">
        <w:rPr>
          <w:rStyle w:val="FootnoteReference"/>
        </w:rPr>
        <w:footnoteReference w:id="41"/>
      </w:r>
      <w:r>
        <w:rPr>
          <w:szCs w:val="24"/>
        </w:rPr>
        <w:t xml:space="preserve">, and a common law on customs procedures and valuation. Since 2003, all applied rates except on tobacco have been </w:t>
      </w:r>
      <w:r>
        <w:rPr>
          <w:i/>
          <w:szCs w:val="24"/>
        </w:rPr>
        <w:t>ad valorem</w:t>
      </w:r>
      <w:r>
        <w:rPr>
          <w:szCs w:val="24"/>
        </w:rPr>
        <w:t xml:space="preserve">. With regards to tobacco products, Oman clarifies that it applies only the </w:t>
      </w:r>
      <w:r>
        <w:rPr>
          <w:i/>
          <w:szCs w:val="24"/>
        </w:rPr>
        <w:t>ad valorem</w:t>
      </w:r>
      <w:r>
        <w:rPr>
          <w:szCs w:val="24"/>
        </w:rPr>
        <w:t xml:space="preserve"> part of the tariff rate (100%).</w:t>
      </w:r>
    </w:p>
    <w:p w14:paraId="747D03D7" w14:textId="77777777" w:rsidR="00DE4516" w:rsidRDefault="00DE4516">
      <w:pPr>
        <w:pStyle w:val="BodyText0"/>
        <w:autoSpaceDE w:val="0"/>
        <w:autoSpaceDN w:val="0"/>
        <w:adjustRightInd w:val="0"/>
        <w:rPr>
          <w:szCs w:val="24"/>
        </w:rPr>
      </w:pPr>
      <w:r>
        <w:rPr>
          <w:szCs w:val="24"/>
        </w:rPr>
        <w:t>While all GCC member States apply a CET on most imports, certain differences remain (</w:t>
      </w:r>
      <w:proofErr w:type="gramStart"/>
      <w:r>
        <w:rPr>
          <w:szCs w:val="24"/>
        </w:rPr>
        <w:t>e.g.</w:t>
      </w:r>
      <w:proofErr w:type="gramEnd"/>
      <w:r>
        <w:rPr>
          <w:szCs w:val="24"/>
        </w:rPr>
        <w:t> on alcohol products). Oman applies customs duties of 100% on both pork and alcohol products.</w:t>
      </w:r>
      <w:r w:rsidRPr="00DE4516">
        <w:rPr>
          <w:rStyle w:val="FootnoteReference"/>
        </w:rPr>
        <w:footnoteReference w:id="42"/>
      </w:r>
      <w:r>
        <w:rPr>
          <w:szCs w:val="24"/>
        </w:rPr>
        <w:t xml:space="preserve"> In addition, border checks between GCC member States are maintained for sanitary and phytosanitary (SPS) measures and standards. Prohibited goods may not circulate between members' territories; restricted products may transit the territory of members that restrict their import, with the appropriate documentation.</w:t>
      </w:r>
    </w:p>
    <w:p w14:paraId="7B093B9A" w14:textId="77777777" w:rsidR="00DE4516" w:rsidRDefault="00DE4516">
      <w:pPr>
        <w:pStyle w:val="BodyText0"/>
        <w:autoSpaceDE w:val="0"/>
        <w:autoSpaceDN w:val="0"/>
        <w:adjustRightInd w:val="0"/>
        <w:rPr>
          <w:szCs w:val="24"/>
        </w:rPr>
      </w:pPr>
      <w:r>
        <w:rPr>
          <w:szCs w:val="24"/>
          <w:highlight w:val="white"/>
        </w:rPr>
        <w:t xml:space="preserve">Allocation of customs revenues follows the principle of </w:t>
      </w:r>
      <w:proofErr w:type="gramStart"/>
      <w:r>
        <w:rPr>
          <w:szCs w:val="24"/>
          <w:highlight w:val="white"/>
        </w:rPr>
        <w:t>final destination</w:t>
      </w:r>
      <w:proofErr w:type="gramEnd"/>
      <w:r>
        <w:rPr>
          <w:szCs w:val="24"/>
          <w:highlight w:val="white"/>
        </w:rPr>
        <w:t>, through a clearing mechanism agreed upon in 2003.</w:t>
      </w:r>
      <w:r w:rsidRPr="00DE4516">
        <w:rPr>
          <w:rStyle w:val="FootnoteReference"/>
        </w:rPr>
        <w:footnoteReference w:id="43"/>
      </w:r>
    </w:p>
    <w:p w14:paraId="2C407477" w14:textId="77777777" w:rsidR="00DE4516" w:rsidRDefault="00DE4516">
      <w:pPr>
        <w:pStyle w:val="BodyText0"/>
        <w:autoSpaceDE w:val="0"/>
        <w:autoSpaceDN w:val="0"/>
        <w:adjustRightInd w:val="0"/>
        <w:rPr>
          <w:szCs w:val="24"/>
        </w:rPr>
      </w:pPr>
      <w:r>
        <w:rPr>
          <w:szCs w:val="24"/>
        </w:rPr>
        <w:t>Since its last Review, Oman has ratified the GCC Unified Anti</w:t>
      </w:r>
      <w:r>
        <w:rPr>
          <w:szCs w:val="24"/>
        </w:rPr>
        <w:noBreakHyphen/>
        <w:t xml:space="preserve">Dumping Law through Royal Decree No. 20/2015 and the GCC </w:t>
      </w:r>
      <w:proofErr w:type="gramStart"/>
      <w:r>
        <w:rPr>
          <w:szCs w:val="24"/>
        </w:rPr>
        <w:t>Trade Mark</w:t>
      </w:r>
      <w:proofErr w:type="gramEnd"/>
      <w:r>
        <w:rPr>
          <w:szCs w:val="24"/>
        </w:rPr>
        <w:t xml:space="preserve"> Law through Royal Decree No. 33/2017.</w:t>
      </w:r>
    </w:p>
    <w:p w14:paraId="3FC0B3E6" w14:textId="77777777" w:rsidR="00DE4516" w:rsidRDefault="00DE4516">
      <w:pPr>
        <w:pStyle w:val="BodyText0"/>
        <w:autoSpaceDE w:val="0"/>
        <w:autoSpaceDN w:val="0"/>
        <w:adjustRightInd w:val="0"/>
        <w:rPr>
          <w:szCs w:val="24"/>
        </w:rPr>
      </w:pPr>
      <w:r>
        <w:rPr>
          <w:szCs w:val="24"/>
          <w:highlight w:val="white"/>
        </w:rPr>
        <w:t>While two GCC member States (the Kingdom of Bahrain and Oman) have free trade agreements (FTAs) on an individual basis with the United States, the GCC announced in November 2011 that all future agreements would be negotiated as a group.</w:t>
      </w:r>
      <w:r w:rsidRPr="00DE4516">
        <w:rPr>
          <w:rStyle w:val="FootnoteReference"/>
        </w:rPr>
        <w:footnoteReference w:id="44"/>
      </w:r>
      <w:r>
        <w:rPr>
          <w:szCs w:val="24"/>
          <w:highlight w:val="white"/>
        </w:rPr>
        <w:t xml:space="preserve"> The GCC has since concluded a regional trade agreement with Singapore, which entered into force in 2013 and was notified to the WTO in 2015 under the Enabling Clause and Article V of the GATS.</w:t>
      </w:r>
      <w:r w:rsidRPr="00DE4516">
        <w:rPr>
          <w:rStyle w:val="FootnoteReference"/>
        </w:rPr>
        <w:footnoteReference w:id="45"/>
      </w:r>
      <w:r>
        <w:rPr>
          <w:szCs w:val="24"/>
          <w:highlight w:val="white"/>
        </w:rPr>
        <w:t xml:space="preserve"> An agreement with the European Free Trade Association (EFTA) entered into force in 2014, but was not notified as at </w:t>
      </w:r>
      <w:r>
        <w:rPr>
          <w:szCs w:val="24"/>
          <w:highlight w:val="white"/>
        </w:rPr>
        <w:lastRenderedPageBreak/>
        <w:t>October 2020.</w:t>
      </w:r>
      <w:r w:rsidRPr="00DE4516">
        <w:rPr>
          <w:rStyle w:val="FootnoteReference"/>
        </w:rPr>
        <w:footnoteReference w:id="46"/>
      </w:r>
      <w:r>
        <w:rPr>
          <w:szCs w:val="24"/>
        </w:rPr>
        <w:t xml:space="preserve"> The agreement covers trade in goods (including agricultural products), trade in services, trade remedies, government procurement, and competition policy. It also contains rules and procedures for dispute settlement. Intellectual property rights (IPRs) will be discussed at a later stage.</w:t>
      </w:r>
      <w:r w:rsidRPr="00DE4516">
        <w:rPr>
          <w:rStyle w:val="FootnoteReference"/>
        </w:rPr>
        <w:footnoteReference w:id="47"/>
      </w:r>
    </w:p>
    <w:p w14:paraId="5EC26102" w14:textId="77777777" w:rsidR="00DE4516" w:rsidRDefault="00DE4516">
      <w:pPr>
        <w:pStyle w:val="BodyText0"/>
        <w:autoSpaceDE w:val="0"/>
        <w:autoSpaceDN w:val="0"/>
        <w:adjustRightInd w:val="0"/>
        <w:rPr>
          <w:szCs w:val="24"/>
        </w:rPr>
      </w:pPr>
      <w:r>
        <w:rPr>
          <w:szCs w:val="24"/>
          <w:highlight w:val="white"/>
        </w:rPr>
        <w:t>Recent examples of further integration include a unified law for real estate owners, a cultural strategy for 2020-30, and a common Environment Programme for 2020.</w:t>
      </w:r>
      <w:r w:rsidRPr="00DE4516">
        <w:rPr>
          <w:rStyle w:val="FootnoteReference"/>
        </w:rPr>
        <w:footnoteReference w:id="48"/>
      </w:r>
      <w:r>
        <w:rPr>
          <w:szCs w:val="24"/>
          <w:highlight w:val="white"/>
        </w:rPr>
        <w:t xml:space="preserve"> In 2001, the GCC started a process of implementing a common labour market, providing equal treatment of all GCC citizens in relation to freedom of movement and residence, work, investment, education, health, and social services.</w:t>
      </w:r>
      <w:r w:rsidRPr="00DE4516">
        <w:rPr>
          <w:rStyle w:val="FootnoteReference"/>
        </w:rPr>
        <w:footnoteReference w:id="49"/>
      </w:r>
    </w:p>
    <w:p w14:paraId="62107D7D" w14:textId="77777777" w:rsidR="00DE4516" w:rsidRDefault="00DE4516">
      <w:pPr>
        <w:pStyle w:val="Heading40"/>
        <w:autoSpaceDE w:val="0"/>
        <w:autoSpaceDN w:val="0"/>
        <w:adjustRightInd w:val="0"/>
        <w:rPr>
          <w:szCs w:val="24"/>
        </w:rPr>
      </w:pPr>
      <w:r>
        <w:rPr>
          <w:szCs w:val="24"/>
        </w:rPr>
        <w:t>Pan-Arab Free Trade Area (PAFTA)</w:t>
      </w:r>
    </w:p>
    <w:p w14:paraId="2DAB169A" w14:textId="77777777" w:rsidR="00DE4516" w:rsidRDefault="00DE4516">
      <w:pPr>
        <w:pStyle w:val="BodyText0"/>
        <w:autoSpaceDE w:val="0"/>
        <w:autoSpaceDN w:val="0"/>
        <w:adjustRightInd w:val="0"/>
        <w:rPr>
          <w:szCs w:val="24"/>
        </w:rPr>
      </w:pPr>
      <w:r>
        <w:rPr>
          <w:szCs w:val="24"/>
          <w:highlight w:val="white"/>
        </w:rPr>
        <w:t>Under the PAFTA Treaty</w:t>
      </w:r>
      <w:r w:rsidRPr="00DE4516">
        <w:rPr>
          <w:rStyle w:val="FootnoteReference"/>
        </w:rPr>
        <w:footnoteReference w:id="50"/>
      </w:r>
      <w:r>
        <w:rPr>
          <w:szCs w:val="24"/>
        </w:rPr>
        <w:t>, in force since 1 January 1998, most trade barriers among its members were supposed to be eliminated in January 2005, with some products excluded from liberalization. The principal entity responsible for implementing the programme is the Economic and Social Council of the League of Arab States. The PAFTA was notified to the WTO by the Kingdom of Saudi Arabia in 2006 under Article XXIV of the GATT.</w:t>
      </w:r>
      <w:r w:rsidRPr="00DE4516">
        <w:rPr>
          <w:rStyle w:val="FootnoteReference"/>
        </w:rPr>
        <w:footnoteReference w:id="51"/>
      </w:r>
      <w:r>
        <w:rPr>
          <w:szCs w:val="24"/>
        </w:rPr>
        <w:t xml:space="preserve"> The authorities indicate that negotiations on various implementation issues, such as rules of origin, non</w:t>
      </w:r>
      <w:r>
        <w:rPr>
          <w:szCs w:val="24"/>
        </w:rPr>
        <w:noBreakHyphen/>
        <w:t>tariff barriers, IPR-related matters, and trade facilitation are ongoing.</w:t>
      </w:r>
    </w:p>
    <w:p w14:paraId="178EE4E5" w14:textId="77777777" w:rsidR="00DE4516" w:rsidRDefault="00DE4516">
      <w:pPr>
        <w:pStyle w:val="BodyText0"/>
        <w:autoSpaceDE w:val="0"/>
        <w:autoSpaceDN w:val="0"/>
        <w:adjustRightInd w:val="0"/>
        <w:rPr>
          <w:szCs w:val="24"/>
        </w:rPr>
      </w:pPr>
      <w:r>
        <w:rPr>
          <w:szCs w:val="24"/>
        </w:rPr>
        <w:t>On 1 February 2017, Oman was among the nine PAFTA countries</w:t>
      </w:r>
      <w:r w:rsidRPr="00DE4516">
        <w:rPr>
          <w:rStyle w:val="FootnoteReference"/>
        </w:rPr>
        <w:footnoteReference w:id="52"/>
      </w:r>
      <w:r>
        <w:rPr>
          <w:szCs w:val="24"/>
        </w:rPr>
        <w:t xml:space="preserve"> that agreed on a schedule of commitment for trade in services under an initiative known as the Beirut Round of Negotiations on the Liberalization of Trade in Services Among the Arab States.</w:t>
      </w:r>
    </w:p>
    <w:p w14:paraId="5FEFDB96" w14:textId="77777777" w:rsidR="00DE4516" w:rsidRDefault="00DE4516">
      <w:pPr>
        <w:pStyle w:val="BodyText0"/>
        <w:autoSpaceDE w:val="0"/>
        <w:autoSpaceDN w:val="0"/>
        <w:adjustRightInd w:val="0"/>
        <w:rPr>
          <w:szCs w:val="24"/>
        </w:rPr>
      </w:pPr>
      <w:r>
        <w:rPr>
          <w:szCs w:val="24"/>
        </w:rPr>
        <w:t>In 2014, Oman ratified the amended Unified Agreement for the Investment of Arab Capital in the Arab States.</w:t>
      </w:r>
      <w:r w:rsidRPr="00DE4516">
        <w:rPr>
          <w:rStyle w:val="FootnoteReference"/>
        </w:rPr>
        <w:footnoteReference w:id="53"/>
      </w:r>
    </w:p>
    <w:p w14:paraId="0FC804C1" w14:textId="77777777" w:rsidR="00DE4516" w:rsidRDefault="00DE4516">
      <w:pPr>
        <w:pStyle w:val="Heading40"/>
        <w:autoSpaceDE w:val="0"/>
        <w:autoSpaceDN w:val="0"/>
        <w:adjustRightInd w:val="0"/>
        <w:rPr>
          <w:szCs w:val="24"/>
        </w:rPr>
      </w:pPr>
      <w:r>
        <w:rPr>
          <w:szCs w:val="24"/>
        </w:rPr>
        <w:t>Agreement with the United States</w:t>
      </w:r>
    </w:p>
    <w:p w14:paraId="076B0BE0" w14:textId="77777777" w:rsidR="00DE4516" w:rsidRDefault="00DE4516">
      <w:pPr>
        <w:pStyle w:val="BodyText0"/>
        <w:autoSpaceDE w:val="0"/>
        <w:autoSpaceDN w:val="0"/>
        <w:adjustRightInd w:val="0"/>
        <w:rPr>
          <w:szCs w:val="24"/>
        </w:rPr>
      </w:pPr>
      <w:r>
        <w:rPr>
          <w:szCs w:val="24"/>
          <w:highlight w:val="white"/>
        </w:rPr>
        <w:t>The free trade agreement between Oman and the United States, signed in January 2006, entered into force in January 2009.</w:t>
      </w:r>
      <w:r w:rsidRPr="00DE4516">
        <w:rPr>
          <w:rStyle w:val="FootnoteReference"/>
        </w:rPr>
        <w:footnoteReference w:id="54"/>
      </w:r>
      <w:r>
        <w:rPr>
          <w:szCs w:val="24"/>
          <w:highlight w:val="white"/>
        </w:rPr>
        <w:t xml:space="preserve"> The agreement covers trade in goods and services; it also has provisions on investment, IPRs, e-commerce, labour, environment, and dispute settlement. It provides for tariff elimination in agricultural and non</w:t>
      </w:r>
      <w:r>
        <w:rPr>
          <w:szCs w:val="24"/>
          <w:highlight w:val="white"/>
        </w:rPr>
        <w:noBreakHyphen/>
        <w:t>agricultural goods over a maximum of 10 years, although a large share of products was granted duty-free access immediately. In 2018, 100% of the United States' tariff lines became duty-free.</w:t>
      </w:r>
      <w:r w:rsidRPr="00DE4516">
        <w:rPr>
          <w:rStyle w:val="FootnoteReference"/>
        </w:rPr>
        <w:footnoteReference w:id="55"/>
      </w:r>
    </w:p>
    <w:p w14:paraId="30B346D9" w14:textId="77777777" w:rsidR="00DE4516" w:rsidRDefault="00DE4516">
      <w:pPr>
        <w:pStyle w:val="Heading40"/>
        <w:autoSpaceDE w:val="0"/>
        <w:autoSpaceDN w:val="0"/>
        <w:adjustRightInd w:val="0"/>
        <w:rPr>
          <w:szCs w:val="24"/>
        </w:rPr>
      </w:pPr>
      <w:r>
        <w:rPr>
          <w:szCs w:val="24"/>
        </w:rPr>
        <w:t>Agreement with Singapore</w:t>
      </w:r>
    </w:p>
    <w:p w14:paraId="68B1CEB1" w14:textId="77777777" w:rsidR="00DE4516" w:rsidRDefault="00DE4516">
      <w:pPr>
        <w:pStyle w:val="BodyText0"/>
        <w:autoSpaceDE w:val="0"/>
        <w:autoSpaceDN w:val="0"/>
        <w:adjustRightInd w:val="0"/>
        <w:rPr>
          <w:szCs w:val="24"/>
        </w:rPr>
      </w:pPr>
      <w:r>
        <w:rPr>
          <w:szCs w:val="24"/>
          <w:highlight w:val="white"/>
        </w:rPr>
        <w:lastRenderedPageBreak/>
        <w:t>A free trade agreement between Singapore and the GCC member States entered into force in September 2013 and was notified in 2015.</w:t>
      </w:r>
      <w:r w:rsidRPr="00DE4516">
        <w:rPr>
          <w:rStyle w:val="FootnoteReference"/>
        </w:rPr>
        <w:footnoteReference w:id="56"/>
      </w:r>
      <w:r>
        <w:rPr>
          <w:szCs w:val="24"/>
        </w:rPr>
        <w:t xml:space="preserve"> The agreement covers trade in goods and services, investment, rules of origin, standards, customs procedures, government procurement, electronic commerce, intellectual property, movement of natural persons, and economic cooperation.</w:t>
      </w:r>
    </w:p>
    <w:p w14:paraId="085350AB" w14:textId="77777777" w:rsidR="00DE4516" w:rsidRDefault="00DE4516">
      <w:pPr>
        <w:pStyle w:val="BodyText0"/>
        <w:autoSpaceDE w:val="0"/>
        <w:autoSpaceDN w:val="0"/>
        <w:adjustRightInd w:val="0"/>
        <w:rPr>
          <w:szCs w:val="24"/>
        </w:rPr>
      </w:pPr>
      <w:r>
        <w:rPr>
          <w:szCs w:val="24"/>
        </w:rPr>
        <w:t>With the agreement's entry into force, approximately 94% of all tariff lines of GCC member States qualified for immediate duty-free treatment, while an additional 2.7% of tariff lines qualified for duty-free treatment as of 2018. In services, both parties have committed to liberalize various sectors beyond their WTO commitments. The services sectors covered include professional services (legal, accounting, and engineering) and business services (construction, distribution, and hospital).</w:t>
      </w:r>
    </w:p>
    <w:p w14:paraId="7F4A66F7" w14:textId="77777777" w:rsidR="00DE4516" w:rsidRDefault="00DE4516">
      <w:pPr>
        <w:pStyle w:val="BodyText0"/>
        <w:autoSpaceDE w:val="0"/>
        <w:autoSpaceDN w:val="0"/>
        <w:adjustRightInd w:val="0"/>
        <w:rPr>
          <w:szCs w:val="24"/>
        </w:rPr>
      </w:pPr>
      <w:r>
        <w:rPr>
          <w:szCs w:val="24"/>
          <w:highlight w:val="white"/>
        </w:rPr>
        <w:t>The United Arab Emirates, the Kingdom of Bahrain, Qatar, and the Kingdom of Saudi Arabia have allowed up to 100% foreign equity for Singapore legal companies, while Oman has allowed up to 70%. The Kingdom of Bahrain, the State of Kuwait, Oman, Qatar, and the Kingdom of Saudi Arabia have allowed up to 100% foreign equity for Singapore construction companies. Oman has allowed up to 70% foreign equity for Singapore companies supplying education services, while the other GCC member States have allowed up to 100%.</w:t>
      </w:r>
      <w:r w:rsidRPr="00DE4516">
        <w:rPr>
          <w:rStyle w:val="FootnoteReference"/>
        </w:rPr>
        <w:footnoteReference w:id="57"/>
      </w:r>
    </w:p>
    <w:p w14:paraId="645D106F" w14:textId="77777777" w:rsidR="00DE4516" w:rsidRDefault="00DE4516">
      <w:pPr>
        <w:pStyle w:val="Heading30"/>
        <w:autoSpaceDE w:val="0"/>
        <w:autoSpaceDN w:val="0"/>
        <w:adjustRightInd w:val="0"/>
        <w:rPr>
          <w:szCs w:val="24"/>
        </w:rPr>
      </w:pPr>
      <w:r>
        <w:rPr>
          <w:szCs w:val="24"/>
        </w:rPr>
        <w:t>Other agreements and arrangements</w:t>
      </w:r>
    </w:p>
    <w:p w14:paraId="614C5228" w14:textId="77777777" w:rsidR="00DE4516" w:rsidRDefault="00DE4516">
      <w:pPr>
        <w:pStyle w:val="BodyText0"/>
        <w:autoSpaceDE w:val="0"/>
        <w:autoSpaceDN w:val="0"/>
        <w:adjustRightInd w:val="0"/>
        <w:rPr>
          <w:szCs w:val="24"/>
        </w:rPr>
      </w:pPr>
      <w:r>
        <w:rPr>
          <w:szCs w:val="24"/>
          <w:highlight w:val="white"/>
        </w:rPr>
        <w:t>Negotiations to enter into a preferential agreement with Japan and Australia were announced to the WTO in 2006 and 2007, respectively.</w:t>
      </w:r>
      <w:r w:rsidRPr="00DE4516">
        <w:rPr>
          <w:rStyle w:val="FootnoteReference"/>
        </w:rPr>
        <w:footnoteReference w:id="58"/>
      </w:r>
      <w:r>
        <w:rPr>
          <w:szCs w:val="24"/>
        </w:rPr>
        <w:t xml:space="preserve"> The GCC is also negotiating FTAs with China, India, the Republic of Korea, MERCOSUR, New Zealand, Pakistan, and Turkey. However, these negotiations were generally put on hold. Currently, all negotiations are suspended except for negotiations with China.</w:t>
      </w:r>
    </w:p>
    <w:p w14:paraId="47F8AE95" w14:textId="77777777" w:rsidR="00DE4516" w:rsidRDefault="00DE4516">
      <w:pPr>
        <w:pStyle w:val="BodyText0"/>
        <w:autoSpaceDE w:val="0"/>
        <w:autoSpaceDN w:val="0"/>
        <w:adjustRightInd w:val="0"/>
        <w:rPr>
          <w:szCs w:val="24"/>
        </w:rPr>
      </w:pPr>
      <w:r>
        <w:rPr>
          <w:szCs w:val="24"/>
        </w:rPr>
        <w:t>Negotiations for an FTA with the European Union were launched in 1990 but subsequently halted in 2008, replaced by a Dialogue on Trade and Investment Issues.</w:t>
      </w:r>
      <w:r w:rsidRPr="00DE4516">
        <w:rPr>
          <w:rStyle w:val="FootnoteReference"/>
        </w:rPr>
        <w:footnoteReference w:id="59"/>
      </w:r>
      <w:r>
        <w:rPr>
          <w:szCs w:val="24"/>
        </w:rPr>
        <w:t xml:space="preserve"> The latest meeting of the Dialogue was held in Riyadh on 13 February 2020.</w:t>
      </w:r>
    </w:p>
    <w:p w14:paraId="2A4E731B" w14:textId="77777777" w:rsidR="00DE4516" w:rsidRDefault="00DE4516">
      <w:pPr>
        <w:pStyle w:val="BodyText0"/>
        <w:autoSpaceDE w:val="0"/>
        <w:autoSpaceDN w:val="0"/>
        <w:adjustRightInd w:val="0"/>
        <w:rPr>
          <w:szCs w:val="24"/>
        </w:rPr>
      </w:pPr>
      <w:r>
        <w:rPr>
          <w:szCs w:val="24"/>
        </w:rPr>
        <w:t>Oman ratified the Trade Preferential System among the member States of the Organization of Islamic Cooperation, which, however, has not yet been implemented.</w:t>
      </w:r>
    </w:p>
    <w:p w14:paraId="1EA298A5" w14:textId="77777777" w:rsidR="00DE4516" w:rsidRDefault="00DE4516">
      <w:pPr>
        <w:pStyle w:val="BodyText0"/>
        <w:autoSpaceDE w:val="0"/>
        <w:autoSpaceDN w:val="0"/>
        <w:adjustRightInd w:val="0"/>
        <w:rPr>
          <w:szCs w:val="24"/>
        </w:rPr>
      </w:pPr>
      <w:r>
        <w:rPr>
          <w:szCs w:val="24"/>
        </w:rPr>
        <w:t>Oman does not participate in the Global System of Trade Preferences (GSTP) among developing countries.</w:t>
      </w:r>
    </w:p>
    <w:p w14:paraId="5EC6B081" w14:textId="77777777" w:rsidR="00DE4516" w:rsidRDefault="00DE4516">
      <w:pPr>
        <w:pStyle w:val="BodyText0"/>
        <w:autoSpaceDE w:val="0"/>
        <w:autoSpaceDN w:val="0"/>
        <w:adjustRightInd w:val="0"/>
        <w:rPr>
          <w:szCs w:val="24"/>
        </w:rPr>
      </w:pPr>
      <w:r>
        <w:rPr>
          <w:szCs w:val="24"/>
          <w:highlight w:val="white"/>
        </w:rPr>
        <w:t>Oman receives unilateral trade preferences under the Generalized System of Preferences (GSP) from Australia, Belarus, Kazakhstan, New Zealand, the Russian Federation, and Turkey.</w:t>
      </w:r>
      <w:r w:rsidRPr="00DE4516">
        <w:rPr>
          <w:rStyle w:val="FootnoteReference"/>
        </w:rPr>
        <w:footnoteReference w:id="60"/>
      </w:r>
    </w:p>
    <w:p w14:paraId="076E3868" w14:textId="77777777" w:rsidR="00DE4516" w:rsidRDefault="00DE4516">
      <w:pPr>
        <w:pStyle w:val="Heading20"/>
        <w:autoSpaceDE w:val="0"/>
        <w:autoSpaceDN w:val="0"/>
        <w:adjustRightInd w:val="0"/>
        <w:rPr>
          <w:szCs w:val="24"/>
        </w:rPr>
      </w:pPr>
      <w:r>
        <w:rPr>
          <w:szCs w:val="24"/>
        </w:rPr>
        <w:t>Investment Regime</w:t>
      </w:r>
    </w:p>
    <w:p w14:paraId="2A76A4B5" w14:textId="77777777" w:rsidR="00DE4516" w:rsidRDefault="00DE4516">
      <w:pPr>
        <w:pStyle w:val="BodyText0"/>
        <w:autoSpaceDE w:val="0"/>
        <w:autoSpaceDN w:val="0"/>
        <w:adjustRightInd w:val="0"/>
        <w:rPr>
          <w:szCs w:val="24"/>
        </w:rPr>
      </w:pPr>
      <w:r>
        <w:rPr>
          <w:szCs w:val="24"/>
        </w:rPr>
        <w:t>Since the last Review, several changes to legislation for both national and foreign companies have taken place. Mainly, the new Commercial Companies Law (CCL) repealed the previous 1994 CCL, the New Foreign Capital Investment Law (NFCIL) replaced previous legislation from 1994, and several authorities for commercial activities were reformed.</w:t>
      </w:r>
    </w:p>
    <w:p w14:paraId="24996CB4" w14:textId="77777777" w:rsidR="00DE4516" w:rsidRDefault="00DE4516">
      <w:pPr>
        <w:pStyle w:val="BodyText0"/>
        <w:autoSpaceDE w:val="0"/>
        <w:autoSpaceDN w:val="0"/>
        <w:adjustRightInd w:val="0"/>
        <w:rPr>
          <w:szCs w:val="24"/>
        </w:rPr>
      </w:pPr>
      <w:r>
        <w:rPr>
          <w:szCs w:val="24"/>
          <w:highlight w:val="white"/>
        </w:rPr>
        <w:t>The new CCL</w:t>
      </w:r>
      <w:r w:rsidRPr="00DE4516">
        <w:rPr>
          <w:rStyle w:val="FootnoteReference"/>
        </w:rPr>
        <w:footnoteReference w:id="61"/>
      </w:r>
      <w:r>
        <w:rPr>
          <w:szCs w:val="24"/>
          <w:highlight w:val="white"/>
        </w:rPr>
        <w:t xml:space="preserve"> allows both foreign and domestic investment in the six forms previously authorized (general partnership, limited partnership, joint venture, joint stock company, limited liability company, and holding company), and adds the sole shareholder company. Professional </w:t>
      </w:r>
      <w:r>
        <w:rPr>
          <w:szCs w:val="24"/>
          <w:highlight w:val="white"/>
        </w:rPr>
        <w:lastRenderedPageBreak/>
        <w:t>companies and companies with foreign capital may be established, provided that the principal place of each of them shall be in the Sultanate in which it shall carry out its activity. Special regulations apply for activities established in the free zones.</w:t>
      </w:r>
      <w:r w:rsidRPr="00DE4516">
        <w:rPr>
          <w:rStyle w:val="FootnoteReference"/>
        </w:rPr>
        <w:footnoteReference w:id="62"/>
      </w:r>
      <w:r>
        <w:rPr>
          <w:szCs w:val="24"/>
        </w:rPr>
        <w:t xml:space="preserve"> The new CCL also includes new regulations for joint stock companies and limited liability companies.</w:t>
      </w:r>
    </w:p>
    <w:p w14:paraId="2CEBEAAB" w14:textId="77777777" w:rsidR="00DE4516" w:rsidRDefault="00DE4516">
      <w:pPr>
        <w:pStyle w:val="BodyText0"/>
        <w:autoSpaceDE w:val="0"/>
        <w:autoSpaceDN w:val="0"/>
        <w:adjustRightInd w:val="0"/>
        <w:rPr>
          <w:szCs w:val="24"/>
        </w:rPr>
      </w:pPr>
      <w:r>
        <w:rPr>
          <w:szCs w:val="24"/>
        </w:rPr>
        <w:t>In January 2020, the NFCIL became effective, and Executive Regulations were issued in June 2020. Foreigners no longer need to partner with a local shareholder, as the 30% Omani ownership requirement was revoked. Attracting foreign investment is one of the goals of Oman Vision 2040, and the NFCIL pursues this direction. However, registration fees for 100% foreign ownership increased to OMR 3,500.</w:t>
      </w:r>
      <w:r w:rsidRPr="00DE4516">
        <w:rPr>
          <w:rStyle w:val="FootnoteReference"/>
        </w:rPr>
        <w:footnoteReference w:id="63"/>
      </w:r>
      <w:r>
        <w:rPr>
          <w:szCs w:val="24"/>
        </w:rPr>
        <w:t xml:space="preserve"> The minimum capital requirement for foreign investors to establish a commercial company, previously set at OMR 150,000, remains to be determined.</w:t>
      </w:r>
    </w:p>
    <w:p w14:paraId="71965B37" w14:textId="77777777" w:rsidR="00DE4516" w:rsidRDefault="00DE4516">
      <w:pPr>
        <w:pStyle w:val="BodyText0"/>
        <w:autoSpaceDE w:val="0"/>
        <w:autoSpaceDN w:val="0"/>
        <w:adjustRightInd w:val="0"/>
        <w:rPr>
          <w:szCs w:val="24"/>
        </w:rPr>
      </w:pPr>
      <w:r>
        <w:rPr>
          <w:szCs w:val="24"/>
          <w:highlight w:val="white"/>
        </w:rPr>
        <w:t>Under the NFCIL, an investment licence, issued by the Investment Services Centre, remains a requirement. Any interested foreign company has to submit a short economic feasibility study in order to get such an investment licence.</w:t>
      </w:r>
      <w:r w:rsidRPr="00DE4516">
        <w:rPr>
          <w:rStyle w:val="FootnoteReference"/>
        </w:rPr>
        <w:footnoteReference w:id="64"/>
      </w:r>
      <w:r>
        <w:rPr>
          <w:szCs w:val="24"/>
          <w:highlight w:val="white"/>
        </w:rPr>
        <w:t xml:space="preserve"> Projects related to strategic development (public facilities, infrastructure, energy, roads, transport, and ports) must be approved by the Council of Ministers and meet further requirements, such as the use of Omani products in the project and partnership with local small and medium enterprises.</w:t>
      </w:r>
      <w:r w:rsidRPr="00DE4516">
        <w:rPr>
          <w:rStyle w:val="FootnoteReference"/>
        </w:rPr>
        <w:footnoteReference w:id="65"/>
      </w:r>
      <w:r>
        <w:rPr>
          <w:szCs w:val="24"/>
        </w:rPr>
        <w:t xml:space="preserve"> Article 10 states that investment projects can be granted a single approval by the Council of Ministers for establishing, operating, and managing the project, including construction and manpower licences, without the need to undertake any other procedure if the investment project is deemed to be strategic and contributing to the development of public utilities and infrastructures or renewable energy. The authorities indicate that the approval process usually takes about one month.</w:t>
      </w:r>
    </w:p>
    <w:p w14:paraId="3036368E" w14:textId="77777777" w:rsidR="00DE4516" w:rsidRDefault="00DE4516">
      <w:pPr>
        <w:pStyle w:val="BodyText0"/>
        <w:autoSpaceDE w:val="0"/>
        <w:autoSpaceDN w:val="0"/>
        <w:adjustRightInd w:val="0"/>
        <w:rPr>
          <w:szCs w:val="24"/>
        </w:rPr>
      </w:pPr>
      <w:r>
        <w:rPr>
          <w:szCs w:val="24"/>
        </w:rPr>
        <w:t>Foreign investment projects must comply with inspection and monitoring procedures. The performance of the project should be evaluated every six months by the Investment Services Centre; officials must be granted access to the headquarters and to records, documents, and computer systems as needed. However, the authorities indicate that this provision is currently not enforced.</w:t>
      </w:r>
    </w:p>
    <w:p w14:paraId="2AD7BCE1" w14:textId="77777777" w:rsidR="00DE4516" w:rsidRDefault="00DE4516">
      <w:pPr>
        <w:pStyle w:val="BodyText0"/>
        <w:autoSpaceDE w:val="0"/>
        <w:autoSpaceDN w:val="0"/>
        <w:adjustRightInd w:val="0"/>
        <w:rPr>
          <w:szCs w:val="24"/>
        </w:rPr>
      </w:pPr>
      <w:r>
        <w:rPr>
          <w:szCs w:val="24"/>
          <w:highlight w:val="white"/>
        </w:rPr>
        <w:t>The MOCIIP issued through Ministerial Decision No. 209/2020 a list of 70 professions in which foreigners do not have the right to engage. In early 2021, further professions were added to the list, including fuel station managers; professions related to the activities and business of optics and the sale of glasses</w:t>
      </w:r>
      <w:r w:rsidRPr="00DE4516">
        <w:rPr>
          <w:rStyle w:val="FootnoteReference"/>
        </w:rPr>
        <w:footnoteReference w:id="66"/>
      </w:r>
      <w:r>
        <w:rPr>
          <w:szCs w:val="24"/>
        </w:rPr>
        <w:t>; various positions in insurance companies, shops, and car dealerships, including finance, commerce, and administration; accounting jobs within car dealership companies; and drivers of all vehicles.</w:t>
      </w:r>
      <w:r w:rsidRPr="00DE4516">
        <w:rPr>
          <w:rStyle w:val="FootnoteReference"/>
        </w:rPr>
        <w:footnoteReference w:id="67"/>
      </w:r>
      <w:r>
        <w:rPr>
          <w:szCs w:val="24"/>
        </w:rPr>
        <w:t xml:space="preserve"> Oman also announced its goals of seeing more Omani nationals in teaching positions and replacing expat teachers.</w:t>
      </w:r>
      <w:r w:rsidRPr="00DE4516">
        <w:rPr>
          <w:rStyle w:val="FootnoteReference"/>
        </w:rPr>
        <w:footnoteReference w:id="68"/>
      </w:r>
      <w:r>
        <w:rPr>
          <w:szCs w:val="24"/>
        </w:rPr>
        <w:t xml:space="preserve"> </w:t>
      </w:r>
      <w:r>
        <w:rPr>
          <w:szCs w:val="24"/>
          <w:highlight w:val="white"/>
        </w:rPr>
        <w:t>Since Ministerial Resolution No. 292/2020, non</w:t>
      </w:r>
      <w:r>
        <w:rPr>
          <w:szCs w:val="24"/>
          <w:highlight w:val="white"/>
        </w:rPr>
        <w:noBreakHyphen/>
        <w:t>citizens are also forbidden to own land in several locations, including in mountains and islands of strategic importance except within an integrated tourism complex.</w:t>
      </w:r>
      <w:r w:rsidRPr="00DE4516">
        <w:rPr>
          <w:rStyle w:val="FootnoteReference"/>
        </w:rPr>
        <w:footnoteReference w:id="69"/>
      </w:r>
      <w:r>
        <w:rPr>
          <w:szCs w:val="24"/>
          <w:highlight w:val="white"/>
        </w:rPr>
        <w:t xml:space="preserve"> Allocation of lands and real estate to foreigners will be by way of a long-term lease or by granting the right to use for 50 initial years, after approval from the competent authorities.</w:t>
      </w:r>
      <w:r w:rsidRPr="00DE4516">
        <w:rPr>
          <w:rStyle w:val="FootnoteReference"/>
        </w:rPr>
        <w:footnoteReference w:id="70"/>
      </w:r>
    </w:p>
    <w:p w14:paraId="3175CEAB" w14:textId="77777777" w:rsidR="00DE4516" w:rsidRDefault="00DE4516">
      <w:pPr>
        <w:pStyle w:val="BodyText0"/>
        <w:autoSpaceDE w:val="0"/>
        <w:autoSpaceDN w:val="0"/>
        <w:adjustRightInd w:val="0"/>
        <w:rPr>
          <w:szCs w:val="24"/>
        </w:rPr>
      </w:pPr>
      <w:r>
        <w:rPr>
          <w:szCs w:val="24"/>
          <w:highlight w:val="white"/>
        </w:rPr>
        <w:t xml:space="preserve">To attract investment in Oman's less developed regions, Article 17 of the Executive Regulations on the NFCIL sets out additional benefits that apply only to wholly foreign-owned companies. These include the exemption from paying the rental value or the return of the right to use the land needed for the investment project during a maximum of five years, exemption from current </w:t>
      </w:r>
      <w:proofErr w:type="spellStart"/>
      <w:r>
        <w:rPr>
          <w:szCs w:val="24"/>
          <w:highlight w:val="white"/>
        </w:rPr>
        <w:t>Omanization</w:t>
      </w:r>
      <w:proofErr w:type="spellEnd"/>
      <w:r>
        <w:rPr>
          <w:szCs w:val="24"/>
          <w:highlight w:val="white"/>
        </w:rPr>
        <w:t xml:space="preserve"> policies (such as the requirement to hire a certain proportion of the workforce </w:t>
      </w:r>
      <w:r>
        <w:rPr>
          <w:szCs w:val="24"/>
          <w:highlight w:val="white"/>
        </w:rPr>
        <w:lastRenderedPageBreak/>
        <w:t>from Omani citizens), and exemptions from fees.</w:t>
      </w:r>
      <w:r w:rsidRPr="00DE4516">
        <w:rPr>
          <w:rStyle w:val="FootnoteReference"/>
        </w:rPr>
        <w:footnoteReference w:id="71"/>
      </w:r>
      <w:r>
        <w:rPr>
          <w:szCs w:val="24"/>
          <w:highlight w:val="white"/>
        </w:rPr>
        <w:t xml:space="preserve"> However, as </w:t>
      </w:r>
      <w:proofErr w:type="gramStart"/>
      <w:r>
        <w:rPr>
          <w:szCs w:val="24"/>
          <w:highlight w:val="white"/>
        </w:rPr>
        <w:t>at</w:t>
      </w:r>
      <w:proofErr w:type="gramEnd"/>
      <w:r>
        <w:rPr>
          <w:szCs w:val="24"/>
          <w:highlight w:val="white"/>
        </w:rPr>
        <w:t xml:space="preserve"> June 2021, these regions had not been defined. Additional benefits may be granted by the Council of Ministers if projects meet certain requirements, such as exporting not less than 30% of the production and promoting the transfer of technology.</w:t>
      </w:r>
      <w:r w:rsidRPr="00DE4516">
        <w:rPr>
          <w:rStyle w:val="FootnoteReference"/>
        </w:rPr>
        <w:footnoteReference w:id="72"/>
      </w:r>
      <w:r>
        <w:rPr>
          <w:szCs w:val="24"/>
          <w:highlight w:val="white"/>
        </w:rPr>
        <w:t xml:space="preserve"> Other incentives and tax exemptions are provided by Article 19, notably for the IT and logistics sectors.</w:t>
      </w:r>
      <w:r w:rsidRPr="00DE4516">
        <w:rPr>
          <w:rStyle w:val="FootnoteReference"/>
        </w:rPr>
        <w:footnoteReference w:id="73"/>
      </w:r>
      <w:r>
        <w:rPr>
          <w:szCs w:val="24"/>
        </w:rPr>
        <w:t xml:space="preserve"> Finally, special investment incentives are also granted in Oman's three free zones and two special economic zones.</w:t>
      </w:r>
    </w:p>
    <w:p w14:paraId="0F86422D" w14:textId="77777777" w:rsidR="00DE4516" w:rsidRDefault="00DE4516">
      <w:pPr>
        <w:pStyle w:val="BodyText0"/>
        <w:autoSpaceDE w:val="0"/>
        <w:autoSpaceDN w:val="0"/>
        <w:adjustRightInd w:val="0"/>
        <w:rPr>
          <w:szCs w:val="24"/>
        </w:rPr>
      </w:pPr>
      <w:r>
        <w:rPr>
          <w:szCs w:val="24"/>
          <w:highlight w:val="white"/>
        </w:rPr>
        <w:t>Royal Decree No. 61/2020 established the Oman Investment Authority (OIA). All competences and assets of the State General Reserve Fund, the Oman Investment Fund, and the Directorate General of Investments in the Ministry of Finance were transferred to the OIA, which disposes of around USD 18 billion in assets. The goals of the OIA are to stimulate foreign investment in Oman, diversify the economy, and create more employment opportunities for Omanis.</w:t>
      </w:r>
      <w:r w:rsidRPr="00DE4516">
        <w:rPr>
          <w:rStyle w:val="FootnoteReference"/>
        </w:rPr>
        <w:footnoteReference w:id="74"/>
      </w:r>
    </w:p>
    <w:p w14:paraId="2CA579D6" w14:textId="77777777" w:rsidR="00DE4516" w:rsidRDefault="00DE4516">
      <w:pPr>
        <w:pStyle w:val="BodyText0"/>
        <w:autoSpaceDE w:val="0"/>
        <w:autoSpaceDN w:val="0"/>
        <w:adjustRightInd w:val="0"/>
        <w:rPr>
          <w:szCs w:val="24"/>
        </w:rPr>
      </w:pPr>
      <w:r>
        <w:rPr>
          <w:szCs w:val="24"/>
        </w:rPr>
        <w:t>As mentioned in Section 2.5, the MOCIIP replaced the Ministry of Commerce and Industry. The Public Authority for Investment Promotion and Export Development and the Competition Protection and Monopoly Prevention Centre were abolished and merged into the new MOCIIP.</w:t>
      </w:r>
      <w:r w:rsidRPr="00DE4516">
        <w:rPr>
          <w:rStyle w:val="FootnoteReference"/>
        </w:rPr>
        <w:footnoteReference w:id="75"/>
      </w:r>
      <w:r>
        <w:rPr>
          <w:szCs w:val="24"/>
        </w:rPr>
        <w:t xml:space="preserve"> In 2015, Royal Decree No. 32/2015 promulgated the law of the Public Establishment for Industrial Estates (PEIE), in which PEIE-affiliated estates could be exempt from provisions of the Foreign Capital Investment Law and the CCL and receive additional incentives. PEIE exemptions and incentives are still relevant under the NFCIL and the CCL.</w:t>
      </w:r>
    </w:p>
    <w:p w14:paraId="633FD723" w14:textId="77777777" w:rsidR="00DE4516" w:rsidRDefault="00DE4516">
      <w:pPr>
        <w:pStyle w:val="BodyText0"/>
        <w:autoSpaceDE w:val="0"/>
        <w:autoSpaceDN w:val="0"/>
        <w:adjustRightInd w:val="0"/>
        <w:rPr>
          <w:szCs w:val="24"/>
        </w:rPr>
      </w:pPr>
      <w:r>
        <w:rPr>
          <w:szCs w:val="24"/>
          <w:highlight w:val="white"/>
        </w:rPr>
        <w:t>Applications for the establishment of companies and branches of foreign companies carrying out business in the field of securities must be submitted to the Capital Market Authority for approval.</w:t>
      </w:r>
      <w:r w:rsidRPr="00DE4516">
        <w:rPr>
          <w:rStyle w:val="FootnoteReference"/>
        </w:rPr>
        <w:footnoteReference w:id="76"/>
      </w:r>
      <w:r>
        <w:rPr>
          <w:szCs w:val="24"/>
        </w:rPr>
        <w:t xml:space="preserve"> The bank guarantee for the branch of a foreign company shall be OMR 50,000. Branches of foreign companies wishing to obtain a licence are limited to the following activities: investment advice and research, marketing non</w:t>
      </w:r>
      <w:r>
        <w:rPr>
          <w:szCs w:val="24"/>
        </w:rPr>
        <w:noBreakHyphen/>
        <w:t>Omani securities, issue management, and portfolio management. According to the authorities, foreign investments represent more than 25% of investments companies listed at the Muscat Securities Market. A new law on Securities is under preparation and is waiting for final approval.</w:t>
      </w:r>
    </w:p>
    <w:p w14:paraId="232D5619" w14:textId="77777777" w:rsidR="00DE4516" w:rsidRDefault="00DE4516">
      <w:pPr>
        <w:pStyle w:val="BodyText0"/>
        <w:autoSpaceDE w:val="0"/>
        <w:autoSpaceDN w:val="0"/>
        <w:adjustRightInd w:val="0"/>
        <w:rPr>
          <w:szCs w:val="24"/>
        </w:rPr>
      </w:pPr>
      <w:r>
        <w:rPr>
          <w:szCs w:val="24"/>
          <w:highlight w:val="white"/>
        </w:rPr>
        <w:t>Oman also issued a law on bankruptcy procedures. Royal Decree No. 53/2019 aims to enhance predictability and transparency by laying out a new framework for companies' bankruptcy, while offering alternatives before termination of the activity. The law provides for three possibilities: restructuring, preventative composition, and judicial composition. Directors and managers could be held personally liable and face penalties for their actions.</w:t>
      </w:r>
      <w:r w:rsidRPr="00DE4516">
        <w:rPr>
          <w:rStyle w:val="FootnoteReference"/>
        </w:rPr>
        <w:footnoteReference w:id="77"/>
      </w:r>
    </w:p>
    <w:p w14:paraId="1D4CC4A4" w14:textId="77777777" w:rsidR="00DE4516" w:rsidRDefault="00DE4516">
      <w:pPr>
        <w:pStyle w:val="BodyText0"/>
        <w:autoSpaceDE w:val="0"/>
        <w:autoSpaceDN w:val="0"/>
        <w:adjustRightInd w:val="0"/>
        <w:rPr>
          <w:szCs w:val="24"/>
        </w:rPr>
      </w:pPr>
      <w:r>
        <w:rPr>
          <w:szCs w:val="24"/>
        </w:rPr>
        <w:t>In 2020, Oman ranked 68</w:t>
      </w:r>
      <w:r>
        <w:rPr>
          <w:szCs w:val="24"/>
          <w:vertAlign w:val="superscript"/>
        </w:rPr>
        <w:t>th</w:t>
      </w:r>
      <w:r>
        <w:rPr>
          <w:szCs w:val="24"/>
        </w:rPr>
        <w:t xml:space="preserve"> of 190 economies in the World Bank's Ease of Doing Business Index, 32</w:t>
      </w:r>
      <w:r>
        <w:rPr>
          <w:szCs w:val="24"/>
          <w:vertAlign w:val="superscript"/>
        </w:rPr>
        <w:t>nd</w:t>
      </w:r>
      <w:r>
        <w:rPr>
          <w:szCs w:val="24"/>
        </w:rPr>
        <w:t xml:space="preserve"> on ease of starting a business, but 144</w:t>
      </w:r>
      <w:r>
        <w:rPr>
          <w:szCs w:val="24"/>
          <w:vertAlign w:val="superscript"/>
        </w:rPr>
        <w:t>th</w:t>
      </w:r>
      <w:r>
        <w:rPr>
          <w:szCs w:val="24"/>
          <w:highlight w:val="white"/>
        </w:rPr>
        <w:t xml:space="preserve"> on ease of getting credit.</w:t>
      </w:r>
      <w:r w:rsidRPr="00DE4516">
        <w:rPr>
          <w:rStyle w:val="FootnoteReference"/>
        </w:rPr>
        <w:footnoteReference w:id="78"/>
      </w:r>
      <w:r>
        <w:rPr>
          <w:szCs w:val="24"/>
        </w:rPr>
        <w:t xml:space="preserve"> Oman ranked 56</w:t>
      </w:r>
      <w:r>
        <w:rPr>
          <w:szCs w:val="24"/>
          <w:vertAlign w:val="superscript"/>
        </w:rPr>
        <w:t>th</w:t>
      </w:r>
      <w:r>
        <w:rPr>
          <w:szCs w:val="24"/>
          <w:highlight w:val="white"/>
        </w:rPr>
        <w:t xml:space="preserve"> of 198 economies in the Transparency International Corruption Index</w:t>
      </w:r>
      <w:r w:rsidRPr="00DE4516">
        <w:rPr>
          <w:rStyle w:val="FootnoteReference"/>
        </w:rPr>
        <w:footnoteReference w:id="79"/>
      </w:r>
      <w:r>
        <w:rPr>
          <w:szCs w:val="24"/>
        </w:rPr>
        <w:t>, improving from 64</w:t>
      </w:r>
      <w:r>
        <w:rPr>
          <w:szCs w:val="24"/>
          <w:vertAlign w:val="superscript"/>
        </w:rPr>
        <w:t>th</w:t>
      </w:r>
      <w:r>
        <w:rPr>
          <w:szCs w:val="24"/>
        </w:rPr>
        <w:t xml:space="preserve"> in 2014, the year of the last Review.</w:t>
      </w:r>
    </w:p>
    <w:p w14:paraId="25208CF7" w14:textId="77777777" w:rsidR="00DE4516" w:rsidRDefault="00DE4516">
      <w:pPr>
        <w:pStyle w:val="BodyText0"/>
        <w:autoSpaceDE w:val="0"/>
        <w:autoSpaceDN w:val="0"/>
        <w:adjustRightInd w:val="0"/>
        <w:rPr>
          <w:szCs w:val="24"/>
        </w:rPr>
      </w:pPr>
      <w:r>
        <w:rPr>
          <w:szCs w:val="24"/>
        </w:rPr>
        <w:t>In 2016, Oman ratified the Convention on Combating Bribery of Foreign Public Officials in International Business Transactions. The Convention on Mutual Administrative Assistance in Tax Matters was ratified by Royal Decree No. 34/2020.</w:t>
      </w:r>
    </w:p>
    <w:p w14:paraId="6CCC9AD9" w14:textId="77777777" w:rsidR="00DE4516" w:rsidRDefault="00DE4516">
      <w:pPr>
        <w:pStyle w:val="BodyText0"/>
        <w:autoSpaceDE w:val="0"/>
        <w:autoSpaceDN w:val="0"/>
        <w:adjustRightInd w:val="0"/>
        <w:rPr>
          <w:szCs w:val="24"/>
        </w:rPr>
      </w:pPr>
      <w:r>
        <w:rPr>
          <w:szCs w:val="24"/>
          <w:highlight w:val="white"/>
        </w:rPr>
        <w:lastRenderedPageBreak/>
        <w:t>Royal Decree No. 69/2008 established a legal framework for online transactions. As e-commerce becomes increasingly important in international trade, Oman sees opportunities in this field, notably using its port facilities as a potential hub for e-commerce.</w:t>
      </w:r>
      <w:r w:rsidRPr="00DE4516">
        <w:rPr>
          <w:rStyle w:val="FootnoteReference"/>
        </w:rPr>
        <w:footnoteReference w:id="80"/>
      </w:r>
    </w:p>
    <w:p w14:paraId="005D5CBD" w14:textId="77777777" w:rsidR="00DE4516" w:rsidRDefault="00DE4516">
      <w:pPr>
        <w:pStyle w:val="BodyText0"/>
        <w:autoSpaceDE w:val="0"/>
        <w:autoSpaceDN w:val="0"/>
        <w:adjustRightInd w:val="0"/>
        <w:rPr>
          <w:szCs w:val="24"/>
        </w:rPr>
      </w:pPr>
      <w:r>
        <w:rPr>
          <w:szCs w:val="24"/>
          <w:highlight w:val="white"/>
        </w:rPr>
        <w:t>Oman has signed 35 bilateral investment treaties</w:t>
      </w:r>
      <w:r w:rsidRPr="00DE4516">
        <w:rPr>
          <w:rStyle w:val="FootnoteReference"/>
        </w:rPr>
        <w:footnoteReference w:id="81"/>
      </w:r>
      <w:r>
        <w:rPr>
          <w:szCs w:val="24"/>
          <w:highlight w:val="white"/>
        </w:rPr>
        <w:t>, and 35 double taxation agreements (some not in force).</w:t>
      </w:r>
      <w:r w:rsidRPr="00DE4516">
        <w:rPr>
          <w:rStyle w:val="FootnoteReference"/>
        </w:rPr>
        <w:footnoteReference w:id="82"/>
      </w:r>
      <w:r>
        <w:rPr>
          <w:szCs w:val="24"/>
        </w:rPr>
        <w:t xml:space="preserve"> Since the last Review, Oman has concluded a new bilateral investment treaty with Japan, and double taxation agreements with Hungary, Japan, Portugal, Spain, Sri Lanka, and Switzerland. There are no restrictions on investment abroad by Omani nationals.</w:t>
      </w:r>
    </w:p>
    <w:p w14:paraId="18BB7356" w14:textId="77777777" w:rsidR="00DE4516" w:rsidRDefault="00DE4516">
      <w:pPr>
        <w:pStyle w:val="BodyText0"/>
        <w:autoSpaceDE w:val="0"/>
        <w:autoSpaceDN w:val="0"/>
        <w:adjustRightInd w:val="0"/>
        <w:rPr>
          <w:szCs w:val="24"/>
        </w:rPr>
      </w:pPr>
      <w:r>
        <w:rPr>
          <w:szCs w:val="24"/>
        </w:rPr>
        <w:t>Oman is a member of the Multilateral Investment Guarantee Agency and a party to the Convention of the International Centre for the Settlement of Investment Disputes.</w:t>
      </w:r>
    </w:p>
    <w:p w14:paraId="6A447851" w14:textId="77777777" w:rsidR="00DE4516" w:rsidRDefault="00DE4516">
      <w:pPr>
        <w:keepNext/>
        <w:keepLines/>
        <w:autoSpaceDE w:val="0"/>
        <w:autoSpaceDN w:val="0"/>
        <w:adjustRightInd w:val="0"/>
        <w:outlineLvl w:val="0"/>
        <w:rPr>
          <w:rFonts w:ascii="Times New Roman" w:hAnsi="Times New Roman"/>
          <w:sz w:val="24"/>
          <w:szCs w:val="24"/>
        </w:rPr>
        <w:sectPr w:rsidR="00DE4516">
          <w:footnotePr>
            <w:numRestart w:val="eachSect"/>
          </w:footnotePr>
          <w:pgSz w:w="11906" w:h="16838" w:code="9"/>
          <w:pgMar w:top="1701" w:right="1440" w:bottom="1440" w:left="1440" w:header="720" w:footer="720" w:gutter="0"/>
          <w:cols w:space="720"/>
          <w:docGrid w:linePitch="360"/>
        </w:sectPr>
      </w:pPr>
    </w:p>
    <w:p w14:paraId="5FC8ADF9" w14:textId="77777777" w:rsidR="00DE4516" w:rsidRDefault="00DE4516">
      <w:pPr>
        <w:pStyle w:val="Heading10"/>
        <w:autoSpaceDE w:val="0"/>
        <w:autoSpaceDN w:val="0"/>
        <w:adjustRightInd w:val="0"/>
        <w:rPr>
          <w:szCs w:val="24"/>
        </w:rPr>
      </w:pPr>
      <w:r>
        <w:rPr>
          <w:szCs w:val="24"/>
        </w:rPr>
        <w:lastRenderedPageBreak/>
        <w:t>TRADE POLICIES AND PRACTICES BY MEASURE</w:t>
      </w:r>
    </w:p>
    <w:p w14:paraId="30C700C0" w14:textId="77777777" w:rsidR="00DE4516" w:rsidRDefault="00DE4516">
      <w:pPr>
        <w:pStyle w:val="Heading20"/>
        <w:autoSpaceDE w:val="0"/>
        <w:autoSpaceDN w:val="0"/>
        <w:adjustRightInd w:val="0"/>
        <w:rPr>
          <w:szCs w:val="24"/>
        </w:rPr>
      </w:pPr>
      <w:r>
        <w:rPr>
          <w:szCs w:val="24"/>
        </w:rPr>
        <w:t>Measures Directly Affecting Imports</w:t>
      </w:r>
    </w:p>
    <w:p w14:paraId="5D7490AD" w14:textId="77777777" w:rsidR="00DE4516" w:rsidRDefault="00DE4516">
      <w:pPr>
        <w:pStyle w:val="Heading30"/>
        <w:autoSpaceDE w:val="0"/>
        <w:autoSpaceDN w:val="0"/>
        <w:adjustRightInd w:val="0"/>
        <w:rPr>
          <w:szCs w:val="24"/>
        </w:rPr>
      </w:pPr>
      <w:r>
        <w:rPr>
          <w:szCs w:val="24"/>
        </w:rPr>
        <w:t>Customs procedures, valuation, and requirements</w:t>
      </w:r>
    </w:p>
    <w:p w14:paraId="5BDF2F43" w14:textId="77777777" w:rsidR="00DE4516" w:rsidRDefault="00DE4516">
      <w:pPr>
        <w:pStyle w:val="BodyText0"/>
        <w:autoSpaceDE w:val="0"/>
        <w:autoSpaceDN w:val="0"/>
        <w:adjustRightInd w:val="0"/>
        <w:rPr>
          <w:szCs w:val="24"/>
        </w:rPr>
      </w:pPr>
      <w:r>
        <w:rPr>
          <w:szCs w:val="24"/>
        </w:rPr>
        <w:t>Since 2003, Oman has been applying the Gulf Cooperation Council (GCC) Common Customs Law and its Rules of Implementation and Explanatory Notes, through Royal Decree No. 67/2003. Under the "single port of entry" principle, items imported into Oman, or any other GCC member State, and destined for another GCC market, are subject to customs duty only at the first point of entry into the GCC. In 2015, the GCC published the Unified Guide for Customs Procedures.</w:t>
      </w:r>
    </w:p>
    <w:p w14:paraId="1C250531" w14:textId="77777777" w:rsidR="00DE4516" w:rsidRDefault="00DE4516">
      <w:pPr>
        <w:pStyle w:val="BodyText0"/>
        <w:autoSpaceDE w:val="0"/>
        <w:autoSpaceDN w:val="0"/>
        <w:adjustRightInd w:val="0"/>
        <w:rPr>
          <w:szCs w:val="24"/>
        </w:rPr>
      </w:pPr>
      <w:r>
        <w:rPr>
          <w:szCs w:val="24"/>
        </w:rPr>
        <w:t>According to Oman's Customs Service, all imports above OMR 1,000 must be accompanied by: (</w:t>
      </w:r>
      <w:proofErr w:type="spellStart"/>
      <w:r>
        <w:rPr>
          <w:szCs w:val="24"/>
        </w:rPr>
        <w:t>i</w:t>
      </w:r>
      <w:proofErr w:type="spellEnd"/>
      <w:r>
        <w:rPr>
          <w:szCs w:val="24"/>
        </w:rPr>
        <w:t>) a copy of the invoice; (ii) a packing list; (iii) a bill of lading if applicable; (iv) a document containing a detailed description of the cargo; and (v) an import declaration and form for clearing and classification. In addition, restricted goods need approval from the relevant authority (Section 3.1.5).</w:t>
      </w:r>
    </w:p>
    <w:p w14:paraId="5344F933" w14:textId="77777777" w:rsidR="00DE4516" w:rsidRDefault="00DE4516">
      <w:pPr>
        <w:pStyle w:val="BodyText0"/>
        <w:autoSpaceDE w:val="0"/>
        <w:autoSpaceDN w:val="0"/>
        <w:adjustRightInd w:val="0"/>
        <w:rPr>
          <w:szCs w:val="24"/>
        </w:rPr>
      </w:pPr>
      <w:r>
        <w:rPr>
          <w:szCs w:val="24"/>
        </w:rPr>
        <w:t>Customs officials check the documents submitted and ensure that the content is free from any banned or dangerous material before clearance. The use of pre</w:t>
      </w:r>
      <w:r>
        <w:rPr>
          <w:szCs w:val="24"/>
        </w:rPr>
        <w:noBreakHyphen/>
        <w:t>clearance has been increasing, with 22% of goods entering Oman having already been approved by the authorities.</w:t>
      </w:r>
      <w:r w:rsidRPr="00DE4516">
        <w:rPr>
          <w:rStyle w:val="FootnoteReference"/>
        </w:rPr>
        <w:footnoteReference w:id="83"/>
      </w:r>
      <w:r>
        <w:rPr>
          <w:szCs w:val="24"/>
        </w:rPr>
        <w:t xml:space="preserve"> Oman has a total of 33 customs offices (10 at land borders, nine at seaports, four at airports, and 10 within the country (</w:t>
      </w:r>
      <w:proofErr w:type="gramStart"/>
      <w:r>
        <w:rPr>
          <w:szCs w:val="24"/>
        </w:rPr>
        <w:t>e.g.</w:t>
      </w:r>
      <w:proofErr w:type="gramEnd"/>
      <w:r>
        <w:rPr>
          <w:szCs w:val="24"/>
        </w:rPr>
        <w:t> in the free zones)). Seven customs offices are GCC entry points.</w:t>
      </w:r>
    </w:p>
    <w:p w14:paraId="1818EF8C" w14:textId="77777777" w:rsidR="00DE4516" w:rsidRDefault="00DE4516">
      <w:pPr>
        <w:pStyle w:val="BodyText0"/>
        <w:autoSpaceDE w:val="0"/>
        <w:autoSpaceDN w:val="0"/>
        <w:adjustRightInd w:val="0"/>
        <w:rPr>
          <w:szCs w:val="24"/>
        </w:rPr>
      </w:pPr>
      <w:r>
        <w:rPr>
          <w:szCs w:val="24"/>
        </w:rPr>
        <w:t>In June 2015, Oman launched Bayan, an import and export reporting and management electronic system, to improve the efficiency of its customs procedures. The Royal Oman Police lists 30 objectives of the Bayan system, notably to reinforce controls over security, health, and environment issues; connect all entities via a single electronic window; decrease trade costs; and encourage investment.</w:t>
      </w:r>
      <w:r w:rsidRPr="00DE4516">
        <w:rPr>
          <w:rStyle w:val="FootnoteReference"/>
        </w:rPr>
        <w:footnoteReference w:id="84"/>
      </w:r>
      <w:r>
        <w:rPr>
          <w:szCs w:val="24"/>
        </w:rPr>
        <w:t xml:space="preserve"> An importer, an exporter, or their agent can authorize and clear goods through the Bayan system. According to the state-owned logistics conglomerate </w:t>
      </w:r>
      <w:proofErr w:type="spellStart"/>
      <w:r>
        <w:rPr>
          <w:szCs w:val="24"/>
        </w:rPr>
        <w:t>Asyad</w:t>
      </w:r>
      <w:proofErr w:type="spellEnd"/>
      <w:r>
        <w:rPr>
          <w:szCs w:val="24"/>
        </w:rPr>
        <w:t>, this has reduced average clearance time for imports to seven hours</w:t>
      </w:r>
      <w:r w:rsidRPr="00DE4516">
        <w:rPr>
          <w:rStyle w:val="FootnoteReference"/>
        </w:rPr>
        <w:footnoteReference w:id="85"/>
      </w:r>
      <w:r>
        <w:rPr>
          <w:szCs w:val="24"/>
        </w:rPr>
        <w:t xml:space="preserve"> (compared to 47 hours for the GCC).</w:t>
      </w:r>
      <w:r w:rsidRPr="00DE4516">
        <w:rPr>
          <w:rStyle w:val="FootnoteReference"/>
        </w:rPr>
        <w:footnoteReference w:id="86"/>
      </w:r>
      <w:r>
        <w:rPr>
          <w:szCs w:val="24"/>
        </w:rPr>
        <w:t xml:space="preserve"> Clearance time is normally less than 2 hours at seaports, less than 4 hours at airports, and less than 10 hours at land borders.</w:t>
      </w:r>
    </w:p>
    <w:p w14:paraId="0FAA956B" w14:textId="77777777" w:rsidR="00DE4516" w:rsidRDefault="00DE4516">
      <w:pPr>
        <w:pStyle w:val="BodyText0"/>
        <w:autoSpaceDE w:val="0"/>
        <w:autoSpaceDN w:val="0"/>
        <w:adjustRightInd w:val="0"/>
        <w:rPr>
          <w:szCs w:val="24"/>
        </w:rPr>
      </w:pPr>
      <w:r>
        <w:rPr>
          <w:szCs w:val="24"/>
        </w:rPr>
        <w:t>In the wake of the COVID</w:t>
      </w:r>
      <w:r>
        <w:rPr>
          <w:szCs w:val="24"/>
        </w:rPr>
        <w:noBreakHyphen/>
        <w:t xml:space="preserve">19 pandemic, Oman implemented new import measures. Specifically, </w:t>
      </w:r>
      <w:proofErr w:type="spellStart"/>
      <w:r>
        <w:rPr>
          <w:szCs w:val="24"/>
        </w:rPr>
        <w:t>Asyad</w:t>
      </w:r>
      <w:proofErr w:type="spellEnd"/>
      <w:r>
        <w:rPr>
          <w:szCs w:val="24"/>
        </w:rPr>
        <w:t xml:space="preserve"> approved the practice of "direct" imports</w:t>
      </w:r>
      <w:r w:rsidRPr="00DE4516">
        <w:rPr>
          <w:rStyle w:val="FootnoteReference"/>
        </w:rPr>
        <w:footnoteReference w:id="87"/>
      </w:r>
      <w:r>
        <w:rPr>
          <w:szCs w:val="24"/>
        </w:rPr>
        <w:t xml:space="preserve"> from the country of origin, with fewer clearance procedures to speed up the process and reduce costs.</w:t>
      </w:r>
      <w:r w:rsidRPr="00DE4516">
        <w:rPr>
          <w:rStyle w:val="FootnoteReference"/>
        </w:rPr>
        <w:footnoteReference w:id="88"/>
      </w:r>
      <w:r>
        <w:rPr>
          <w:szCs w:val="24"/>
        </w:rPr>
        <w:t xml:space="preserve"> It also reinforced the transition to electronic submission of documents and virtual customs clearance.</w:t>
      </w:r>
    </w:p>
    <w:p w14:paraId="1E32EF42" w14:textId="77777777" w:rsidR="00DE4516" w:rsidRDefault="00DE4516">
      <w:pPr>
        <w:pStyle w:val="BodyText0"/>
        <w:autoSpaceDE w:val="0"/>
        <w:autoSpaceDN w:val="0"/>
        <w:adjustRightInd w:val="0"/>
        <w:rPr>
          <w:szCs w:val="24"/>
        </w:rPr>
      </w:pPr>
      <w:r>
        <w:rPr>
          <w:szCs w:val="24"/>
        </w:rPr>
        <w:t>Importers in Oman are not required to use a commercial agent. In 2004, Oman notified the WTO that it had no laws or regulations on pre</w:t>
      </w:r>
      <w:r>
        <w:rPr>
          <w:szCs w:val="24"/>
        </w:rPr>
        <w:noBreakHyphen/>
        <w:t>shipment inspection</w:t>
      </w:r>
      <w:r w:rsidRPr="00DE4516">
        <w:rPr>
          <w:rStyle w:val="FootnoteReference"/>
        </w:rPr>
        <w:footnoteReference w:id="89"/>
      </w:r>
      <w:r>
        <w:rPr>
          <w:szCs w:val="24"/>
        </w:rPr>
        <w:t>, and in 2014 the Sultanate committed not to introduce any under the Trade Facilitation Agreement.</w:t>
      </w:r>
      <w:r w:rsidRPr="00DE4516">
        <w:rPr>
          <w:rStyle w:val="FootnoteReference"/>
        </w:rPr>
        <w:footnoteReference w:id="90"/>
      </w:r>
      <w:r>
        <w:rPr>
          <w:szCs w:val="24"/>
        </w:rPr>
        <w:t xml:space="preserve"> Goods are randomly selected for inspection on the basis of a risk management system (</w:t>
      </w:r>
      <w:proofErr w:type="gramStart"/>
      <w:r>
        <w:rPr>
          <w:szCs w:val="24"/>
        </w:rPr>
        <w:t>e.g.</w:t>
      </w:r>
      <w:proofErr w:type="gramEnd"/>
      <w:r>
        <w:rPr>
          <w:szCs w:val="24"/>
        </w:rPr>
        <w:t> type, description, and value of goods). On average, about 5% of all imports are subject to physical inspection. According to Bayan's statistics, 90% of goods were cleared within the first hour of arrival in 2019.</w:t>
      </w:r>
    </w:p>
    <w:p w14:paraId="23117219" w14:textId="77777777" w:rsidR="00DE4516" w:rsidRDefault="00DE4516">
      <w:pPr>
        <w:pStyle w:val="BodyText0"/>
        <w:autoSpaceDE w:val="0"/>
        <w:autoSpaceDN w:val="0"/>
        <w:adjustRightInd w:val="0"/>
        <w:rPr>
          <w:szCs w:val="24"/>
        </w:rPr>
      </w:pPr>
      <w:r>
        <w:rPr>
          <w:szCs w:val="24"/>
        </w:rPr>
        <w:lastRenderedPageBreak/>
        <w:t xml:space="preserve">Oman established a National Committee on Trade Facilitation in 2014. </w:t>
      </w:r>
      <w:r>
        <w:rPr>
          <w:szCs w:val="24"/>
          <w:highlight w:val="white"/>
        </w:rPr>
        <w:t>Since 2020, Oman has officially implemented 100% of its commitments under the Trade Facilitation Agreement, which it ratified in February 2017.</w:t>
      </w:r>
      <w:r w:rsidRPr="00DE4516">
        <w:rPr>
          <w:rStyle w:val="FootnoteReference"/>
        </w:rPr>
        <w:footnoteReference w:id="91"/>
      </w:r>
    </w:p>
    <w:p w14:paraId="6F52E89E" w14:textId="77777777" w:rsidR="00DE4516" w:rsidRDefault="00DE4516">
      <w:pPr>
        <w:pStyle w:val="BodyText0"/>
        <w:autoSpaceDE w:val="0"/>
        <w:autoSpaceDN w:val="0"/>
        <w:adjustRightInd w:val="0"/>
        <w:rPr>
          <w:szCs w:val="24"/>
        </w:rPr>
      </w:pPr>
      <w:r>
        <w:rPr>
          <w:szCs w:val="24"/>
        </w:rPr>
        <w:t xml:space="preserve">Oman has notified that it was implementing the WTO Customs Valuation Agreement (CVA) </w:t>
      </w:r>
      <w:proofErr w:type="gramStart"/>
      <w:r>
        <w:rPr>
          <w:szCs w:val="24"/>
        </w:rPr>
        <w:t>on the basis of</w:t>
      </w:r>
      <w:proofErr w:type="gramEnd"/>
      <w:r>
        <w:rPr>
          <w:szCs w:val="24"/>
        </w:rPr>
        <w:t xml:space="preserve"> the GCC Common Customs Law and its Rules of Implementation and Explanatory Notes.</w:t>
      </w:r>
      <w:r w:rsidRPr="00DE4516">
        <w:rPr>
          <w:rStyle w:val="FootnoteReference"/>
        </w:rPr>
        <w:footnoteReference w:id="92"/>
      </w:r>
      <w:r>
        <w:rPr>
          <w:szCs w:val="24"/>
        </w:rPr>
        <w:t xml:space="preserve"> The first basis for determining the value for customs purposes is the transaction value. If the transaction value cannot be determined, the customs value is to be calculated by proceeding through the basic methods set by the CVA. Oman has reserved its rights under Annex III, paragraph 3 (concerning reversal of sequential order of Articles 5 and 6) and paragraph 4 (to apply Article 5.2 </w:t>
      </w:r>
      <w:proofErr w:type="gramStart"/>
      <w:r>
        <w:rPr>
          <w:szCs w:val="24"/>
        </w:rPr>
        <w:t>whether or not</w:t>
      </w:r>
      <w:proofErr w:type="gramEnd"/>
      <w:r>
        <w:rPr>
          <w:szCs w:val="24"/>
        </w:rPr>
        <w:t xml:space="preserve"> the importer so requests).</w:t>
      </w:r>
      <w:r w:rsidRPr="00DE4516">
        <w:rPr>
          <w:rStyle w:val="FootnoteReference"/>
        </w:rPr>
        <w:footnoteReference w:id="93"/>
      </w:r>
      <w:r>
        <w:rPr>
          <w:szCs w:val="24"/>
        </w:rPr>
        <w:t xml:space="preserve"> Tariffs are levied on the c.i.f. value of imports.</w:t>
      </w:r>
    </w:p>
    <w:p w14:paraId="5AB2F6CC" w14:textId="77777777" w:rsidR="00DE4516" w:rsidRDefault="00DE4516">
      <w:pPr>
        <w:pStyle w:val="BodyText0"/>
        <w:autoSpaceDE w:val="0"/>
        <w:autoSpaceDN w:val="0"/>
        <w:adjustRightInd w:val="0"/>
        <w:rPr>
          <w:szCs w:val="24"/>
        </w:rPr>
      </w:pPr>
      <w:r>
        <w:rPr>
          <w:szCs w:val="24"/>
        </w:rPr>
        <w:t>In 2018, Switzerland informed the Committee on Customs Valuation that it had doubts about Oman's respect of its commitment to use the declared transaction value as the basis for assessing the value of cigarettes imports. Switzerland and Oman informed the Committee in 2019 that they had resolved their disagreement.</w:t>
      </w:r>
      <w:r w:rsidRPr="00DE4516">
        <w:rPr>
          <w:rStyle w:val="FootnoteReference"/>
        </w:rPr>
        <w:footnoteReference w:id="94"/>
      </w:r>
      <w:r>
        <w:rPr>
          <w:szCs w:val="24"/>
        </w:rPr>
        <w:t xml:space="preserve"> </w:t>
      </w:r>
      <w:r w:rsidRPr="00DE4516">
        <w:rPr>
          <w:rStyle w:val="FootnoteReference"/>
        </w:rPr>
        <w:footnoteReference w:id="95"/>
      </w:r>
    </w:p>
    <w:p w14:paraId="1EB2E4A0" w14:textId="77777777" w:rsidR="00DE4516" w:rsidRDefault="00DE4516">
      <w:pPr>
        <w:pStyle w:val="BodyText0"/>
        <w:autoSpaceDE w:val="0"/>
        <w:autoSpaceDN w:val="0"/>
        <w:adjustRightInd w:val="0"/>
        <w:rPr>
          <w:szCs w:val="24"/>
        </w:rPr>
      </w:pPr>
      <w:r>
        <w:rPr>
          <w:szCs w:val="24"/>
        </w:rPr>
        <w:t>In mid-2019, the Royal Oman Police introduced a new advance rulings programme, in accordance with Oman's Logistics Strategy 2040.</w:t>
      </w:r>
      <w:r w:rsidRPr="00DE4516">
        <w:rPr>
          <w:rStyle w:val="FootnoteReference"/>
        </w:rPr>
        <w:footnoteReference w:id="96"/>
      </w:r>
      <w:r>
        <w:rPr>
          <w:szCs w:val="24"/>
        </w:rPr>
        <w:t xml:space="preserve"> Advance rulings can be requested </w:t>
      </w:r>
      <w:proofErr w:type="gramStart"/>
      <w:r>
        <w:rPr>
          <w:szCs w:val="24"/>
        </w:rPr>
        <w:t>with regard to</w:t>
      </w:r>
      <w:proofErr w:type="gramEnd"/>
      <w:r>
        <w:rPr>
          <w:szCs w:val="24"/>
        </w:rPr>
        <w:t xml:space="preserve"> tariff classification, customs valuation, or rules of origin. Advance rulings are binding throughout the customs territory at all customs offices and valid for a specific period.</w:t>
      </w:r>
      <w:r w:rsidRPr="00DE4516">
        <w:rPr>
          <w:rStyle w:val="FootnoteReference"/>
        </w:rPr>
        <w:footnoteReference w:id="97"/>
      </w:r>
    </w:p>
    <w:p w14:paraId="4FF992E9" w14:textId="77777777" w:rsidR="00DE4516" w:rsidRDefault="00DE4516">
      <w:pPr>
        <w:pStyle w:val="BodyText0"/>
        <w:autoSpaceDE w:val="0"/>
        <w:autoSpaceDN w:val="0"/>
        <w:adjustRightInd w:val="0"/>
        <w:rPr>
          <w:szCs w:val="24"/>
        </w:rPr>
      </w:pPr>
      <w:r>
        <w:rPr>
          <w:szCs w:val="24"/>
        </w:rPr>
        <w:t>Oman replied to the Checklist of Issues in the Committee on Customs Valuation in 2008.</w:t>
      </w:r>
      <w:r w:rsidRPr="00DE4516">
        <w:rPr>
          <w:rStyle w:val="FootnoteReference"/>
        </w:rPr>
        <w:footnoteReference w:id="98"/>
      </w:r>
    </w:p>
    <w:p w14:paraId="3485C4BE" w14:textId="77777777" w:rsidR="00DE4516" w:rsidRDefault="00DE4516">
      <w:pPr>
        <w:pStyle w:val="BodyText0"/>
        <w:autoSpaceDE w:val="0"/>
        <w:autoSpaceDN w:val="0"/>
        <w:adjustRightInd w:val="0"/>
        <w:rPr>
          <w:szCs w:val="24"/>
        </w:rPr>
      </w:pPr>
      <w:r>
        <w:rPr>
          <w:szCs w:val="24"/>
        </w:rPr>
        <w:t>In 2014, Oman ratified the Revised Kyoto Convention, on the simplification and harmonization of customs procedures.</w:t>
      </w:r>
      <w:r w:rsidRPr="00DE4516">
        <w:rPr>
          <w:rStyle w:val="FootnoteReference"/>
        </w:rPr>
        <w:footnoteReference w:id="99"/>
      </w:r>
      <w:r>
        <w:rPr>
          <w:szCs w:val="24"/>
        </w:rPr>
        <w:t xml:space="preserve"> The International Convention on the Harmonized Commodity Description and Coding System was approved in 2016.</w:t>
      </w:r>
    </w:p>
    <w:p w14:paraId="0AD98D89" w14:textId="77777777" w:rsidR="00DE4516" w:rsidRDefault="00DE4516">
      <w:pPr>
        <w:pStyle w:val="BodyText0"/>
        <w:autoSpaceDE w:val="0"/>
        <w:autoSpaceDN w:val="0"/>
        <w:adjustRightInd w:val="0"/>
        <w:rPr>
          <w:szCs w:val="24"/>
        </w:rPr>
      </w:pPr>
      <w:r>
        <w:rPr>
          <w:szCs w:val="24"/>
        </w:rPr>
        <w:t>To settle customs valuation and classification disputes, an operator may appeal to the Directorate General of Customs, next to the Inspector General of Police and Customs, then to the Minister of Finance, and lastly to the Omani Court of Arbitration. In 2020, the Directorate adjudicated 111 complaints, all of which related to valuation.</w:t>
      </w:r>
    </w:p>
    <w:p w14:paraId="57177272" w14:textId="77777777" w:rsidR="00DE4516" w:rsidRDefault="00DE4516">
      <w:pPr>
        <w:pStyle w:val="Heading30"/>
        <w:autoSpaceDE w:val="0"/>
        <w:autoSpaceDN w:val="0"/>
        <w:adjustRightInd w:val="0"/>
        <w:rPr>
          <w:szCs w:val="24"/>
        </w:rPr>
      </w:pPr>
      <w:r>
        <w:rPr>
          <w:szCs w:val="24"/>
        </w:rPr>
        <w:t>Rules of origin</w:t>
      </w:r>
    </w:p>
    <w:p w14:paraId="398E69AA" w14:textId="77777777" w:rsidR="00DE4516" w:rsidRDefault="00DE4516">
      <w:pPr>
        <w:pStyle w:val="BodyText0"/>
        <w:autoSpaceDE w:val="0"/>
        <w:autoSpaceDN w:val="0"/>
        <w:adjustRightInd w:val="0"/>
        <w:rPr>
          <w:szCs w:val="24"/>
        </w:rPr>
      </w:pPr>
      <w:r>
        <w:rPr>
          <w:szCs w:val="24"/>
        </w:rPr>
        <w:t>Oman has notified the WTO that it does not have rules of origin for non</w:t>
      </w:r>
      <w:r>
        <w:rPr>
          <w:szCs w:val="24"/>
        </w:rPr>
        <w:noBreakHyphen/>
        <w:t>preferential transactions.</w:t>
      </w:r>
      <w:r w:rsidRPr="00DE4516">
        <w:rPr>
          <w:rStyle w:val="FootnoteReference"/>
        </w:rPr>
        <w:footnoteReference w:id="100"/>
      </w:r>
    </w:p>
    <w:p w14:paraId="277867F7" w14:textId="77777777" w:rsidR="00DE4516" w:rsidRDefault="00DE4516">
      <w:pPr>
        <w:pStyle w:val="BodyText0"/>
        <w:autoSpaceDE w:val="0"/>
        <w:autoSpaceDN w:val="0"/>
        <w:adjustRightInd w:val="0"/>
        <w:rPr>
          <w:szCs w:val="24"/>
        </w:rPr>
      </w:pPr>
      <w:r>
        <w:rPr>
          <w:szCs w:val="24"/>
        </w:rPr>
        <w:t xml:space="preserve">Under the GCC Customs Union, products are generally considered as originating from the country where they are wholly obtained or where they underwent substantial transformation (defined as change in tariff </w:t>
      </w:r>
      <w:proofErr w:type="gramStart"/>
      <w:r>
        <w:rPr>
          <w:szCs w:val="24"/>
        </w:rPr>
        <w:t>classification, or</w:t>
      </w:r>
      <w:proofErr w:type="gramEnd"/>
      <w:r>
        <w:rPr>
          <w:szCs w:val="24"/>
        </w:rPr>
        <w:t xml:space="preserve"> based on value-added criteria). Imported goods in the GCC are subject to the rules of origin of its international agreements.</w:t>
      </w:r>
      <w:r w:rsidRPr="00DE4516">
        <w:rPr>
          <w:rStyle w:val="FootnoteReference"/>
        </w:rPr>
        <w:footnoteReference w:id="101"/>
      </w:r>
      <w:r>
        <w:rPr>
          <w:szCs w:val="24"/>
        </w:rPr>
        <w:t xml:space="preserve"> Products of the Pan-Arab Free Trade Area (PAFTA), to which the GCC member States belong, qualify for preferential treatment when at least 40% of value is added locally.</w:t>
      </w:r>
      <w:r w:rsidRPr="00DE4516">
        <w:rPr>
          <w:rStyle w:val="FootnoteReference"/>
        </w:rPr>
        <w:footnoteReference w:id="102"/>
      </w:r>
    </w:p>
    <w:p w14:paraId="513933F7" w14:textId="77777777" w:rsidR="00DE4516" w:rsidRDefault="00DE4516">
      <w:pPr>
        <w:pStyle w:val="BodyText0"/>
        <w:autoSpaceDE w:val="0"/>
        <w:autoSpaceDN w:val="0"/>
        <w:adjustRightInd w:val="0"/>
        <w:rPr>
          <w:szCs w:val="24"/>
        </w:rPr>
      </w:pPr>
      <w:r>
        <w:rPr>
          <w:szCs w:val="24"/>
        </w:rPr>
        <w:t xml:space="preserve">Under the trade agreement with the United States, local value added of at least 35% is necessary for a good to be originating from one of the parties. The GCC-Singapore sets the same 35% threshold for treating a good as originating from a party. Article 6.6 of this agreement warns </w:t>
      </w:r>
      <w:r>
        <w:rPr>
          <w:szCs w:val="24"/>
        </w:rPr>
        <w:lastRenderedPageBreak/>
        <w:t>that normal rules of origin provision do not apply for goods or services imported or supplied for the purpose of government procurement. The GCC-European Free Trade Association (EFTA) free trade agreement (FTA) lays out a specific list of products that are considered as wholly obtained in the territory of a Party, such as vegetable products harvested there or products obtained by hunting, trapping, or fishing there.</w:t>
      </w:r>
      <w:r w:rsidRPr="00DE4516">
        <w:rPr>
          <w:rStyle w:val="FootnoteReference"/>
        </w:rPr>
        <w:footnoteReference w:id="103"/>
      </w:r>
      <w:r>
        <w:rPr>
          <w:szCs w:val="24"/>
        </w:rPr>
        <w:t xml:space="preserve"> Products that are not included in this list can be considered to be sufficiently worked or processed with specific conditions applying for each category in order to be eligible for preferential tariff treatment.</w:t>
      </w:r>
    </w:p>
    <w:p w14:paraId="1A8B5E47" w14:textId="77777777" w:rsidR="00DE4516" w:rsidRDefault="00DE4516">
      <w:pPr>
        <w:pStyle w:val="Heading30"/>
        <w:autoSpaceDE w:val="0"/>
        <w:autoSpaceDN w:val="0"/>
        <w:adjustRightInd w:val="0"/>
        <w:rPr>
          <w:szCs w:val="24"/>
        </w:rPr>
      </w:pPr>
      <w:r>
        <w:rPr>
          <w:szCs w:val="24"/>
        </w:rPr>
        <w:t>Tariffs</w:t>
      </w:r>
    </w:p>
    <w:p w14:paraId="6FAC9192" w14:textId="77777777" w:rsidR="00DE4516" w:rsidRDefault="00DE4516">
      <w:pPr>
        <w:pStyle w:val="Heading40"/>
        <w:autoSpaceDE w:val="0"/>
        <w:autoSpaceDN w:val="0"/>
        <w:adjustRightInd w:val="0"/>
        <w:rPr>
          <w:szCs w:val="24"/>
        </w:rPr>
      </w:pPr>
      <w:r>
        <w:rPr>
          <w:szCs w:val="24"/>
        </w:rPr>
        <w:t>Applied MFN tariff</w:t>
      </w:r>
    </w:p>
    <w:p w14:paraId="4A598EB1" w14:textId="77777777" w:rsidR="00DE4516" w:rsidRDefault="00DE4516">
      <w:pPr>
        <w:pStyle w:val="BodyText0"/>
        <w:autoSpaceDE w:val="0"/>
        <w:autoSpaceDN w:val="0"/>
        <w:adjustRightInd w:val="0"/>
        <w:rPr>
          <w:szCs w:val="24"/>
        </w:rPr>
      </w:pPr>
      <w:r>
        <w:rPr>
          <w:szCs w:val="24"/>
        </w:rPr>
        <w:t>Oman's MFN tariff comprises 7,561 lines, up from 7,301 in 2014 (</w:t>
      </w:r>
      <w:r>
        <w:rPr>
          <w:rStyle w:val="citetbl"/>
          <w:szCs w:val="24"/>
        </w:rPr>
        <w:t>Table 3.1</w:t>
      </w:r>
      <w:r>
        <w:rPr>
          <w:szCs w:val="24"/>
        </w:rPr>
        <w:t xml:space="preserve">). Except for 20 tariff lines on tobacco products, which carry a mixed tariff, all lines are </w:t>
      </w:r>
      <w:r>
        <w:rPr>
          <w:i/>
          <w:szCs w:val="24"/>
        </w:rPr>
        <w:t>ad valorem</w:t>
      </w:r>
      <w:r>
        <w:rPr>
          <w:szCs w:val="24"/>
        </w:rPr>
        <w:t>. There are no tariff quotas. Oman's tariff is based on the GCC's common external tariff, which consists of three rates: zero (11.1% of all lines), 5% (87.1%), and mixed tariffs (0.3%). However, Oman also applies a 100% tariff (0.8% of the lines) on imports of alcoholic beverages and pork and pork products (</w:t>
      </w:r>
      <w:r>
        <w:rPr>
          <w:rStyle w:val="citefig"/>
          <w:szCs w:val="24"/>
        </w:rPr>
        <w:t>Chart 3.1</w:t>
      </w:r>
      <w:r>
        <w:rPr>
          <w:szCs w:val="24"/>
        </w:rPr>
        <w:t>).</w:t>
      </w:r>
      <w:r w:rsidRPr="00DE4516">
        <w:rPr>
          <w:rStyle w:val="FootnoteReference"/>
        </w:rPr>
        <w:footnoteReference w:id="104"/>
      </w:r>
      <w:r>
        <w:rPr>
          <w:szCs w:val="24"/>
        </w:rPr>
        <w:t xml:space="preserve"> Duty-free items include agricultural raw materials and basic food products, medical and pharmaceutical products, and other products such as certain newspapers, books, and magazines; unwrought precious metals; vessels; and airplanes.</w:t>
      </w:r>
    </w:p>
    <w:p w14:paraId="68C3F17E" w14:textId="77777777" w:rsidR="00DE4516" w:rsidRDefault="00DE4516">
      <w:pPr>
        <w:pStyle w:val="TableTitle"/>
        <w:autoSpaceDE w:val="0"/>
        <w:autoSpaceDN w:val="0"/>
        <w:adjustRightInd w:val="0"/>
      </w:pPr>
      <w:r>
        <w:t>Table 3.1 Structure of Oman's MFN tariff, 2014 and 2021</w:t>
      </w:r>
    </w:p>
    <w:p w14:paraId="40145CC5" w14:textId="77777777" w:rsidR="00DE4516" w:rsidRDefault="00DE4516">
      <w:pPr>
        <w:pStyle w:val="TableTitleCont"/>
        <w:autoSpaceDE w:val="0"/>
        <w:autoSpaceDN w:val="0"/>
        <w:adjustRightInd w:val="0"/>
        <w:rPr>
          <w:b/>
          <w:color w:val="006283"/>
        </w:rPr>
      </w:pPr>
      <w:r>
        <w:rPr>
          <w:b/>
          <w:color w:val="006283"/>
        </w:rPr>
        <w:t>(%, unless otherwise indicated)</w:t>
      </w:r>
    </w:p>
    <w:tbl>
      <w:tblPr>
        <w:tblStyle w:val="WTOTable1"/>
        <w:tblW w:w="5000" w:type="pct"/>
        <w:tblLook w:val="05E0" w:firstRow="1" w:lastRow="1" w:firstColumn="1" w:lastColumn="1" w:noHBand="0" w:noVBand="1"/>
      </w:tblPr>
      <w:tblGrid>
        <w:gridCol w:w="5665"/>
        <w:gridCol w:w="992"/>
        <w:gridCol w:w="994"/>
        <w:gridCol w:w="1365"/>
      </w:tblGrid>
      <w:tr w:rsidR="00DE4516" w:rsidRPr="007F015E" w14:paraId="60A0C82F"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3142" w:type="pct"/>
            <w:tcBorders>
              <w:top w:val="single" w:sz="4" w:space="0" w:color="auto"/>
              <w:bottom w:val="nil"/>
            </w:tcBorders>
            <w:noWrap/>
            <w:hideMark/>
          </w:tcPr>
          <w:p w14:paraId="3D7DBDBB" w14:textId="77777777" w:rsidR="00DE4516" w:rsidRPr="007F015E" w:rsidRDefault="00DE4516" w:rsidP="00DE4516">
            <w:pPr>
              <w:pStyle w:val="TableHead"/>
              <w:autoSpaceDE w:val="0"/>
              <w:autoSpaceDN w:val="0"/>
              <w:adjustRightInd w:val="0"/>
              <w:rPr>
                <w:b/>
              </w:rPr>
            </w:pPr>
          </w:p>
        </w:tc>
        <w:tc>
          <w:tcPr>
            <w:tcW w:w="1101" w:type="pct"/>
            <w:gridSpan w:val="2"/>
            <w:tcBorders>
              <w:top w:val="single" w:sz="4" w:space="0" w:color="auto"/>
              <w:bottom w:val="nil"/>
            </w:tcBorders>
            <w:noWrap/>
            <w:hideMark/>
          </w:tcPr>
          <w:p w14:paraId="1BE49537" w14:textId="77777777" w:rsidR="00DE4516" w:rsidRPr="007F015E" w:rsidRDefault="00DE4516" w:rsidP="00DE4516">
            <w:pPr>
              <w:pStyle w:val="TableHead"/>
              <w:autoSpaceDE w:val="0"/>
              <w:autoSpaceDN w:val="0"/>
              <w:adjustRightInd w:val="0"/>
              <w:rPr>
                <w:b/>
                <w:bCs/>
                <w:color w:val="FFFFFF" w:themeColor="background1"/>
                <w:szCs w:val="16"/>
              </w:rPr>
            </w:pPr>
            <w:r w:rsidRPr="007F015E">
              <w:rPr>
                <w:b/>
              </w:rPr>
              <w:t>MFN applied</w:t>
            </w:r>
          </w:p>
        </w:tc>
        <w:tc>
          <w:tcPr>
            <w:tcW w:w="757" w:type="pct"/>
            <w:vMerge w:val="restart"/>
            <w:tcBorders>
              <w:top w:val="single" w:sz="4" w:space="0" w:color="auto"/>
              <w:bottom w:val="nil"/>
            </w:tcBorders>
            <w:noWrap/>
            <w:vAlign w:val="center"/>
            <w:hideMark/>
          </w:tcPr>
          <w:p w14:paraId="2B3D1023" w14:textId="77777777" w:rsidR="00DE4516" w:rsidRPr="007F015E" w:rsidRDefault="00DE4516" w:rsidP="00DE4516">
            <w:pPr>
              <w:pStyle w:val="TableHead"/>
              <w:autoSpaceDE w:val="0"/>
              <w:autoSpaceDN w:val="0"/>
              <w:adjustRightInd w:val="0"/>
              <w:rPr>
                <w:b/>
                <w:bCs/>
                <w:color w:val="FFFFFF" w:themeColor="background1"/>
                <w:szCs w:val="16"/>
              </w:rPr>
            </w:pPr>
            <w:r w:rsidRPr="007F015E">
              <w:rPr>
                <w:b/>
              </w:rPr>
              <w:t xml:space="preserve">Final </w:t>
            </w:r>
            <w:proofErr w:type="spellStart"/>
            <w:r w:rsidRPr="007F015E">
              <w:rPr>
                <w:b/>
              </w:rPr>
              <w:t>bound</w:t>
            </w:r>
            <w:r w:rsidRPr="007F015E">
              <w:rPr>
                <w:b/>
                <w:vertAlign w:val="superscript"/>
              </w:rPr>
              <w:t>a</w:t>
            </w:r>
            <w:proofErr w:type="spellEnd"/>
          </w:p>
        </w:tc>
      </w:tr>
      <w:tr w:rsidR="00DE4516" w:rsidRPr="00225231" w14:paraId="6F0EA0E1"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3142" w:type="pct"/>
            <w:tcBorders>
              <w:top w:val="nil"/>
              <w:bottom w:val="nil"/>
            </w:tcBorders>
            <w:noWrap/>
            <w:hideMark/>
          </w:tcPr>
          <w:p w14:paraId="132C9921" w14:textId="77777777" w:rsidR="00DE4516" w:rsidRPr="00A46ADC" w:rsidRDefault="00DE4516" w:rsidP="00DE4516">
            <w:pPr>
              <w:pStyle w:val="TableHead"/>
              <w:autoSpaceDE w:val="0"/>
              <w:autoSpaceDN w:val="0"/>
              <w:adjustRightInd w:val="0"/>
            </w:pPr>
          </w:p>
        </w:tc>
        <w:tc>
          <w:tcPr>
            <w:tcW w:w="550" w:type="pct"/>
            <w:tcBorders>
              <w:top w:val="nil"/>
              <w:bottom w:val="nil"/>
            </w:tcBorders>
            <w:noWrap/>
            <w:hideMark/>
          </w:tcPr>
          <w:p w14:paraId="30FB499A" w14:textId="77777777" w:rsidR="00DE4516" w:rsidRPr="00A46ADC" w:rsidRDefault="00DE4516" w:rsidP="00DE4516">
            <w:pPr>
              <w:pStyle w:val="TableHead"/>
              <w:autoSpaceDE w:val="0"/>
              <w:autoSpaceDN w:val="0"/>
              <w:adjustRightInd w:val="0"/>
              <w:jc w:val="right"/>
              <w:rPr>
                <w:b/>
                <w:bCs/>
                <w:color w:val="FFFFFF" w:themeColor="background1"/>
                <w:szCs w:val="16"/>
              </w:rPr>
            </w:pPr>
            <w:r w:rsidRPr="00A46ADC">
              <w:rPr>
                <w:b/>
              </w:rPr>
              <w:t>2014</w:t>
            </w:r>
          </w:p>
        </w:tc>
        <w:tc>
          <w:tcPr>
            <w:tcW w:w="551" w:type="pct"/>
            <w:tcBorders>
              <w:top w:val="nil"/>
              <w:bottom w:val="nil"/>
            </w:tcBorders>
            <w:noWrap/>
            <w:hideMark/>
          </w:tcPr>
          <w:p w14:paraId="33435EC8" w14:textId="77777777" w:rsidR="00DE4516" w:rsidRPr="00A46ADC" w:rsidRDefault="00DE4516" w:rsidP="00DE4516">
            <w:pPr>
              <w:pStyle w:val="TableHead"/>
              <w:autoSpaceDE w:val="0"/>
              <w:autoSpaceDN w:val="0"/>
              <w:adjustRightInd w:val="0"/>
              <w:jc w:val="right"/>
              <w:rPr>
                <w:b/>
                <w:bCs/>
                <w:color w:val="FFFFFF" w:themeColor="background1"/>
                <w:szCs w:val="16"/>
              </w:rPr>
            </w:pPr>
            <w:r w:rsidRPr="00A46ADC">
              <w:rPr>
                <w:b/>
              </w:rPr>
              <w:t>2021</w:t>
            </w:r>
          </w:p>
        </w:tc>
        <w:tc>
          <w:tcPr>
            <w:tcW w:w="0" w:type="auto"/>
            <w:vMerge/>
            <w:tcBorders>
              <w:top w:val="single" w:sz="4" w:space="0" w:color="auto"/>
              <w:bottom w:val="nil"/>
            </w:tcBorders>
            <w:vAlign w:val="center"/>
            <w:hideMark/>
          </w:tcPr>
          <w:p w14:paraId="3A97DD39" w14:textId="77777777" w:rsidR="00DE4516" w:rsidRPr="00225231" w:rsidRDefault="00DE4516" w:rsidP="00DE4516">
            <w:pPr>
              <w:pStyle w:val="TableHead"/>
              <w:jc w:val="left"/>
            </w:pPr>
          </w:p>
        </w:tc>
      </w:tr>
      <w:tr w:rsidR="00DE4516" w:rsidRPr="00225231" w14:paraId="2E5794A1" w14:textId="77777777" w:rsidTr="002C718D">
        <w:trPr>
          <w:cantSplit/>
        </w:trPr>
        <w:tc>
          <w:tcPr>
            <w:tcW w:w="3142" w:type="pct"/>
            <w:tcBorders>
              <w:top w:val="nil"/>
              <w:bottom w:val="nil"/>
            </w:tcBorders>
            <w:noWrap/>
            <w:hideMark/>
          </w:tcPr>
          <w:p w14:paraId="1F3EDB64" w14:textId="77777777" w:rsidR="00DE4516" w:rsidRPr="00A46ADC" w:rsidRDefault="00DE4516" w:rsidP="00DE4516">
            <w:pPr>
              <w:pStyle w:val="TableBody"/>
              <w:autoSpaceDE w:val="0"/>
              <w:autoSpaceDN w:val="0"/>
              <w:adjustRightInd w:val="0"/>
              <w:jc w:val="both"/>
              <w:rPr>
                <w:szCs w:val="16"/>
              </w:rPr>
            </w:pPr>
            <w:r w:rsidRPr="00A46ADC">
              <w:t>Bound tariff lines (% of all tariff lines)</w:t>
            </w:r>
          </w:p>
        </w:tc>
        <w:tc>
          <w:tcPr>
            <w:tcW w:w="550" w:type="pct"/>
            <w:tcBorders>
              <w:top w:val="nil"/>
              <w:bottom w:val="nil"/>
            </w:tcBorders>
            <w:noWrap/>
            <w:hideMark/>
          </w:tcPr>
          <w:p w14:paraId="49734459" w14:textId="77777777" w:rsidR="00DE4516" w:rsidRPr="00A46ADC" w:rsidRDefault="00DE4516" w:rsidP="00DE4516">
            <w:pPr>
              <w:pStyle w:val="TableBody"/>
              <w:autoSpaceDE w:val="0"/>
              <w:autoSpaceDN w:val="0"/>
              <w:adjustRightInd w:val="0"/>
              <w:jc w:val="right"/>
              <w:rPr>
                <w:szCs w:val="16"/>
              </w:rPr>
            </w:pPr>
            <w:proofErr w:type="spellStart"/>
            <w:r w:rsidRPr="00A46ADC">
              <w:t>n.a.</w:t>
            </w:r>
            <w:proofErr w:type="spellEnd"/>
          </w:p>
        </w:tc>
        <w:tc>
          <w:tcPr>
            <w:tcW w:w="551" w:type="pct"/>
            <w:tcBorders>
              <w:top w:val="nil"/>
              <w:bottom w:val="nil"/>
            </w:tcBorders>
            <w:noWrap/>
            <w:hideMark/>
          </w:tcPr>
          <w:p w14:paraId="6611ECF0" w14:textId="77777777" w:rsidR="00DE4516" w:rsidRPr="00A46ADC" w:rsidRDefault="00DE4516" w:rsidP="00DE4516">
            <w:pPr>
              <w:pStyle w:val="TableBody"/>
              <w:autoSpaceDE w:val="0"/>
              <w:autoSpaceDN w:val="0"/>
              <w:adjustRightInd w:val="0"/>
              <w:jc w:val="right"/>
              <w:rPr>
                <w:szCs w:val="16"/>
              </w:rPr>
            </w:pPr>
            <w:proofErr w:type="spellStart"/>
            <w:r w:rsidRPr="00A46ADC">
              <w:t>n.a.</w:t>
            </w:r>
            <w:proofErr w:type="spellEnd"/>
          </w:p>
        </w:tc>
        <w:tc>
          <w:tcPr>
            <w:tcW w:w="757" w:type="pct"/>
            <w:tcBorders>
              <w:top w:val="nil"/>
              <w:bottom w:val="nil"/>
            </w:tcBorders>
            <w:noWrap/>
            <w:hideMark/>
          </w:tcPr>
          <w:p w14:paraId="58BB8E86" w14:textId="77777777" w:rsidR="00DE4516" w:rsidRPr="00A46ADC" w:rsidRDefault="00DE4516" w:rsidP="00DE4516">
            <w:pPr>
              <w:pStyle w:val="TableBody"/>
              <w:autoSpaceDE w:val="0"/>
              <w:autoSpaceDN w:val="0"/>
              <w:adjustRightInd w:val="0"/>
              <w:ind w:right="284"/>
              <w:jc w:val="right"/>
              <w:rPr>
                <w:szCs w:val="16"/>
              </w:rPr>
            </w:pPr>
            <w:r w:rsidRPr="00A46ADC">
              <w:t>100.0</w:t>
            </w:r>
          </w:p>
        </w:tc>
      </w:tr>
      <w:tr w:rsidR="00DE4516" w:rsidRPr="00225231" w14:paraId="2EFB810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42" w:type="pct"/>
            <w:tcBorders>
              <w:top w:val="nil"/>
              <w:bottom w:val="nil"/>
            </w:tcBorders>
            <w:noWrap/>
            <w:hideMark/>
          </w:tcPr>
          <w:p w14:paraId="70EDB82E" w14:textId="77777777" w:rsidR="00DE4516" w:rsidRPr="00A46ADC" w:rsidRDefault="00DE4516" w:rsidP="00DE4516">
            <w:pPr>
              <w:pStyle w:val="TableBody"/>
              <w:autoSpaceDE w:val="0"/>
              <w:autoSpaceDN w:val="0"/>
              <w:adjustRightInd w:val="0"/>
              <w:jc w:val="both"/>
              <w:rPr>
                <w:szCs w:val="16"/>
              </w:rPr>
            </w:pPr>
            <w:r w:rsidRPr="00A46ADC">
              <w:t>Simple average rate</w:t>
            </w:r>
          </w:p>
        </w:tc>
        <w:tc>
          <w:tcPr>
            <w:tcW w:w="550" w:type="pct"/>
            <w:tcBorders>
              <w:top w:val="nil"/>
              <w:bottom w:val="nil"/>
            </w:tcBorders>
            <w:noWrap/>
            <w:hideMark/>
          </w:tcPr>
          <w:p w14:paraId="6ABFB8CA" w14:textId="77777777" w:rsidR="00DE4516" w:rsidRPr="00A46ADC" w:rsidRDefault="00DE4516" w:rsidP="00DE4516">
            <w:pPr>
              <w:pStyle w:val="TableBody"/>
              <w:autoSpaceDE w:val="0"/>
              <w:autoSpaceDN w:val="0"/>
              <w:adjustRightInd w:val="0"/>
              <w:jc w:val="right"/>
              <w:rPr>
                <w:szCs w:val="16"/>
              </w:rPr>
            </w:pPr>
            <w:r w:rsidRPr="00A46ADC">
              <w:t>5.5</w:t>
            </w:r>
          </w:p>
        </w:tc>
        <w:tc>
          <w:tcPr>
            <w:tcW w:w="551" w:type="pct"/>
            <w:tcBorders>
              <w:top w:val="nil"/>
              <w:bottom w:val="nil"/>
            </w:tcBorders>
            <w:noWrap/>
            <w:hideMark/>
          </w:tcPr>
          <w:p w14:paraId="582115CB" w14:textId="77777777" w:rsidR="00DE4516" w:rsidRPr="00A46ADC" w:rsidRDefault="00DE4516" w:rsidP="00DE4516">
            <w:pPr>
              <w:pStyle w:val="TableBody"/>
              <w:autoSpaceDE w:val="0"/>
              <w:autoSpaceDN w:val="0"/>
              <w:adjustRightInd w:val="0"/>
              <w:jc w:val="right"/>
              <w:rPr>
                <w:szCs w:val="16"/>
              </w:rPr>
            </w:pPr>
            <w:r w:rsidRPr="00A46ADC">
              <w:t>5.5</w:t>
            </w:r>
          </w:p>
        </w:tc>
        <w:tc>
          <w:tcPr>
            <w:tcW w:w="757" w:type="pct"/>
            <w:tcBorders>
              <w:top w:val="nil"/>
              <w:bottom w:val="nil"/>
            </w:tcBorders>
            <w:noWrap/>
            <w:hideMark/>
          </w:tcPr>
          <w:p w14:paraId="084DE29E" w14:textId="77777777" w:rsidR="00DE4516" w:rsidRPr="00A46ADC" w:rsidRDefault="00DE4516" w:rsidP="00DE4516">
            <w:pPr>
              <w:pStyle w:val="TableBody"/>
              <w:autoSpaceDE w:val="0"/>
              <w:autoSpaceDN w:val="0"/>
              <w:adjustRightInd w:val="0"/>
              <w:ind w:right="284"/>
              <w:jc w:val="right"/>
              <w:rPr>
                <w:szCs w:val="16"/>
              </w:rPr>
            </w:pPr>
            <w:r w:rsidRPr="00A46ADC">
              <w:t>13.6</w:t>
            </w:r>
          </w:p>
        </w:tc>
      </w:tr>
      <w:tr w:rsidR="00DE4516" w:rsidRPr="00225231" w14:paraId="212270EC" w14:textId="77777777" w:rsidTr="002C718D">
        <w:trPr>
          <w:cantSplit/>
        </w:trPr>
        <w:tc>
          <w:tcPr>
            <w:tcW w:w="3142" w:type="pct"/>
            <w:tcBorders>
              <w:top w:val="nil"/>
              <w:bottom w:val="nil"/>
            </w:tcBorders>
            <w:noWrap/>
            <w:hideMark/>
          </w:tcPr>
          <w:p w14:paraId="01916A72" w14:textId="77777777" w:rsidR="00DE4516" w:rsidRPr="00A46ADC" w:rsidRDefault="00DE4516" w:rsidP="00DE4516">
            <w:pPr>
              <w:pStyle w:val="TableBody"/>
              <w:autoSpaceDE w:val="0"/>
              <w:autoSpaceDN w:val="0"/>
              <w:adjustRightInd w:val="0"/>
              <w:jc w:val="both"/>
              <w:rPr>
                <w:szCs w:val="16"/>
              </w:rPr>
            </w:pPr>
            <w:r w:rsidRPr="00A46ADC">
              <w:t>WTO agricultural products</w:t>
            </w:r>
          </w:p>
        </w:tc>
        <w:tc>
          <w:tcPr>
            <w:tcW w:w="550" w:type="pct"/>
            <w:tcBorders>
              <w:top w:val="nil"/>
              <w:bottom w:val="nil"/>
            </w:tcBorders>
            <w:noWrap/>
            <w:hideMark/>
          </w:tcPr>
          <w:p w14:paraId="42AD51C9" w14:textId="77777777" w:rsidR="00DE4516" w:rsidRPr="00A46ADC" w:rsidRDefault="00DE4516" w:rsidP="00DE4516">
            <w:pPr>
              <w:pStyle w:val="TableBody"/>
              <w:autoSpaceDE w:val="0"/>
              <w:autoSpaceDN w:val="0"/>
              <w:adjustRightInd w:val="0"/>
              <w:jc w:val="right"/>
              <w:rPr>
                <w:szCs w:val="16"/>
              </w:rPr>
            </w:pPr>
            <w:r w:rsidRPr="00A46ADC">
              <w:t>10.1</w:t>
            </w:r>
          </w:p>
        </w:tc>
        <w:tc>
          <w:tcPr>
            <w:tcW w:w="551" w:type="pct"/>
            <w:tcBorders>
              <w:top w:val="nil"/>
              <w:bottom w:val="nil"/>
            </w:tcBorders>
            <w:noWrap/>
            <w:hideMark/>
          </w:tcPr>
          <w:p w14:paraId="0E27529B" w14:textId="77777777" w:rsidR="00DE4516" w:rsidRPr="00A46ADC" w:rsidRDefault="00DE4516" w:rsidP="00DE4516">
            <w:pPr>
              <w:pStyle w:val="TableBody"/>
              <w:autoSpaceDE w:val="0"/>
              <w:autoSpaceDN w:val="0"/>
              <w:adjustRightInd w:val="0"/>
              <w:jc w:val="right"/>
              <w:rPr>
                <w:szCs w:val="16"/>
              </w:rPr>
            </w:pPr>
            <w:r w:rsidRPr="00A46ADC">
              <w:t>10.2</w:t>
            </w:r>
          </w:p>
        </w:tc>
        <w:tc>
          <w:tcPr>
            <w:tcW w:w="757" w:type="pct"/>
            <w:tcBorders>
              <w:top w:val="nil"/>
              <w:bottom w:val="nil"/>
            </w:tcBorders>
            <w:noWrap/>
            <w:hideMark/>
          </w:tcPr>
          <w:p w14:paraId="1598C74C" w14:textId="77777777" w:rsidR="00DE4516" w:rsidRPr="00A46ADC" w:rsidRDefault="00DE4516" w:rsidP="00DE4516">
            <w:pPr>
              <w:pStyle w:val="TableBody"/>
              <w:autoSpaceDE w:val="0"/>
              <w:autoSpaceDN w:val="0"/>
              <w:adjustRightInd w:val="0"/>
              <w:ind w:right="284"/>
              <w:jc w:val="right"/>
              <w:rPr>
                <w:szCs w:val="16"/>
              </w:rPr>
            </w:pPr>
            <w:r w:rsidRPr="00A46ADC">
              <w:t>27.7</w:t>
            </w:r>
          </w:p>
        </w:tc>
      </w:tr>
      <w:tr w:rsidR="00DE4516" w:rsidRPr="00225231" w14:paraId="0A44AADA"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42" w:type="pct"/>
            <w:tcBorders>
              <w:top w:val="nil"/>
              <w:bottom w:val="nil"/>
            </w:tcBorders>
            <w:noWrap/>
            <w:hideMark/>
          </w:tcPr>
          <w:p w14:paraId="4152DE0F" w14:textId="77777777" w:rsidR="00DE4516" w:rsidRPr="00A46ADC" w:rsidRDefault="00DE4516" w:rsidP="00DE4516">
            <w:pPr>
              <w:pStyle w:val="TableBody"/>
              <w:autoSpaceDE w:val="0"/>
              <w:autoSpaceDN w:val="0"/>
              <w:adjustRightInd w:val="0"/>
              <w:jc w:val="both"/>
              <w:rPr>
                <w:szCs w:val="16"/>
              </w:rPr>
            </w:pPr>
            <w:r w:rsidRPr="00A46ADC">
              <w:t>WTO non</w:t>
            </w:r>
            <w:r w:rsidRPr="00A46ADC">
              <w:noBreakHyphen/>
              <w:t>agricultural products</w:t>
            </w:r>
          </w:p>
        </w:tc>
        <w:tc>
          <w:tcPr>
            <w:tcW w:w="550" w:type="pct"/>
            <w:tcBorders>
              <w:top w:val="nil"/>
              <w:bottom w:val="nil"/>
            </w:tcBorders>
            <w:noWrap/>
            <w:hideMark/>
          </w:tcPr>
          <w:p w14:paraId="231DB480" w14:textId="77777777" w:rsidR="00DE4516" w:rsidRPr="00A46ADC" w:rsidRDefault="00DE4516" w:rsidP="00DE4516">
            <w:pPr>
              <w:pStyle w:val="TableBody"/>
              <w:autoSpaceDE w:val="0"/>
              <w:autoSpaceDN w:val="0"/>
              <w:adjustRightInd w:val="0"/>
              <w:jc w:val="right"/>
              <w:rPr>
                <w:szCs w:val="16"/>
              </w:rPr>
            </w:pPr>
            <w:r w:rsidRPr="00A46ADC">
              <w:t>4.6</w:t>
            </w:r>
          </w:p>
        </w:tc>
        <w:tc>
          <w:tcPr>
            <w:tcW w:w="551" w:type="pct"/>
            <w:tcBorders>
              <w:top w:val="nil"/>
              <w:bottom w:val="nil"/>
            </w:tcBorders>
            <w:noWrap/>
            <w:hideMark/>
          </w:tcPr>
          <w:p w14:paraId="45A25E2D" w14:textId="77777777" w:rsidR="00DE4516" w:rsidRPr="00A46ADC" w:rsidRDefault="00DE4516" w:rsidP="00DE4516">
            <w:pPr>
              <w:pStyle w:val="TableBody"/>
              <w:autoSpaceDE w:val="0"/>
              <w:autoSpaceDN w:val="0"/>
              <w:adjustRightInd w:val="0"/>
              <w:jc w:val="right"/>
              <w:rPr>
                <w:szCs w:val="16"/>
              </w:rPr>
            </w:pPr>
            <w:r w:rsidRPr="00A46ADC">
              <w:t>4.6</w:t>
            </w:r>
          </w:p>
        </w:tc>
        <w:tc>
          <w:tcPr>
            <w:tcW w:w="757" w:type="pct"/>
            <w:tcBorders>
              <w:top w:val="nil"/>
              <w:bottom w:val="nil"/>
            </w:tcBorders>
            <w:noWrap/>
            <w:hideMark/>
          </w:tcPr>
          <w:p w14:paraId="0103CFB9" w14:textId="77777777" w:rsidR="00DE4516" w:rsidRPr="00A46ADC" w:rsidRDefault="00DE4516" w:rsidP="00DE4516">
            <w:pPr>
              <w:pStyle w:val="TableBody"/>
              <w:autoSpaceDE w:val="0"/>
              <w:autoSpaceDN w:val="0"/>
              <w:adjustRightInd w:val="0"/>
              <w:ind w:right="284"/>
              <w:jc w:val="right"/>
              <w:rPr>
                <w:szCs w:val="16"/>
              </w:rPr>
            </w:pPr>
            <w:r w:rsidRPr="00A46ADC">
              <w:t>11.4</w:t>
            </w:r>
          </w:p>
        </w:tc>
      </w:tr>
      <w:tr w:rsidR="00DE4516" w:rsidRPr="00225231" w14:paraId="19E2C623" w14:textId="77777777" w:rsidTr="002C718D">
        <w:trPr>
          <w:cantSplit/>
        </w:trPr>
        <w:tc>
          <w:tcPr>
            <w:tcW w:w="3142" w:type="pct"/>
            <w:tcBorders>
              <w:top w:val="nil"/>
              <w:bottom w:val="nil"/>
            </w:tcBorders>
            <w:noWrap/>
            <w:hideMark/>
          </w:tcPr>
          <w:p w14:paraId="075B1AFB" w14:textId="77777777" w:rsidR="00DE4516" w:rsidRPr="00A46ADC" w:rsidRDefault="00DE4516" w:rsidP="00DE4516">
            <w:pPr>
              <w:pStyle w:val="TableBody"/>
              <w:autoSpaceDE w:val="0"/>
              <w:autoSpaceDN w:val="0"/>
              <w:adjustRightInd w:val="0"/>
              <w:jc w:val="both"/>
              <w:rPr>
                <w:szCs w:val="16"/>
              </w:rPr>
            </w:pPr>
            <w:r w:rsidRPr="00A46ADC">
              <w:t>Duty-free tariff lines (% of all tariff lines)</w:t>
            </w:r>
          </w:p>
        </w:tc>
        <w:tc>
          <w:tcPr>
            <w:tcW w:w="550" w:type="pct"/>
            <w:tcBorders>
              <w:top w:val="nil"/>
              <w:bottom w:val="nil"/>
            </w:tcBorders>
            <w:noWrap/>
            <w:hideMark/>
          </w:tcPr>
          <w:p w14:paraId="4D26CD7C" w14:textId="77777777" w:rsidR="00DE4516" w:rsidRPr="00A46ADC" w:rsidRDefault="00DE4516" w:rsidP="00DE4516">
            <w:pPr>
              <w:pStyle w:val="TableBody"/>
              <w:autoSpaceDE w:val="0"/>
              <w:autoSpaceDN w:val="0"/>
              <w:adjustRightInd w:val="0"/>
              <w:jc w:val="right"/>
              <w:rPr>
                <w:szCs w:val="16"/>
              </w:rPr>
            </w:pPr>
            <w:r w:rsidRPr="00A46ADC">
              <w:t>11.1</w:t>
            </w:r>
          </w:p>
        </w:tc>
        <w:tc>
          <w:tcPr>
            <w:tcW w:w="551" w:type="pct"/>
            <w:tcBorders>
              <w:top w:val="nil"/>
              <w:bottom w:val="nil"/>
            </w:tcBorders>
            <w:noWrap/>
            <w:hideMark/>
          </w:tcPr>
          <w:p w14:paraId="64A5FC60" w14:textId="77777777" w:rsidR="00DE4516" w:rsidRPr="00A46ADC" w:rsidRDefault="00DE4516" w:rsidP="00DE4516">
            <w:pPr>
              <w:pStyle w:val="TableBody"/>
              <w:autoSpaceDE w:val="0"/>
              <w:autoSpaceDN w:val="0"/>
              <w:adjustRightInd w:val="0"/>
              <w:jc w:val="right"/>
              <w:rPr>
                <w:szCs w:val="16"/>
              </w:rPr>
            </w:pPr>
            <w:r w:rsidRPr="00A46ADC">
              <w:t>11.1</w:t>
            </w:r>
          </w:p>
        </w:tc>
        <w:tc>
          <w:tcPr>
            <w:tcW w:w="757" w:type="pct"/>
            <w:tcBorders>
              <w:top w:val="nil"/>
              <w:bottom w:val="nil"/>
            </w:tcBorders>
            <w:noWrap/>
            <w:hideMark/>
          </w:tcPr>
          <w:p w14:paraId="4ECFEDCE" w14:textId="77777777" w:rsidR="00DE4516" w:rsidRPr="00A46ADC" w:rsidRDefault="00DE4516" w:rsidP="00DE4516">
            <w:pPr>
              <w:pStyle w:val="TableBody"/>
              <w:autoSpaceDE w:val="0"/>
              <w:autoSpaceDN w:val="0"/>
              <w:adjustRightInd w:val="0"/>
              <w:ind w:right="284"/>
              <w:jc w:val="right"/>
              <w:rPr>
                <w:szCs w:val="16"/>
              </w:rPr>
            </w:pPr>
            <w:r w:rsidRPr="00A46ADC">
              <w:t>5.8</w:t>
            </w:r>
          </w:p>
        </w:tc>
      </w:tr>
      <w:tr w:rsidR="00DE4516" w:rsidRPr="00225231" w14:paraId="4964DEA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42" w:type="pct"/>
            <w:tcBorders>
              <w:top w:val="nil"/>
              <w:bottom w:val="nil"/>
            </w:tcBorders>
            <w:noWrap/>
            <w:hideMark/>
          </w:tcPr>
          <w:p w14:paraId="2BD7FF70" w14:textId="77777777" w:rsidR="00DE4516" w:rsidRPr="00A46ADC" w:rsidRDefault="00DE4516" w:rsidP="00DE4516">
            <w:pPr>
              <w:pStyle w:val="TableBody"/>
              <w:autoSpaceDE w:val="0"/>
              <w:autoSpaceDN w:val="0"/>
              <w:adjustRightInd w:val="0"/>
              <w:jc w:val="both"/>
              <w:rPr>
                <w:szCs w:val="16"/>
              </w:rPr>
            </w:pPr>
            <w:r w:rsidRPr="00A46ADC">
              <w:t>Simple average rate of dutiable lines only</w:t>
            </w:r>
          </w:p>
        </w:tc>
        <w:tc>
          <w:tcPr>
            <w:tcW w:w="550" w:type="pct"/>
            <w:tcBorders>
              <w:top w:val="nil"/>
              <w:bottom w:val="nil"/>
            </w:tcBorders>
            <w:noWrap/>
            <w:hideMark/>
          </w:tcPr>
          <w:p w14:paraId="186F338C" w14:textId="77777777" w:rsidR="00DE4516" w:rsidRPr="00A46ADC" w:rsidRDefault="00DE4516" w:rsidP="00DE4516">
            <w:pPr>
              <w:pStyle w:val="TableBody"/>
              <w:autoSpaceDE w:val="0"/>
              <w:autoSpaceDN w:val="0"/>
              <w:adjustRightInd w:val="0"/>
              <w:jc w:val="right"/>
              <w:rPr>
                <w:szCs w:val="16"/>
              </w:rPr>
            </w:pPr>
            <w:r w:rsidRPr="00A46ADC">
              <w:t>6.2</w:t>
            </w:r>
          </w:p>
        </w:tc>
        <w:tc>
          <w:tcPr>
            <w:tcW w:w="551" w:type="pct"/>
            <w:tcBorders>
              <w:top w:val="nil"/>
              <w:bottom w:val="nil"/>
            </w:tcBorders>
            <w:noWrap/>
            <w:hideMark/>
          </w:tcPr>
          <w:p w14:paraId="7D193CC0" w14:textId="77777777" w:rsidR="00DE4516" w:rsidRPr="00A46ADC" w:rsidRDefault="00DE4516" w:rsidP="00DE4516">
            <w:pPr>
              <w:pStyle w:val="TableBody"/>
              <w:autoSpaceDE w:val="0"/>
              <w:autoSpaceDN w:val="0"/>
              <w:adjustRightInd w:val="0"/>
              <w:jc w:val="right"/>
              <w:rPr>
                <w:szCs w:val="16"/>
              </w:rPr>
            </w:pPr>
            <w:r w:rsidRPr="00A46ADC">
              <w:t>6.2</w:t>
            </w:r>
          </w:p>
        </w:tc>
        <w:tc>
          <w:tcPr>
            <w:tcW w:w="757" w:type="pct"/>
            <w:tcBorders>
              <w:top w:val="nil"/>
              <w:bottom w:val="nil"/>
            </w:tcBorders>
            <w:noWrap/>
            <w:hideMark/>
          </w:tcPr>
          <w:p w14:paraId="4C3C891C" w14:textId="77777777" w:rsidR="00DE4516" w:rsidRPr="00A46ADC" w:rsidRDefault="00DE4516" w:rsidP="00DE4516">
            <w:pPr>
              <w:pStyle w:val="TableBody"/>
              <w:autoSpaceDE w:val="0"/>
              <w:autoSpaceDN w:val="0"/>
              <w:adjustRightInd w:val="0"/>
              <w:ind w:right="284"/>
              <w:jc w:val="right"/>
              <w:rPr>
                <w:szCs w:val="16"/>
              </w:rPr>
            </w:pPr>
            <w:r w:rsidRPr="00A46ADC">
              <w:t>14.5</w:t>
            </w:r>
          </w:p>
        </w:tc>
      </w:tr>
      <w:tr w:rsidR="00DE4516" w:rsidRPr="00225231" w14:paraId="24ED39C2" w14:textId="77777777" w:rsidTr="002C718D">
        <w:trPr>
          <w:cantSplit/>
        </w:trPr>
        <w:tc>
          <w:tcPr>
            <w:tcW w:w="3142" w:type="pct"/>
            <w:tcBorders>
              <w:top w:val="nil"/>
              <w:bottom w:val="nil"/>
            </w:tcBorders>
            <w:noWrap/>
            <w:hideMark/>
          </w:tcPr>
          <w:p w14:paraId="3DBE5A3A" w14:textId="77777777" w:rsidR="00DE4516" w:rsidRPr="00A46ADC" w:rsidRDefault="00DE4516" w:rsidP="00DE4516">
            <w:pPr>
              <w:pStyle w:val="TableBody"/>
              <w:autoSpaceDE w:val="0"/>
              <w:autoSpaceDN w:val="0"/>
              <w:adjustRightInd w:val="0"/>
              <w:jc w:val="both"/>
              <w:rPr>
                <w:szCs w:val="16"/>
              </w:rPr>
            </w:pPr>
            <w:r w:rsidRPr="00A46ADC">
              <w:t>Tariff quotas (% of all tariff lines)</w:t>
            </w:r>
          </w:p>
        </w:tc>
        <w:tc>
          <w:tcPr>
            <w:tcW w:w="550" w:type="pct"/>
            <w:tcBorders>
              <w:top w:val="nil"/>
              <w:bottom w:val="nil"/>
            </w:tcBorders>
            <w:noWrap/>
            <w:hideMark/>
          </w:tcPr>
          <w:p w14:paraId="4A982754" w14:textId="77777777" w:rsidR="00DE4516" w:rsidRPr="00A46ADC" w:rsidRDefault="00DE4516" w:rsidP="00DE4516">
            <w:pPr>
              <w:pStyle w:val="TableBody"/>
              <w:autoSpaceDE w:val="0"/>
              <w:autoSpaceDN w:val="0"/>
              <w:adjustRightInd w:val="0"/>
              <w:jc w:val="right"/>
              <w:rPr>
                <w:szCs w:val="16"/>
              </w:rPr>
            </w:pPr>
            <w:r w:rsidRPr="00A46ADC">
              <w:t>0.0</w:t>
            </w:r>
          </w:p>
        </w:tc>
        <w:tc>
          <w:tcPr>
            <w:tcW w:w="551" w:type="pct"/>
            <w:tcBorders>
              <w:top w:val="nil"/>
              <w:bottom w:val="nil"/>
            </w:tcBorders>
            <w:noWrap/>
            <w:hideMark/>
          </w:tcPr>
          <w:p w14:paraId="4A29AD90" w14:textId="77777777" w:rsidR="00DE4516" w:rsidRPr="00A46ADC" w:rsidRDefault="00DE4516" w:rsidP="00DE4516">
            <w:pPr>
              <w:pStyle w:val="TableBody"/>
              <w:autoSpaceDE w:val="0"/>
              <w:autoSpaceDN w:val="0"/>
              <w:adjustRightInd w:val="0"/>
              <w:jc w:val="right"/>
              <w:rPr>
                <w:szCs w:val="16"/>
              </w:rPr>
            </w:pPr>
            <w:r w:rsidRPr="00A46ADC">
              <w:t>0.0</w:t>
            </w:r>
          </w:p>
        </w:tc>
        <w:tc>
          <w:tcPr>
            <w:tcW w:w="757" w:type="pct"/>
            <w:tcBorders>
              <w:top w:val="nil"/>
              <w:bottom w:val="nil"/>
            </w:tcBorders>
            <w:noWrap/>
            <w:hideMark/>
          </w:tcPr>
          <w:p w14:paraId="3BF4444E" w14:textId="77777777" w:rsidR="00DE4516" w:rsidRPr="00A46ADC" w:rsidRDefault="00DE4516" w:rsidP="00DE4516">
            <w:pPr>
              <w:pStyle w:val="TableBody"/>
              <w:autoSpaceDE w:val="0"/>
              <w:autoSpaceDN w:val="0"/>
              <w:adjustRightInd w:val="0"/>
              <w:ind w:right="284"/>
              <w:jc w:val="right"/>
              <w:rPr>
                <w:szCs w:val="16"/>
              </w:rPr>
            </w:pPr>
            <w:r w:rsidRPr="00A46ADC">
              <w:t>0.0</w:t>
            </w:r>
          </w:p>
        </w:tc>
      </w:tr>
      <w:tr w:rsidR="00DE4516" w:rsidRPr="00225231" w14:paraId="46AC252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42" w:type="pct"/>
            <w:tcBorders>
              <w:top w:val="nil"/>
              <w:bottom w:val="nil"/>
            </w:tcBorders>
            <w:noWrap/>
            <w:hideMark/>
          </w:tcPr>
          <w:p w14:paraId="3BCD7DA6" w14:textId="77777777" w:rsidR="00DE4516" w:rsidRPr="00A46ADC" w:rsidRDefault="00DE4516" w:rsidP="00DE4516">
            <w:pPr>
              <w:pStyle w:val="TableBody"/>
              <w:autoSpaceDE w:val="0"/>
              <w:autoSpaceDN w:val="0"/>
              <w:adjustRightInd w:val="0"/>
              <w:jc w:val="both"/>
              <w:rPr>
                <w:szCs w:val="16"/>
              </w:rPr>
            </w:pPr>
            <w:r w:rsidRPr="00A46ADC">
              <w:t>Non</w:t>
            </w:r>
            <w:r w:rsidRPr="00A46ADC">
              <w:noBreakHyphen/>
            </w:r>
            <w:r w:rsidRPr="00A46ADC">
              <w:rPr>
                <w:i/>
              </w:rPr>
              <w:t>ad valorem</w:t>
            </w:r>
            <w:r w:rsidRPr="00A46ADC">
              <w:t xml:space="preserve"> tariffs (% of all tariff </w:t>
            </w:r>
            <w:proofErr w:type="gramStart"/>
            <w:r w:rsidRPr="00A46ADC">
              <w:t>lines)</w:t>
            </w:r>
            <w:r w:rsidRPr="00A46ADC">
              <w:rPr>
                <w:vertAlign w:val="superscript"/>
              </w:rPr>
              <w:t>b</w:t>
            </w:r>
            <w:proofErr w:type="gramEnd"/>
          </w:p>
        </w:tc>
        <w:tc>
          <w:tcPr>
            <w:tcW w:w="550" w:type="pct"/>
            <w:tcBorders>
              <w:top w:val="nil"/>
              <w:bottom w:val="nil"/>
            </w:tcBorders>
            <w:noWrap/>
            <w:hideMark/>
          </w:tcPr>
          <w:p w14:paraId="555A2FA8" w14:textId="77777777" w:rsidR="00DE4516" w:rsidRPr="00A46ADC" w:rsidRDefault="00DE4516" w:rsidP="00DE4516">
            <w:pPr>
              <w:pStyle w:val="TableBody"/>
              <w:autoSpaceDE w:val="0"/>
              <w:autoSpaceDN w:val="0"/>
              <w:adjustRightInd w:val="0"/>
              <w:jc w:val="right"/>
              <w:rPr>
                <w:szCs w:val="16"/>
              </w:rPr>
            </w:pPr>
            <w:r w:rsidRPr="00A46ADC">
              <w:t>0.3</w:t>
            </w:r>
          </w:p>
        </w:tc>
        <w:tc>
          <w:tcPr>
            <w:tcW w:w="551" w:type="pct"/>
            <w:tcBorders>
              <w:top w:val="nil"/>
              <w:bottom w:val="nil"/>
            </w:tcBorders>
            <w:noWrap/>
            <w:hideMark/>
          </w:tcPr>
          <w:p w14:paraId="7FE31E83" w14:textId="77777777" w:rsidR="00DE4516" w:rsidRPr="00A46ADC" w:rsidRDefault="00DE4516" w:rsidP="00DE4516">
            <w:pPr>
              <w:pStyle w:val="TableBody"/>
              <w:autoSpaceDE w:val="0"/>
              <w:autoSpaceDN w:val="0"/>
              <w:adjustRightInd w:val="0"/>
              <w:jc w:val="right"/>
              <w:rPr>
                <w:szCs w:val="16"/>
              </w:rPr>
            </w:pPr>
            <w:r w:rsidRPr="00A46ADC">
              <w:t>0.8</w:t>
            </w:r>
          </w:p>
        </w:tc>
        <w:tc>
          <w:tcPr>
            <w:tcW w:w="757" w:type="pct"/>
            <w:tcBorders>
              <w:top w:val="nil"/>
              <w:bottom w:val="nil"/>
            </w:tcBorders>
            <w:noWrap/>
            <w:hideMark/>
          </w:tcPr>
          <w:p w14:paraId="471689AA" w14:textId="77777777" w:rsidR="00DE4516" w:rsidRPr="00A46ADC" w:rsidRDefault="00DE4516" w:rsidP="00DE4516">
            <w:pPr>
              <w:pStyle w:val="TableBody"/>
              <w:autoSpaceDE w:val="0"/>
              <w:autoSpaceDN w:val="0"/>
              <w:adjustRightInd w:val="0"/>
              <w:ind w:right="284"/>
              <w:jc w:val="right"/>
              <w:rPr>
                <w:szCs w:val="16"/>
              </w:rPr>
            </w:pPr>
            <w:r w:rsidRPr="00A46ADC">
              <w:t>0.0</w:t>
            </w:r>
          </w:p>
        </w:tc>
      </w:tr>
      <w:tr w:rsidR="00DE4516" w:rsidRPr="00225231" w14:paraId="40D8FEEE" w14:textId="77777777" w:rsidTr="002C718D">
        <w:trPr>
          <w:cantSplit/>
        </w:trPr>
        <w:tc>
          <w:tcPr>
            <w:tcW w:w="3142" w:type="pct"/>
            <w:tcBorders>
              <w:top w:val="nil"/>
              <w:bottom w:val="nil"/>
            </w:tcBorders>
            <w:noWrap/>
            <w:hideMark/>
          </w:tcPr>
          <w:p w14:paraId="551B6187" w14:textId="77777777" w:rsidR="00DE4516" w:rsidRPr="00A46ADC" w:rsidRDefault="00DE4516" w:rsidP="00DE4516">
            <w:pPr>
              <w:pStyle w:val="TableBody"/>
              <w:autoSpaceDE w:val="0"/>
              <w:autoSpaceDN w:val="0"/>
              <w:adjustRightInd w:val="0"/>
              <w:jc w:val="both"/>
              <w:rPr>
                <w:szCs w:val="16"/>
              </w:rPr>
            </w:pPr>
            <w:r w:rsidRPr="00A46ADC">
              <w:t xml:space="preserve">Domestic tariff "peaks" (% of all tariff </w:t>
            </w:r>
            <w:proofErr w:type="gramStart"/>
            <w:r w:rsidRPr="00A46ADC">
              <w:t>lines)</w:t>
            </w:r>
            <w:r w:rsidRPr="00A46ADC">
              <w:rPr>
                <w:vertAlign w:val="superscript"/>
              </w:rPr>
              <w:t>c</w:t>
            </w:r>
            <w:proofErr w:type="gramEnd"/>
          </w:p>
        </w:tc>
        <w:tc>
          <w:tcPr>
            <w:tcW w:w="550" w:type="pct"/>
            <w:tcBorders>
              <w:top w:val="nil"/>
              <w:bottom w:val="nil"/>
            </w:tcBorders>
            <w:noWrap/>
            <w:hideMark/>
          </w:tcPr>
          <w:p w14:paraId="16794FA3" w14:textId="77777777" w:rsidR="00DE4516" w:rsidRPr="00A46ADC" w:rsidRDefault="00DE4516" w:rsidP="00DE4516">
            <w:pPr>
              <w:pStyle w:val="TableBody"/>
              <w:autoSpaceDE w:val="0"/>
              <w:autoSpaceDN w:val="0"/>
              <w:adjustRightInd w:val="0"/>
              <w:jc w:val="right"/>
              <w:rPr>
                <w:szCs w:val="16"/>
              </w:rPr>
            </w:pPr>
            <w:r w:rsidRPr="00A46ADC">
              <w:t>1.1</w:t>
            </w:r>
          </w:p>
        </w:tc>
        <w:tc>
          <w:tcPr>
            <w:tcW w:w="551" w:type="pct"/>
            <w:tcBorders>
              <w:top w:val="nil"/>
              <w:bottom w:val="nil"/>
            </w:tcBorders>
            <w:noWrap/>
            <w:hideMark/>
          </w:tcPr>
          <w:p w14:paraId="46F0E0A7" w14:textId="77777777" w:rsidR="00DE4516" w:rsidRPr="00A46ADC" w:rsidRDefault="00DE4516" w:rsidP="00DE4516">
            <w:pPr>
              <w:pStyle w:val="TableBody"/>
              <w:autoSpaceDE w:val="0"/>
              <w:autoSpaceDN w:val="0"/>
              <w:adjustRightInd w:val="0"/>
              <w:jc w:val="right"/>
              <w:rPr>
                <w:szCs w:val="16"/>
              </w:rPr>
            </w:pPr>
            <w:r w:rsidRPr="00A46ADC">
              <w:t>1.2</w:t>
            </w:r>
          </w:p>
        </w:tc>
        <w:tc>
          <w:tcPr>
            <w:tcW w:w="757" w:type="pct"/>
            <w:tcBorders>
              <w:top w:val="nil"/>
              <w:bottom w:val="nil"/>
            </w:tcBorders>
            <w:noWrap/>
            <w:hideMark/>
          </w:tcPr>
          <w:p w14:paraId="21E7489A" w14:textId="77777777" w:rsidR="00DE4516" w:rsidRPr="00A46ADC" w:rsidRDefault="00DE4516" w:rsidP="00DE4516">
            <w:pPr>
              <w:pStyle w:val="TableBody"/>
              <w:autoSpaceDE w:val="0"/>
              <w:autoSpaceDN w:val="0"/>
              <w:adjustRightInd w:val="0"/>
              <w:ind w:right="284"/>
              <w:jc w:val="right"/>
              <w:rPr>
                <w:szCs w:val="16"/>
              </w:rPr>
            </w:pPr>
            <w:r w:rsidRPr="00A46ADC">
              <w:t>1.6</w:t>
            </w:r>
          </w:p>
        </w:tc>
      </w:tr>
      <w:tr w:rsidR="00DE4516" w:rsidRPr="00225231" w14:paraId="681D059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42" w:type="pct"/>
            <w:tcBorders>
              <w:top w:val="nil"/>
              <w:bottom w:val="nil"/>
            </w:tcBorders>
            <w:noWrap/>
            <w:hideMark/>
          </w:tcPr>
          <w:p w14:paraId="5FB8D922" w14:textId="77777777" w:rsidR="00DE4516" w:rsidRPr="00A46ADC" w:rsidRDefault="00DE4516" w:rsidP="00DE4516">
            <w:pPr>
              <w:pStyle w:val="TableBody"/>
              <w:autoSpaceDE w:val="0"/>
              <w:autoSpaceDN w:val="0"/>
              <w:adjustRightInd w:val="0"/>
              <w:jc w:val="both"/>
              <w:rPr>
                <w:szCs w:val="16"/>
              </w:rPr>
            </w:pPr>
            <w:r w:rsidRPr="00A46ADC">
              <w:t xml:space="preserve">International tariff "peaks" (% of all tariff </w:t>
            </w:r>
            <w:proofErr w:type="gramStart"/>
            <w:r w:rsidRPr="00A46ADC">
              <w:t>lines)</w:t>
            </w:r>
            <w:r w:rsidRPr="00A46ADC">
              <w:rPr>
                <w:vertAlign w:val="superscript"/>
              </w:rPr>
              <w:t>d</w:t>
            </w:r>
            <w:proofErr w:type="gramEnd"/>
          </w:p>
        </w:tc>
        <w:tc>
          <w:tcPr>
            <w:tcW w:w="550" w:type="pct"/>
            <w:tcBorders>
              <w:top w:val="nil"/>
              <w:bottom w:val="nil"/>
            </w:tcBorders>
            <w:noWrap/>
            <w:hideMark/>
          </w:tcPr>
          <w:p w14:paraId="516EE40A" w14:textId="77777777" w:rsidR="00DE4516" w:rsidRPr="00A46ADC" w:rsidRDefault="00DE4516" w:rsidP="00DE4516">
            <w:pPr>
              <w:pStyle w:val="TableBody"/>
              <w:autoSpaceDE w:val="0"/>
              <w:autoSpaceDN w:val="0"/>
              <w:adjustRightInd w:val="0"/>
              <w:jc w:val="right"/>
              <w:rPr>
                <w:szCs w:val="16"/>
              </w:rPr>
            </w:pPr>
            <w:r w:rsidRPr="00A46ADC">
              <w:t>1.1</w:t>
            </w:r>
          </w:p>
        </w:tc>
        <w:tc>
          <w:tcPr>
            <w:tcW w:w="551" w:type="pct"/>
            <w:tcBorders>
              <w:top w:val="nil"/>
              <w:bottom w:val="nil"/>
            </w:tcBorders>
            <w:noWrap/>
            <w:hideMark/>
          </w:tcPr>
          <w:p w14:paraId="262F22AF" w14:textId="77777777" w:rsidR="00DE4516" w:rsidRPr="00A46ADC" w:rsidRDefault="00DE4516" w:rsidP="00DE4516">
            <w:pPr>
              <w:pStyle w:val="TableBody"/>
              <w:autoSpaceDE w:val="0"/>
              <w:autoSpaceDN w:val="0"/>
              <w:adjustRightInd w:val="0"/>
              <w:jc w:val="right"/>
              <w:rPr>
                <w:szCs w:val="16"/>
              </w:rPr>
            </w:pPr>
            <w:r w:rsidRPr="00A46ADC">
              <w:t>1.2</w:t>
            </w:r>
          </w:p>
        </w:tc>
        <w:tc>
          <w:tcPr>
            <w:tcW w:w="757" w:type="pct"/>
            <w:tcBorders>
              <w:top w:val="nil"/>
              <w:bottom w:val="nil"/>
            </w:tcBorders>
            <w:noWrap/>
            <w:hideMark/>
          </w:tcPr>
          <w:p w14:paraId="79525F40" w14:textId="77777777" w:rsidR="00DE4516" w:rsidRPr="00A46ADC" w:rsidRDefault="00DE4516" w:rsidP="00DE4516">
            <w:pPr>
              <w:pStyle w:val="TableBody"/>
              <w:autoSpaceDE w:val="0"/>
              <w:autoSpaceDN w:val="0"/>
              <w:adjustRightInd w:val="0"/>
              <w:ind w:right="284"/>
              <w:jc w:val="right"/>
              <w:rPr>
                <w:szCs w:val="16"/>
              </w:rPr>
            </w:pPr>
            <w:r w:rsidRPr="00A46ADC">
              <w:t>5.8</w:t>
            </w:r>
          </w:p>
        </w:tc>
      </w:tr>
      <w:tr w:rsidR="00DE4516" w:rsidRPr="00225231" w14:paraId="7626D1C5" w14:textId="77777777" w:rsidTr="002C718D">
        <w:trPr>
          <w:cantSplit/>
        </w:trPr>
        <w:tc>
          <w:tcPr>
            <w:tcW w:w="3142" w:type="pct"/>
            <w:tcBorders>
              <w:top w:val="nil"/>
              <w:bottom w:val="nil"/>
            </w:tcBorders>
            <w:noWrap/>
            <w:hideMark/>
          </w:tcPr>
          <w:p w14:paraId="3C6D89D7" w14:textId="77777777" w:rsidR="00DE4516" w:rsidRPr="00A46ADC" w:rsidRDefault="00DE4516" w:rsidP="00DE4516">
            <w:pPr>
              <w:pStyle w:val="TableBody"/>
              <w:autoSpaceDE w:val="0"/>
              <w:autoSpaceDN w:val="0"/>
              <w:adjustRightInd w:val="0"/>
              <w:jc w:val="both"/>
              <w:rPr>
                <w:szCs w:val="16"/>
              </w:rPr>
            </w:pPr>
            <w:r w:rsidRPr="00A46ADC">
              <w:t>Standard deviation</w:t>
            </w:r>
          </w:p>
        </w:tc>
        <w:tc>
          <w:tcPr>
            <w:tcW w:w="550" w:type="pct"/>
            <w:tcBorders>
              <w:top w:val="nil"/>
              <w:bottom w:val="nil"/>
            </w:tcBorders>
            <w:noWrap/>
            <w:hideMark/>
          </w:tcPr>
          <w:p w14:paraId="514DD838" w14:textId="77777777" w:rsidR="00DE4516" w:rsidRPr="00A46ADC" w:rsidRDefault="00DE4516" w:rsidP="00DE4516">
            <w:pPr>
              <w:pStyle w:val="TableBody"/>
              <w:autoSpaceDE w:val="0"/>
              <w:autoSpaceDN w:val="0"/>
              <w:adjustRightInd w:val="0"/>
              <w:jc w:val="right"/>
              <w:rPr>
                <w:szCs w:val="16"/>
              </w:rPr>
            </w:pPr>
            <w:r w:rsidRPr="00A46ADC">
              <w:t>10.1</w:t>
            </w:r>
          </w:p>
        </w:tc>
        <w:tc>
          <w:tcPr>
            <w:tcW w:w="551" w:type="pct"/>
            <w:tcBorders>
              <w:top w:val="nil"/>
              <w:bottom w:val="nil"/>
            </w:tcBorders>
            <w:noWrap/>
            <w:hideMark/>
          </w:tcPr>
          <w:p w14:paraId="326CB163" w14:textId="77777777" w:rsidR="00DE4516" w:rsidRPr="00A46ADC" w:rsidRDefault="00DE4516" w:rsidP="00DE4516">
            <w:pPr>
              <w:pStyle w:val="TableBody"/>
              <w:autoSpaceDE w:val="0"/>
              <w:autoSpaceDN w:val="0"/>
              <w:adjustRightInd w:val="0"/>
              <w:jc w:val="right"/>
              <w:rPr>
                <w:szCs w:val="16"/>
              </w:rPr>
            </w:pPr>
            <w:r w:rsidRPr="00A46ADC">
              <w:t>10.1</w:t>
            </w:r>
          </w:p>
        </w:tc>
        <w:tc>
          <w:tcPr>
            <w:tcW w:w="757" w:type="pct"/>
            <w:tcBorders>
              <w:top w:val="nil"/>
              <w:bottom w:val="nil"/>
            </w:tcBorders>
            <w:noWrap/>
            <w:hideMark/>
          </w:tcPr>
          <w:p w14:paraId="0EDE0307" w14:textId="77777777" w:rsidR="00DE4516" w:rsidRPr="00A46ADC" w:rsidRDefault="00DE4516" w:rsidP="00DE4516">
            <w:pPr>
              <w:pStyle w:val="TableBody"/>
              <w:autoSpaceDE w:val="0"/>
              <w:autoSpaceDN w:val="0"/>
              <w:adjustRightInd w:val="0"/>
              <w:ind w:right="284"/>
              <w:jc w:val="right"/>
              <w:rPr>
                <w:szCs w:val="16"/>
              </w:rPr>
            </w:pPr>
            <w:r w:rsidRPr="00A46ADC">
              <w:t>18.2</w:t>
            </w:r>
          </w:p>
        </w:tc>
      </w:tr>
      <w:tr w:rsidR="00DE4516" w:rsidRPr="00225231" w14:paraId="63A8652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42" w:type="pct"/>
            <w:tcBorders>
              <w:top w:val="nil"/>
              <w:bottom w:val="nil"/>
            </w:tcBorders>
            <w:noWrap/>
            <w:hideMark/>
          </w:tcPr>
          <w:p w14:paraId="4A4A758A" w14:textId="77777777" w:rsidR="00DE4516" w:rsidRPr="00A46ADC" w:rsidRDefault="00DE4516" w:rsidP="00DE4516">
            <w:pPr>
              <w:pStyle w:val="TableBody"/>
              <w:autoSpaceDE w:val="0"/>
              <w:autoSpaceDN w:val="0"/>
              <w:adjustRightInd w:val="0"/>
              <w:jc w:val="both"/>
              <w:rPr>
                <w:szCs w:val="16"/>
              </w:rPr>
            </w:pPr>
            <w:r w:rsidRPr="00A46ADC">
              <w:t>Coefficient of variation</w:t>
            </w:r>
          </w:p>
        </w:tc>
        <w:tc>
          <w:tcPr>
            <w:tcW w:w="550" w:type="pct"/>
            <w:tcBorders>
              <w:top w:val="nil"/>
              <w:bottom w:val="nil"/>
            </w:tcBorders>
            <w:noWrap/>
            <w:hideMark/>
          </w:tcPr>
          <w:p w14:paraId="258C1C75" w14:textId="77777777" w:rsidR="00DE4516" w:rsidRPr="00A46ADC" w:rsidRDefault="00DE4516" w:rsidP="00DE4516">
            <w:pPr>
              <w:pStyle w:val="TableBody"/>
              <w:autoSpaceDE w:val="0"/>
              <w:autoSpaceDN w:val="0"/>
              <w:adjustRightInd w:val="0"/>
              <w:jc w:val="right"/>
              <w:rPr>
                <w:szCs w:val="16"/>
              </w:rPr>
            </w:pPr>
            <w:r w:rsidRPr="00A46ADC">
              <w:t>1.8</w:t>
            </w:r>
          </w:p>
        </w:tc>
        <w:tc>
          <w:tcPr>
            <w:tcW w:w="551" w:type="pct"/>
            <w:tcBorders>
              <w:top w:val="nil"/>
              <w:bottom w:val="nil"/>
            </w:tcBorders>
            <w:noWrap/>
            <w:hideMark/>
          </w:tcPr>
          <w:p w14:paraId="0B2C6882" w14:textId="77777777" w:rsidR="00DE4516" w:rsidRPr="00A46ADC" w:rsidRDefault="00DE4516" w:rsidP="00DE4516">
            <w:pPr>
              <w:pStyle w:val="TableBody"/>
              <w:autoSpaceDE w:val="0"/>
              <w:autoSpaceDN w:val="0"/>
              <w:adjustRightInd w:val="0"/>
              <w:jc w:val="right"/>
              <w:rPr>
                <w:szCs w:val="16"/>
              </w:rPr>
            </w:pPr>
            <w:r w:rsidRPr="00A46ADC">
              <w:t>1.8</w:t>
            </w:r>
          </w:p>
        </w:tc>
        <w:tc>
          <w:tcPr>
            <w:tcW w:w="757" w:type="pct"/>
            <w:tcBorders>
              <w:top w:val="nil"/>
              <w:bottom w:val="nil"/>
            </w:tcBorders>
            <w:noWrap/>
            <w:hideMark/>
          </w:tcPr>
          <w:p w14:paraId="41B1F8F3" w14:textId="77777777" w:rsidR="00DE4516" w:rsidRPr="00A46ADC" w:rsidRDefault="00DE4516" w:rsidP="00DE4516">
            <w:pPr>
              <w:pStyle w:val="TableBody"/>
              <w:autoSpaceDE w:val="0"/>
              <w:autoSpaceDN w:val="0"/>
              <w:adjustRightInd w:val="0"/>
              <w:ind w:right="284"/>
              <w:jc w:val="right"/>
              <w:rPr>
                <w:szCs w:val="16"/>
              </w:rPr>
            </w:pPr>
            <w:r w:rsidRPr="00A46ADC">
              <w:t>1.3</w:t>
            </w:r>
          </w:p>
        </w:tc>
      </w:tr>
      <w:tr w:rsidR="00DE4516" w:rsidRPr="00225231" w14:paraId="3698E475" w14:textId="77777777" w:rsidTr="002C718D">
        <w:trPr>
          <w:cantSplit/>
        </w:trPr>
        <w:tc>
          <w:tcPr>
            <w:tcW w:w="3142" w:type="pct"/>
            <w:tcBorders>
              <w:top w:val="nil"/>
              <w:bottom w:val="single" w:sz="4" w:space="0" w:color="auto"/>
            </w:tcBorders>
            <w:noWrap/>
            <w:hideMark/>
          </w:tcPr>
          <w:p w14:paraId="4E3E8CEC" w14:textId="77777777" w:rsidR="00DE4516" w:rsidRPr="00A46ADC" w:rsidRDefault="00DE4516" w:rsidP="00DE4516">
            <w:pPr>
              <w:pStyle w:val="TableBody"/>
              <w:autoSpaceDE w:val="0"/>
              <w:autoSpaceDN w:val="0"/>
              <w:adjustRightInd w:val="0"/>
              <w:jc w:val="both"/>
              <w:rPr>
                <w:szCs w:val="16"/>
              </w:rPr>
            </w:pPr>
            <w:r w:rsidRPr="00A46ADC">
              <w:t xml:space="preserve">Nuisance applied rates (% of all tariff </w:t>
            </w:r>
            <w:proofErr w:type="gramStart"/>
            <w:r w:rsidRPr="00A46ADC">
              <w:t>lines)</w:t>
            </w:r>
            <w:r w:rsidRPr="00A46ADC">
              <w:rPr>
                <w:vertAlign w:val="superscript"/>
              </w:rPr>
              <w:t>e</w:t>
            </w:r>
            <w:proofErr w:type="gramEnd"/>
          </w:p>
        </w:tc>
        <w:tc>
          <w:tcPr>
            <w:tcW w:w="550" w:type="pct"/>
            <w:tcBorders>
              <w:top w:val="nil"/>
              <w:bottom w:val="single" w:sz="4" w:space="0" w:color="auto"/>
            </w:tcBorders>
            <w:noWrap/>
            <w:hideMark/>
          </w:tcPr>
          <w:p w14:paraId="50B11333" w14:textId="77777777" w:rsidR="00DE4516" w:rsidRPr="00A46ADC" w:rsidRDefault="00DE4516" w:rsidP="00DE4516">
            <w:pPr>
              <w:pStyle w:val="TableBody"/>
              <w:autoSpaceDE w:val="0"/>
              <w:autoSpaceDN w:val="0"/>
              <w:adjustRightInd w:val="0"/>
              <w:jc w:val="right"/>
              <w:rPr>
                <w:szCs w:val="16"/>
              </w:rPr>
            </w:pPr>
            <w:r w:rsidRPr="00A46ADC">
              <w:t>0.0</w:t>
            </w:r>
          </w:p>
        </w:tc>
        <w:tc>
          <w:tcPr>
            <w:tcW w:w="551" w:type="pct"/>
            <w:tcBorders>
              <w:top w:val="nil"/>
              <w:bottom w:val="single" w:sz="4" w:space="0" w:color="auto"/>
            </w:tcBorders>
            <w:noWrap/>
            <w:hideMark/>
          </w:tcPr>
          <w:p w14:paraId="343A60B9" w14:textId="77777777" w:rsidR="00DE4516" w:rsidRPr="00A46ADC" w:rsidRDefault="00DE4516" w:rsidP="00DE4516">
            <w:pPr>
              <w:pStyle w:val="TableBody"/>
              <w:autoSpaceDE w:val="0"/>
              <w:autoSpaceDN w:val="0"/>
              <w:adjustRightInd w:val="0"/>
              <w:jc w:val="right"/>
              <w:rPr>
                <w:szCs w:val="16"/>
              </w:rPr>
            </w:pPr>
            <w:r w:rsidRPr="00A46ADC">
              <w:t>0.0</w:t>
            </w:r>
          </w:p>
        </w:tc>
        <w:tc>
          <w:tcPr>
            <w:tcW w:w="757" w:type="pct"/>
            <w:tcBorders>
              <w:top w:val="nil"/>
              <w:bottom w:val="single" w:sz="4" w:space="0" w:color="auto"/>
            </w:tcBorders>
            <w:noWrap/>
            <w:hideMark/>
          </w:tcPr>
          <w:p w14:paraId="3E9D60D7" w14:textId="77777777" w:rsidR="00DE4516" w:rsidRPr="00A46ADC" w:rsidRDefault="00DE4516" w:rsidP="00DE4516">
            <w:pPr>
              <w:pStyle w:val="TableBody"/>
              <w:autoSpaceDE w:val="0"/>
              <w:autoSpaceDN w:val="0"/>
              <w:adjustRightInd w:val="0"/>
              <w:ind w:right="284"/>
              <w:jc w:val="right"/>
              <w:rPr>
                <w:szCs w:val="16"/>
              </w:rPr>
            </w:pPr>
            <w:r w:rsidRPr="00A46ADC">
              <w:t>0.1</w:t>
            </w:r>
          </w:p>
        </w:tc>
      </w:tr>
    </w:tbl>
    <w:p w14:paraId="5295B990" w14:textId="21CB8B2A" w:rsidR="00DE4516" w:rsidRDefault="00DE4516">
      <w:pPr>
        <w:pStyle w:val="TableNote"/>
        <w:autoSpaceDE w:val="0"/>
        <w:autoSpaceDN w:val="0"/>
        <w:adjustRightInd w:val="0"/>
        <w:contextualSpacing w:val="0"/>
      </w:pPr>
      <w:proofErr w:type="spellStart"/>
      <w:r>
        <w:t>n.a.</w:t>
      </w:r>
      <w:proofErr w:type="spellEnd"/>
      <w:r>
        <w:t> Not applicable.</w:t>
      </w:r>
    </w:p>
    <w:p w14:paraId="54FCA0D4" w14:textId="77777777" w:rsidR="00DE4516" w:rsidRDefault="00DE4516">
      <w:pPr>
        <w:pStyle w:val="TableNote"/>
        <w:autoSpaceDE w:val="0"/>
        <w:autoSpaceDN w:val="0"/>
        <w:adjustRightInd w:val="0"/>
        <w:contextualSpacing w:val="0"/>
      </w:pPr>
      <w:r>
        <w:t>a</w:t>
      </w:r>
      <w:r>
        <w:tab/>
        <w:t>Final bound rates are based on the Consolidated Tariff Schedule (CTS) in HS12 nomenclature.</w:t>
      </w:r>
    </w:p>
    <w:p w14:paraId="7AB2C4D8" w14:textId="77777777" w:rsidR="00DE4516" w:rsidRDefault="00DE4516">
      <w:pPr>
        <w:pStyle w:val="TableNote"/>
        <w:autoSpaceDE w:val="0"/>
        <w:autoSpaceDN w:val="0"/>
        <w:adjustRightInd w:val="0"/>
        <w:contextualSpacing w:val="0"/>
      </w:pPr>
      <w:r>
        <w:t>b</w:t>
      </w:r>
      <w:r>
        <w:tab/>
        <w:t>Including 42 prohibited tariff lines (0.6% of total lines) in case of the 2021 tariff analysis.</w:t>
      </w:r>
    </w:p>
    <w:p w14:paraId="37369EE3" w14:textId="77777777" w:rsidR="00DE4516" w:rsidRDefault="00DE4516">
      <w:pPr>
        <w:pStyle w:val="TableNote"/>
        <w:autoSpaceDE w:val="0"/>
        <w:autoSpaceDN w:val="0"/>
        <w:adjustRightInd w:val="0"/>
        <w:contextualSpacing w:val="0"/>
      </w:pPr>
      <w:r>
        <w:lastRenderedPageBreak/>
        <w:t>c</w:t>
      </w:r>
      <w:r>
        <w:tab/>
        <w:t>Domestic tariff peaks are defined as those exceeding three times the overall simple average applied rate.</w:t>
      </w:r>
    </w:p>
    <w:p w14:paraId="457A2D3A" w14:textId="77777777" w:rsidR="00DE4516" w:rsidRDefault="00DE4516">
      <w:pPr>
        <w:pStyle w:val="TableNote"/>
        <w:autoSpaceDE w:val="0"/>
        <w:autoSpaceDN w:val="0"/>
        <w:adjustRightInd w:val="0"/>
        <w:contextualSpacing w:val="0"/>
      </w:pPr>
      <w:r>
        <w:t>d</w:t>
      </w:r>
      <w:r>
        <w:tab/>
      </w:r>
      <w:proofErr w:type="gramStart"/>
      <w:r>
        <w:t>International</w:t>
      </w:r>
      <w:proofErr w:type="gramEnd"/>
      <w:r>
        <w:t xml:space="preserve"> tariff peaks are defined as those exceeding 15%.</w:t>
      </w:r>
    </w:p>
    <w:p w14:paraId="7B25DDD6" w14:textId="77777777" w:rsidR="00DE4516" w:rsidRDefault="00DE4516">
      <w:pPr>
        <w:pStyle w:val="TableNote"/>
        <w:autoSpaceDE w:val="0"/>
        <w:autoSpaceDN w:val="0"/>
        <w:adjustRightInd w:val="0"/>
        <w:contextualSpacing w:val="0"/>
      </w:pPr>
      <w:r>
        <w:t>e</w:t>
      </w:r>
      <w:r>
        <w:tab/>
        <w:t>Nuisance rates are those greater than zero, but less than or equal to 2%.</w:t>
      </w:r>
    </w:p>
    <w:p w14:paraId="76BC5DCA" w14:textId="77777777" w:rsidR="00DE4516" w:rsidRDefault="00DE4516">
      <w:pPr>
        <w:pStyle w:val="TableNote"/>
        <w:autoSpaceDE w:val="0"/>
        <w:autoSpaceDN w:val="0"/>
        <w:adjustRightInd w:val="0"/>
        <w:contextualSpacing w:val="0"/>
      </w:pPr>
      <w:r>
        <w:t>Note:</w:t>
      </w:r>
      <w:r>
        <w:tab/>
        <w:t>The 2021 tariff is based on HS17 nomenclature. In case of non</w:t>
      </w:r>
      <w:r>
        <w:noBreakHyphen/>
      </w:r>
      <w:r>
        <w:rPr>
          <w:i/>
        </w:rPr>
        <w:t>ad valorem</w:t>
      </w:r>
      <w:r>
        <w:t xml:space="preserve"> tariffs, the </w:t>
      </w:r>
      <w:r>
        <w:rPr>
          <w:i/>
        </w:rPr>
        <w:t>ad valorem</w:t>
      </w:r>
      <w:r>
        <w:t xml:space="preserve"> part is used for mixed duties.</w:t>
      </w:r>
    </w:p>
    <w:p w14:paraId="336702BF" w14:textId="77777777" w:rsidR="00DE4516" w:rsidRDefault="00DE4516">
      <w:pPr>
        <w:pStyle w:val="TableSource"/>
        <w:autoSpaceDE w:val="0"/>
        <w:autoSpaceDN w:val="0"/>
        <w:adjustRightInd w:val="0"/>
        <w:rPr>
          <w:szCs w:val="24"/>
        </w:rPr>
      </w:pPr>
      <w:r>
        <w:rPr>
          <w:szCs w:val="24"/>
        </w:rPr>
        <w:t>Source:</w:t>
      </w:r>
      <w:r>
        <w:rPr>
          <w:szCs w:val="24"/>
        </w:rPr>
        <w:tab/>
        <w:t>WTO Secretariat calculations, based on data provided by the authorities and WTO CTS database.</w:t>
      </w:r>
    </w:p>
    <w:p w14:paraId="11E136AD" w14:textId="77777777" w:rsidR="00DE4516" w:rsidRDefault="00DE4516">
      <w:pPr>
        <w:pStyle w:val="BodyText0"/>
        <w:autoSpaceDE w:val="0"/>
        <w:autoSpaceDN w:val="0"/>
        <w:adjustRightInd w:val="0"/>
        <w:rPr>
          <w:szCs w:val="24"/>
        </w:rPr>
      </w:pPr>
      <w:r>
        <w:rPr>
          <w:szCs w:val="24"/>
        </w:rPr>
        <w:t xml:space="preserve">Oman's overall average MFN applied tariff is 5.5%, the same as at the time of its last Reviews, in 2008 and 2014. The modal rate is 5%. </w:t>
      </w:r>
      <w:proofErr w:type="gramStart"/>
      <w:r>
        <w:rPr>
          <w:szCs w:val="24"/>
        </w:rPr>
        <w:t>On the basis of</w:t>
      </w:r>
      <w:proofErr w:type="gramEnd"/>
      <w:r>
        <w:rPr>
          <w:szCs w:val="24"/>
        </w:rPr>
        <w:t xml:space="preserve"> the WTO definition, tariffs average 10.2% in agriculture, and 4.6% on non</w:t>
      </w:r>
      <w:r>
        <w:rPr>
          <w:szCs w:val="24"/>
        </w:rPr>
        <w:noBreakHyphen/>
        <w:t>agricultural products. Using the ISIC (Revision 2) definition, the least tariff-protected sector is agriculture with 3.6%, followed by mining and quarrying (4.9%), and manufacturing (5.7%) (</w:t>
      </w:r>
      <w:r>
        <w:rPr>
          <w:rStyle w:val="citetbl"/>
          <w:szCs w:val="24"/>
        </w:rPr>
        <w:t>Table 3.2</w:t>
      </w:r>
      <w:r>
        <w:rPr>
          <w:szCs w:val="24"/>
        </w:rPr>
        <w:t>).</w:t>
      </w:r>
    </w:p>
    <w:p w14:paraId="07FB43CC" w14:textId="77777777" w:rsidR="00DE4516" w:rsidRDefault="00DE4516">
      <w:pPr>
        <w:pStyle w:val="FigureCaption"/>
        <w:autoSpaceDE w:val="0"/>
        <w:autoSpaceDN w:val="0"/>
        <w:adjustRightInd w:val="0"/>
      </w:pPr>
      <w:r>
        <w:t>Chart 3.1 Distribution of MFN tariff rates, 2021</w:t>
      </w:r>
    </w:p>
    <w:p w14:paraId="4D649E62" w14:textId="77777777" w:rsidR="00DE4516" w:rsidRDefault="00DE4516">
      <w:pPr>
        <w:pStyle w:val="Non-XMLText"/>
        <w:autoSpaceDE w:val="0"/>
        <w:autoSpaceDN w:val="0"/>
        <w:adjustRightInd w:val="0"/>
      </w:pPr>
      <w:r>
        <w:t>[INSERT FIGURE 006]</w:t>
      </w:r>
    </w:p>
    <w:p w14:paraId="281CF510" w14:textId="77777777" w:rsidR="00DE4516" w:rsidRDefault="00DE4516">
      <w:pPr>
        <w:pStyle w:val="FigureNote"/>
        <w:autoSpaceDE w:val="0"/>
        <w:autoSpaceDN w:val="0"/>
        <w:adjustRightInd w:val="0"/>
        <w:contextualSpacing w:val="0"/>
        <w:rPr>
          <w:szCs w:val="24"/>
        </w:rPr>
      </w:pPr>
      <w:r>
        <w:rPr>
          <w:szCs w:val="24"/>
        </w:rPr>
        <w:t>Note:</w:t>
      </w:r>
      <w:r>
        <w:rPr>
          <w:szCs w:val="24"/>
        </w:rPr>
        <w:tab/>
        <w:t>Figures in parentheses denote the share of total lines. The 2021 tariff schedule consists of 7,561 tariff lines.</w:t>
      </w:r>
    </w:p>
    <w:p w14:paraId="79F22A05" w14:textId="77777777" w:rsidR="00DE4516" w:rsidRDefault="00DE4516">
      <w:pPr>
        <w:pStyle w:val="FigureSource"/>
        <w:autoSpaceDE w:val="0"/>
        <w:autoSpaceDN w:val="0"/>
        <w:adjustRightInd w:val="0"/>
        <w:rPr>
          <w:szCs w:val="24"/>
        </w:rPr>
      </w:pPr>
      <w:r>
        <w:rPr>
          <w:szCs w:val="24"/>
        </w:rPr>
        <w:t>Source:</w:t>
      </w:r>
      <w:r>
        <w:rPr>
          <w:szCs w:val="24"/>
        </w:rPr>
        <w:tab/>
        <w:t>WTO Secretariat calculations, based on data provided by the authorities.</w:t>
      </w:r>
    </w:p>
    <w:p w14:paraId="5A42FF65" w14:textId="77777777" w:rsidR="00DE4516" w:rsidRDefault="00DE4516">
      <w:pPr>
        <w:pStyle w:val="TableTitle"/>
        <w:autoSpaceDE w:val="0"/>
        <w:autoSpaceDN w:val="0"/>
        <w:adjustRightInd w:val="0"/>
      </w:pPr>
      <w:r>
        <w:t>Table 3.2 Oman's applied MFN tariff summary, 2021</w:t>
      </w:r>
    </w:p>
    <w:tbl>
      <w:tblPr>
        <w:tblW w:w="9066"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5E0" w:firstRow="1" w:lastRow="1" w:firstColumn="1" w:lastColumn="1" w:noHBand="0" w:noVBand="1"/>
      </w:tblPr>
      <w:tblGrid>
        <w:gridCol w:w="3084"/>
        <w:gridCol w:w="1023"/>
        <w:gridCol w:w="990"/>
        <w:gridCol w:w="994"/>
        <w:gridCol w:w="850"/>
        <w:gridCol w:w="1133"/>
        <w:gridCol w:w="992"/>
      </w:tblGrid>
      <w:tr w:rsidR="00DE4516" w:rsidRPr="007F015E" w14:paraId="59F3547A" w14:textId="77777777" w:rsidTr="002C718D">
        <w:trPr>
          <w:cantSplit/>
          <w:trHeight w:val="20"/>
          <w:tblHeader/>
          <w:jc w:val="center"/>
        </w:trPr>
        <w:tc>
          <w:tcPr>
            <w:tcW w:w="3084" w:type="dxa"/>
            <w:tcBorders>
              <w:top w:val="single" w:sz="4" w:space="0" w:color="auto"/>
            </w:tcBorders>
            <w:shd w:val="clear" w:color="auto" w:fill="006283"/>
            <w:noWrap/>
            <w:hideMark/>
          </w:tcPr>
          <w:p w14:paraId="340959A1" w14:textId="77777777" w:rsidR="00DE4516" w:rsidRPr="007F015E" w:rsidRDefault="00DE4516" w:rsidP="00DE4516">
            <w:pPr>
              <w:pStyle w:val="TableHead"/>
              <w:autoSpaceDE w:val="0"/>
              <w:autoSpaceDN w:val="0"/>
              <w:adjustRightInd w:val="0"/>
            </w:pPr>
          </w:p>
        </w:tc>
        <w:tc>
          <w:tcPr>
            <w:tcW w:w="1023" w:type="dxa"/>
            <w:tcBorders>
              <w:top w:val="single" w:sz="4" w:space="0" w:color="auto"/>
            </w:tcBorders>
            <w:shd w:val="clear" w:color="auto" w:fill="006283"/>
            <w:noWrap/>
            <w:vAlign w:val="center"/>
            <w:hideMark/>
          </w:tcPr>
          <w:p w14:paraId="65C03699" w14:textId="77777777" w:rsidR="00DE4516" w:rsidRPr="007F015E" w:rsidRDefault="00DE4516" w:rsidP="00DE4516">
            <w:pPr>
              <w:pStyle w:val="TableHead"/>
              <w:autoSpaceDE w:val="0"/>
              <w:autoSpaceDN w:val="0"/>
              <w:adjustRightInd w:val="0"/>
              <w:jc w:val="center"/>
              <w:rPr>
                <w:bCs/>
                <w:color w:val="FFFFFF"/>
                <w:szCs w:val="16"/>
              </w:rPr>
            </w:pPr>
            <w:r w:rsidRPr="007F015E">
              <w:t>Number of lines</w:t>
            </w:r>
          </w:p>
        </w:tc>
        <w:tc>
          <w:tcPr>
            <w:tcW w:w="990" w:type="dxa"/>
            <w:tcBorders>
              <w:top w:val="single" w:sz="4" w:space="0" w:color="auto"/>
            </w:tcBorders>
            <w:shd w:val="clear" w:color="auto" w:fill="006283"/>
            <w:noWrap/>
            <w:vAlign w:val="center"/>
            <w:hideMark/>
          </w:tcPr>
          <w:p w14:paraId="19FB85DE" w14:textId="77777777" w:rsidR="00DE4516" w:rsidRPr="007F015E" w:rsidRDefault="00DE4516" w:rsidP="00DE4516">
            <w:pPr>
              <w:pStyle w:val="TableHead"/>
              <w:autoSpaceDE w:val="0"/>
              <w:autoSpaceDN w:val="0"/>
              <w:adjustRightInd w:val="0"/>
              <w:jc w:val="center"/>
              <w:rPr>
                <w:bCs/>
                <w:color w:val="FFFFFF"/>
                <w:szCs w:val="16"/>
              </w:rPr>
            </w:pPr>
            <w:r w:rsidRPr="007F015E">
              <w:t>Simple average (%)</w:t>
            </w:r>
          </w:p>
        </w:tc>
        <w:tc>
          <w:tcPr>
            <w:tcW w:w="994" w:type="dxa"/>
            <w:tcBorders>
              <w:top w:val="single" w:sz="4" w:space="0" w:color="auto"/>
            </w:tcBorders>
            <w:shd w:val="clear" w:color="auto" w:fill="006283"/>
            <w:noWrap/>
            <w:vAlign w:val="center"/>
            <w:hideMark/>
          </w:tcPr>
          <w:p w14:paraId="614B59E8" w14:textId="77777777" w:rsidR="00DE4516" w:rsidRPr="007F015E" w:rsidRDefault="00DE4516" w:rsidP="00DE4516">
            <w:pPr>
              <w:pStyle w:val="TableHead"/>
              <w:autoSpaceDE w:val="0"/>
              <w:autoSpaceDN w:val="0"/>
              <w:adjustRightInd w:val="0"/>
              <w:jc w:val="center"/>
              <w:rPr>
                <w:bCs/>
                <w:color w:val="FFFFFF"/>
                <w:szCs w:val="16"/>
              </w:rPr>
            </w:pPr>
            <w:r w:rsidRPr="007F015E">
              <w:t>Tariff range</w:t>
            </w:r>
            <w:r w:rsidRPr="007F015E">
              <w:br/>
              <w:t>(%)</w:t>
            </w:r>
          </w:p>
        </w:tc>
        <w:tc>
          <w:tcPr>
            <w:tcW w:w="850" w:type="dxa"/>
            <w:tcBorders>
              <w:top w:val="single" w:sz="4" w:space="0" w:color="auto"/>
            </w:tcBorders>
            <w:shd w:val="clear" w:color="auto" w:fill="006283"/>
            <w:noWrap/>
            <w:vAlign w:val="center"/>
            <w:hideMark/>
          </w:tcPr>
          <w:p w14:paraId="22C50554" w14:textId="77777777" w:rsidR="00DE4516" w:rsidRPr="007F015E" w:rsidRDefault="00DE4516" w:rsidP="00DE4516">
            <w:pPr>
              <w:pStyle w:val="TableHead"/>
              <w:autoSpaceDE w:val="0"/>
              <w:autoSpaceDN w:val="0"/>
              <w:adjustRightInd w:val="0"/>
              <w:jc w:val="center"/>
              <w:rPr>
                <w:bCs/>
                <w:color w:val="FFFFFF"/>
                <w:szCs w:val="16"/>
              </w:rPr>
            </w:pPr>
            <w:proofErr w:type="spellStart"/>
            <w:r w:rsidRPr="007F015E">
              <w:t>SD</w:t>
            </w:r>
            <w:r w:rsidRPr="007F015E">
              <w:rPr>
                <w:vertAlign w:val="superscript"/>
              </w:rPr>
              <w:t>a</w:t>
            </w:r>
            <w:proofErr w:type="spellEnd"/>
          </w:p>
        </w:tc>
        <w:tc>
          <w:tcPr>
            <w:tcW w:w="1133" w:type="dxa"/>
            <w:tcBorders>
              <w:top w:val="single" w:sz="4" w:space="0" w:color="auto"/>
            </w:tcBorders>
            <w:shd w:val="clear" w:color="auto" w:fill="006283"/>
            <w:vAlign w:val="center"/>
          </w:tcPr>
          <w:p w14:paraId="7B6A3E81" w14:textId="77777777" w:rsidR="00DE4516" w:rsidRPr="007F015E" w:rsidRDefault="00DE4516" w:rsidP="00DE4516">
            <w:pPr>
              <w:pStyle w:val="TableHead"/>
              <w:autoSpaceDE w:val="0"/>
              <w:autoSpaceDN w:val="0"/>
              <w:adjustRightInd w:val="0"/>
              <w:jc w:val="center"/>
              <w:rPr>
                <w:bCs/>
                <w:color w:val="FFFFFF"/>
                <w:szCs w:val="16"/>
              </w:rPr>
            </w:pPr>
            <w:r w:rsidRPr="007F015E">
              <w:t>Share of duty-free lines</w:t>
            </w:r>
            <w:r w:rsidRPr="007F015E">
              <w:br/>
              <w:t>(%)</w:t>
            </w:r>
          </w:p>
        </w:tc>
        <w:tc>
          <w:tcPr>
            <w:tcW w:w="992" w:type="dxa"/>
            <w:tcBorders>
              <w:top w:val="single" w:sz="4" w:space="0" w:color="auto"/>
            </w:tcBorders>
            <w:shd w:val="clear" w:color="auto" w:fill="006283"/>
            <w:noWrap/>
            <w:vAlign w:val="center"/>
          </w:tcPr>
          <w:p w14:paraId="35ECD6A5" w14:textId="77777777" w:rsidR="00DE4516" w:rsidRPr="007F015E" w:rsidRDefault="00DE4516" w:rsidP="00DE4516">
            <w:pPr>
              <w:pStyle w:val="TableHead"/>
              <w:autoSpaceDE w:val="0"/>
              <w:autoSpaceDN w:val="0"/>
              <w:adjustRightInd w:val="0"/>
              <w:jc w:val="center"/>
              <w:rPr>
                <w:bCs/>
                <w:color w:val="FFFFFF"/>
                <w:szCs w:val="16"/>
              </w:rPr>
            </w:pPr>
            <w:r w:rsidRPr="007F015E">
              <w:t>Share of non</w:t>
            </w:r>
            <w:r w:rsidRPr="007F015E">
              <w:noBreakHyphen/>
            </w:r>
            <w:r w:rsidRPr="007F015E">
              <w:rPr>
                <w:i/>
              </w:rPr>
              <w:t>ad valorem</w:t>
            </w:r>
            <w:r w:rsidRPr="007F015E">
              <w:t xml:space="preserve"> tariffs</w:t>
            </w:r>
            <w:r w:rsidRPr="007F015E">
              <w:br/>
              <w:t>(%)</w:t>
            </w:r>
          </w:p>
        </w:tc>
      </w:tr>
      <w:tr w:rsidR="00DE4516" w:rsidRPr="00225231" w14:paraId="63F69421" w14:textId="77777777" w:rsidTr="002C718D">
        <w:trPr>
          <w:cantSplit/>
          <w:trHeight w:val="20"/>
          <w:jc w:val="center"/>
        </w:trPr>
        <w:tc>
          <w:tcPr>
            <w:tcW w:w="3084" w:type="dxa"/>
            <w:noWrap/>
            <w:hideMark/>
          </w:tcPr>
          <w:p w14:paraId="66FCB2AC" w14:textId="77777777" w:rsidR="00DE4516" w:rsidRPr="00A46ADC" w:rsidRDefault="00DE4516" w:rsidP="00DE4516">
            <w:pPr>
              <w:pStyle w:val="TableBody"/>
              <w:autoSpaceDE w:val="0"/>
              <w:autoSpaceDN w:val="0"/>
              <w:adjustRightInd w:val="0"/>
              <w:jc w:val="both"/>
              <w:rPr>
                <w:b/>
                <w:bCs/>
                <w:szCs w:val="16"/>
              </w:rPr>
            </w:pPr>
            <w:r w:rsidRPr="00A46ADC">
              <w:rPr>
                <w:b/>
              </w:rPr>
              <w:t>Total</w:t>
            </w:r>
          </w:p>
        </w:tc>
        <w:tc>
          <w:tcPr>
            <w:tcW w:w="1023" w:type="dxa"/>
            <w:noWrap/>
          </w:tcPr>
          <w:p w14:paraId="075F4EF9" w14:textId="77777777" w:rsidR="00DE4516" w:rsidRPr="00A46ADC" w:rsidRDefault="00DE4516" w:rsidP="00DE4516">
            <w:pPr>
              <w:pStyle w:val="TableBody"/>
              <w:autoSpaceDE w:val="0"/>
              <w:autoSpaceDN w:val="0"/>
              <w:adjustRightInd w:val="0"/>
              <w:ind w:right="113"/>
              <w:jc w:val="right"/>
              <w:rPr>
                <w:bCs/>
                <w:szCs w:val="16"/>
              </w:rPr>
            </w:pPr>
            <w:r w:rsidRPr="00A46ADC">
              <w:t>7,561</w:t>
            </w:r>
          </w:p>
        </w:tc>
        <w:tc>
          <w:tcPr>
            <w:tcW w:w="990" w:type="dxa"/>
            <w:noWrap/>
          </w:tcPr>
          <w:p w14:paraId="6E655BCE" w14:textId="77777777" w:rsidR="00DE4516" w:rsidRPr="00A46ADC" w:rsidRDefault="00DE4516" w:rsidP="00DE4516">
            <w:pPr>
              <w:pStyle w:val="TableBody"/>
              <w:autoSpaceDE w:val="0"/>
              <w:autoSpaceDN w:val="0"/>
              <w:adjustRightInd w:val="0"/>
              <w:ind w:right="227"/>
              <w:jc w:val="right"/>
              <w:rPr>
                <w:bCs/>
                <w:szCs w:val="16"/>
              </w:rPr>
            </w:pPr>
            <w:r w:rsidRPr="00A46ADC">
              <w:t>5.5</w:t>
            </w:r>
          </w:p>
        </w:tc>
        <w:tc>
          <w:tcPr>
            <w:tcW w:w="994" w:type="dxa"/>
            <w:noWrap/>
          </w:tcPr>
          <w:p w14:paraId="417FD443" w14:textId="77777777" w:rsidR="00DE4516" w:rsidRPr="00A46ADC" w:rsidRDefault="00DE4516" w:rsidP="00DE4516">
            <w:pPr>
              <w:pStyle w:val="TableBody"/>
              <w:autoSpaceDE w:val="0"/>
              <w:autoSpaceDN w:val="0"/>
              <w:adjustRightInd w:val="0"/>
              <w:ind w:right="113"/>
              <w:jc w:val="right"/>
              <w:rPr>
                <w:bCs/>
                <w:szCs w:val="16"/>
              </w:rPr>
            </w:pPr>
            <w:r w:rsidRPr="00A46ADC">
              <w:t>0-100</w:t>
            </w:r>
          </w:p>
        </w:tc>
        <w:tc>
          <w:tcPr>
            <w:tcW w:w="850" w:type="dxa"/>
            <w:noWrap/>
          </w:tcPr>
          <w:p w14:paraId="5FFEF3DE" w14:textId="77777777" w:rsidR="00DE4516" w:rsidRPr="00A46ADC" w:rsidRDefault="00DE4516" w:rsidP="00DE4516">
            <w:pPr>
              <w:pStyle w:val="TableBody"/>
              <w:autoSpaceDE w:val="0"/>
              <w:autoSpaceDN w:val="0"/>
              <w:adjustRightInd w:val="0"/>
              <w:ind w:right="170"/>
              <w:jc w:val="right"/>
              <w:rPr>
                <w:bCs/>
                <w:szCs w:val="16"/>
              </w:rPr>
            </w:pPr>
            <w:r w:rsidRPr="00A46ADC">
              <w:t>10.1</w:t>
            </w:r>
          </w:p>
        </w:tc>
        <w:tc>
          <w:tcPr>
            <w:tcW w:w="1133" w:type="dxa"/>
          </w:tcPr>
          <w:p w14:paraId="52DE6A35" w14:textId="77777777" w:rsidR="00DE4516" w:rsidRPr="00A46ADC" w:rsidRDefault="00DE4516" w:rsidP="00DE4516">
            <w:pPr>
              <w:pStyle w:val="TableBody"/>
              <w:autoSpaceDE w:val="0"/>
              <w:autoSpaceDN w:val="0"/>
              <w:adjustRightInd w:val="0"/>
              <w:ind w:right="284"/>
              <w:jc w:val="right"/>
              <w:rPr>
                <w:bCs/>
                <w:szCs w:val="16"/>
              </w:rPr>
            </w:pPr>
            <w:r w:rsidRPr="00A46ADC">
              <w:t>11.1</w:t>
            </w:r>
          </w:p>
        </w:tc>
        <w:tc>
          <w:tcPr>
            <w:tcW w:w="992" w:type="dxa"/>
            <w:noWrap/>
          </w:tcPr>
          <w:p w14:paraId="399D55EF" w14:textId="77777777" w:rsidR="00DE4516" w:rsidRPr="00A46ADC" w:rsidRDefault="00DE4516" w:rsidP="00DE4516">
            <w:pPr>
              <w:pStyle w:val="TableBody"/>
              <w:autoSpaceDE w:val="0"/>
              <w:autoSpaceDN w:val="0"/>
              <w:adjustRightInd w:val="0"/>
              <w:ind w:right="227"/>
              <w:jc w:val="right"/>
              <w:rPr>
                <w:bCs/>
                <w:szCs w:val="16"/>
              </w:rPr>
            </w:pPr>
            <w:r w:rsidRPr="00A46ADC">
              <w:t>0.8</w:t>
            </w:r>
          </w:p>
        </w:tc>
      </w:tr>
      <w:tr w:rsidR="00DE4516" w:rsidRPr="00225231" w14:paraId="370B797E" w14:textId="77777777" w:rsidTr="002C718D">
        <w:trPr>
          <w:cantSplit/>
          <w:trHeight w:val="20"/>
          <w:jc w:val="center"/>
        </w:trPr>
        <w:tc>
          <w:tcPr>
            <w:tcW w:w="3084" w:type="dxa"/>
            <w:shd w:val="clear" w:color="auto" w:fill="C9DED4"/>
            <w:noWrap/>
          </w:tcPr>
          <w:p w14:paraId="059D9BD2" w14:textId="77777777" w:rsidR="00DE4516" w:rsidRPr="00A46ADC" w:rsidRDefault="00DE4516" w:rsidP="00DE4516">
            <w:pPr>
              <w:pStyle w:val="TableBody"/>
              <w:autoSpaceDE w:val="0"/>
              <w:autoSpaceDN w:val="0"/>
              <w:adjustRightInd w:val="0"/>
              <w:jc w:val="both"/>
              <w:rPr>
                <w:b/>
                <w:bCs/>
                <w:szCs w:val="16"/>
              </w:rPr>
            </w:pPr>
            <w:r w:rsidRPr="00A46ADC">
              <w:rPr>
                <w:b/>
              </w:rPr>
              <w:t>HS 01-24</w:t>
            </w:r>
          </w:p>
        </w:tc>
        <w:tc>
          <w:tcPr>
            <w:tcW w:w="1023" w:type="dxa"/>
            <w:shd w:val="clear" w:color="auto" w:fill="C9DED4"/>
            <w:noWrap/>
          </w:tcPr>
          <w:p w14:paraId="0A6F7500" w14:textId="77777777" w:rsidR="00DE4516" w:rsidRPr="00A46ADC" w:rsidRDefault="00DE4516" w:rsidP="00DE4516">
            <w:pPr>
              <w:pStyle w:val="TableBody"/>
              <w:autoSpaceDE w:val="0"/>
              <w:autoSpaceDN w:val="0"/>
              <w:adjustRightInd w:val="0"/>
              <w:ind w:right="113"/>
              <w:jc w:val="right"/>
              <w:rPr>
                <w:bCs/>
                <w:szCs w:val="16"/>
              </w:rPr>
            </w:pPr>
            <w:r w:rsidRPr="00A46ADC">
              <w:t>1,469</w:t>
            </w:r>
          </w:p>
        </w:tc>
        <w:tc>
          <w:tcPr>
            <w:tcW w:w="990" w:type="dxa"/>
            <w:shd w:val="clear" w:color="auto" w:fill="C9DED4"/>
            <w:noWrap/>
          </w:tcPr>
          <w:p w14:paraId="70E82CD5" w14:textId="77777777" w:rsidR="00DE4516" w:rsidRPr="00A46ADC" w:rsidRDefault="00DE4516" w:rsidP="00DE4516">
            <w:pPr>
              <w:pStyle w:val="TableBody"/>
              <w:autoSpaceDE w:val="0"/>
              <w:autoSpaceDN w:val="0"/>
              <w:adjustRightInd w:val="0"/>
              <w:ind w:right="227"/>
              <w:jc w:val="right"/>
              <w:rPr>
                <w:bCs/>
                <w:szCs w:val="16"/>
              </w:rPr>
            </w:pPr>
            <w:r w:rsidRPr="00A46ADC">
              <w:t>9.0</w:t>
            </w:r>
          </w:p>
        </w:tc>
        <w:tc>
          <w:tcPr>
            <w:tcW w:w="994" w:type="dxa"/>
            <w:shd w:val="clear" w:color="auto" w:fill="C9DED4"/>
            <w:noWrap/>
          </w:tcPr>
          <w:p w14:paraId="160CCB30" w14:textId="77777777" w:rsidR="00DE4516" w:rsidRPr="00A46ADC" w:rsidRDefault="00DE4516" w:rsidP="00DE4516">
            <w:pPr>
              <w:pStyle w:val="TableBody"/>
              <w:autoSpaceDE w:val="0"/>
              <w:autoSpaceDN w:val="0"/>
              <w:adjustRightInd w:val="0"/>
              <w:ind w:right="113"/>
              <w:jc w:val="right"/>
              <w:rPr>
                <w:bCs/>
                <w:szCs w:val="16"/>
              </w:rPr>
            </w:pPr>
            <w:r w:rsidRPr="00A46ADC">
              <w:t>0-100</w:t>
            </w:r>
          </w:p>
        </w:tc>
        <w:tc>
          <w:tcPr>
            <w:tcW w:w="850" w:type="dxa"/>
            <w:shd w:val="clear" w:color="auto" w:fill="C9DED4"/>
            <w:noWrap/>
          </w:tcPr>
          <w:p w14:paraId="03DBA1D2" w14:textId="77777777" w:rsidR="00DE4516" w:rsidRPr="00A46ADC" w:rsidRDefault="00DE4516" w:rsidP="00DE4516">
            <w:pPr>
              <w:pStyle w:val="TableBody"/>
              <w:autoSpaceDE w:val="0"/>
              <w:autoSpaceDN w:val="0"/>
              <w:adjustRightInd w:val="0"/>
              <w:ind w:right="170"/>
              <w:jc w:val="right"/>
              <w:rPr>
                <w:bCs/>
                <w:szCs w:val="16"/>
              </w:rPr>
            </w:pPr>
            <w:r w:rsidRPr="00A46ADC">
              <w:t>22.0</w:t>
            </w:r>
          </w:p>
        </w:tc>
        <w:tc>
          <w:tcPr>
            <w:tcW w:w="1133" w:type="dxa"/>
            <w:shd w:val="clear" w:color="auto" w:fill="C9DED4"/>
          </w:tcPr>
          <w:p w14:paraId="1BDB9D4E" w14:textId="77777777" w:rsidR="00DE4516" w:rsidRPr="00A46ADC" w:rsidRDefault="00DE4516" w:rsidP="00DE4516">
            <w:pPr>
              <w:pStyle w:val="TableBody"/>
              <w:autoSpaceDE w:val="0"/>
              <w:autoSpaceDN w:val="0"/>
              <w:adjustRightInd w:val="0"/>
              <w:ind w:right="284"/>
              <w:jc w:val="right"/>
              <w:rPr>
                <w:bCs/>
                <w:szCs w:val="16"/>
              </w:rPr>
            </w:pPr>
            <w:r w:rsidRPr="00A46ADC">
              <w:t>23.9</w:t>
            </w:r>
          </w:p>
        </w:tc>
        <w:tc>
          <w:tcPr>
            <w:tcW w:w="992" w:type="dxa"/>
            <w:shd w:val="clear" w:color="auto" w:fill="C9DED4"/>
            <w:noWrap/>
          </w:tcPr>
          <w:p w14:paraId="532E6CA9" w14:textId="77777777" w:rsidR="00DE4516" w:rsidRPr="00A46ADC" w:rsidRDefault="00DE4516" w:rsidP="00DE4516">
            <w:pPr>
              <w:pStyle w:val="TableBody"/>
              <w:autoSpaceDE w:val="0"/>
              <w:autoSpaceDN w:val="0"/>
              <w:adjustRightInd w:val="0"/>
              <w:ind w:right="227"/>
              <w:jc w:val="right"/>
              <w:rPr>
                <w:bCs/>
                <w:szCs w:val="16"/>
              </w:rPr>
            </w:pPr>
            <w:r w:rsidRPr="00A46ADC">
              <w:t>2.7</w:t>
            </w:r>
          </w:p>
        </w:tc>
      </w:tr>
      <w:tr w:rsidR="00DE4516" w:rsidRPr="00225231" w14:paraId="2D9D5D4A" w14:textId="77777777" w:rsidTr="002C718D">
        <w:trPr>
          <w:cantSplit/>
          <w:trHeight w:val="20"/>
          <w:jc w:val="center"/>
        </w:trPr>
        <w:tc>
          <w:tcPr>
            <w:tcW w:w="3084" w:type="dxa"/>
            <w:noWrap/>
          </w:tcPr>
          <w:p w14:paraId="4E40B868" w14:textId="77777777" w:rsidR="00DE4516" w:rsidRPr="00A46ADC" w:rsidRDefault="00DE4516" w:rsidP="00DE4516">
            <w:pPr>
              <w:pStyle w:val="TableBody"/>
              <w:autoSpaceDE w:val="0"/>
              <w:autoSpaceDN w:val="0"/>
              <w:adjustRightInd w:val="0"/>
              <w:jc w:val="both"/>
              <w:rPr>
                <w:b/>
                <w:bCs/>
                <w:szCs w:val="16"/>
              </w:rPr>
            </w:pPr>
            <w:r w:rsidRPr="00A46ADC">
              <w:rPr>
                <w:b/>
              </w:rPr>
              <w:t>HS 25-97</w:t>
            </w:r>
          </w:p>
        </w:tc>
        <w:tc>
          <w:tcPr>
            <w:tcW w:w="1023" w:type="dxa"/>
            <w:noWrap/>
          </w:tcPr>
          <w:p w14:paraId="23EF3B42" w14:textId="77777777" w:rsidR="00DE4516" w:rsidRPr="00A46ADC" w:rsidRDefault="00DE4516" w:rsidP="00DE4516">
            <w:pPr>
              <w:pStyle w:val="TableBody"/>
              <w:autoSpaceDE w:val="0"/>
              <w:autoSpaceDN w:val="0"/>
              <w:adjustRightInd w:val="0"/>
              <w:ind w:right="113"/>
              <w:jc w:val="right"/>
              <w:rPr>
                <w:bCs/>
                <w:szCs w:val="16"/>
              </w:rPr>
            </w:pPr>
            <w:r w:rsidRPr="00A46ADC">
              <w:t>6,092</w:t>
            </w:r>
          </w:p>
        </w:tc>
        <w:tc>
          <w:tcPr>
            <w:tcW w:w="990" w:type="dxa"/>
            <w:noWrap/>
          </w:tcPr>
          <w:p w14:paraId="2BC125C6" w14:textId="77777777" w:rsidR="00DE4516" w:rsidRPr="00A46ADC" w:rsidRDefault="00DE4516" w:rsidP="00DE4516">
            <w:pPr>
              <w:pStyle w:val="TableBody"/>
              <w:autoSpaceDE w:val="0"/>
              <w:autoSpaceDN w:val="0"/>
              <w:adjustRightInd w:val="0"/>
              <w:ind w:right="227"/>
              <w:jc w:val="right"/>
              <w:rPr>
                <w:bCs/>
                <w:szCs w:val="16"/>
              </w:rPr>
            </w:pPr>
            <w:r w:rsidRPr="00A46ADC">
              <w:t>4.7</w:t>
            </w:r>
          </w:p>
        </w:tc>
        <w:tc>
          <w:tcPr>
            <w:tcW w:w="994" w:type="dxa"/>
            <w:noWrap/>
          </w:tcPr>
          <w:p w14:paraId="2BD2EBC1" w14:textId="77777777" w:rsidR="00DE4516" w:rsidRPr="00A46ADC" w:rsidRDefault="00DE4516" w:rsidP="00DE4516">
            <w:pPr>
              <w:pStyle w:val="TableBody"/>
              <w:autoSpaceDE w:val="0"/>
              <w:autoSpaceDN w:val="0"/>
              <w:adjustRightInd w:val="0"/>
              <w:ind w:right="113"/>
              <w:jc w:val="right"/>
              <w:rPr>
                <w:bCs/>
                <w:szCs w:val="16"/>
              </w:rPr>
            </w:pPr>
            <w:r w:rsidRPr="00A46ADC">
              <w:t>0-100</w:t>
            </w:r>
          </w:p>
        </w:tc>
        <w:tc>
          <w:tcPr>
            <w:tcW w:w="850" w:type="dxa"/>
            <w:noWrap/>
          </w:tcPr>
          <w:p w14:paraId="55AB2840" w14:textId="77777777" w:rsidR="00DE4516" w:rsidRPr="00A46ADC" w:rsidRDefault="00DE4516" w:rsidP="00DE4516">
            <w:pPr>
              <w:pStyle w:val="TableBody"/>
              <w:autoSpaceDE w:val="0"/>
              <w:autoSpaceDN w:val="0"/>
              <w:adjustRightInd w:val="0"/>
              <w:ind w:right="170"/>
              <w:jc w:val="right"/>
              <w:rPr>
                <w:bCs/>
                <w:szCs w:val="16"/>
              </w:rPr>
            </w:pPr>
            <w:r w:rsidRPr="00A46ADC">
              <w:t>2.8</w:t>
            </w:r>
          </w:p>
        </w:tc>
        <w:tc>
          <w:tcPr>
            <w:tcW w:w="1133" w:type="dxa"/>
          </w:tcPr>
          <w:p w14:paraId="2233F0A0" w14:textId="77777777" w:rsidR="00DE4516" w:rsidRPr="00A46ADC" w:rsidRDefault="00DE4516" w:rsidP="00DE4516">
            <w:pPr>
              <w:pStyle w:val="TableBody"/>
              <w:autoSpaceDE w:val="0"/>
              <w:autoSpaceDN w:val="0"/>
              <w:adjustRightInd w:val="0"/>
              <w:ind w:right="284"/>
              <w:jc w:val="right"/>
              <w:rPr>
                <w:bCs/>
                <w:szCs w:val="16"/>
              </w:rPr>
            </w:pPr>
            <w:r w:rsidRPr="00A46ADC">
              <w:t>8.1</w:t>
            </w:r>
          </w:p>
        </w:tc>
        <w:tc>
          <w:tcPr>
            <w:tcW w:w="992" w:type="dxa"/>
            <w:noWrap/>
          </w:tcPr>
          <w:p w14:paraId="3DA2E7A4" w14:textId="77777777" w:rsidR="00DE4516" w:rsidRPr="00A46ADC" w:rsidRDefault="00DE4516" w:rsidP="00DE4516">
            <w:pPr>
              <w:pStyle w:val="TableBody"/>
              <w:autoSpaceDE w:val="0"/>
              <w:autoSpaceDN w:val="0"/>
              <w:adjustRightInd w:val="0"/>
              <w:ind w:right="227"/>
              <w:jc w:val="right"/>
              <w:rPr>
                <w:bCs/>
                <w:szCs w:val="16"/>
              </w:rPr>
            </w:pPr>
            <w:r w:rsidRPr="00A46ADC">
              <w:t>0.4</w:t>
            </w:r>
          </w:p>
        </w:tc>
      </w:tr>
      <w:tr w:rsidR="00DE4516" w:rsidRPr="00225231" w14:paraId="426300A7" w14:textId="77777777" w:rsidTr="002C718D">
        <w:trPr>
          <w:cantSplit/>
          <w:trHeight w:val="20"/>
          <w:jc w:val="center"/>
        </w:trPr>
        <w:tc>
          <w:tcPr>
            <w:tcW w:w="3084" w:type="dxa"/>
            <w:shd w:val="clear" w:color="auto" w:fill="C9DED4"/>
            <w:noWrap/>
            <w:hideMark/>
          </w:tcPr>
          <w:p w14:paraId="0910AA24" w14:textId="77777777" w:rsidR="00DE4516" w:rsidRPr="00A46ADC" w:rsidRDefault="00DE4516" w:rsidP="00DE4516">
            <w:pPr>
              <w:pStyle w:val="TableBody"/>
              <w:autoSpaceDE w:val="0"/>
              <w:autoSpaceDN w:val="0"/>
              <w:adjustRightInd w:val="0"/>
              <w:jc w:val="both"/>
              <w:rPr>
                <w:b/>
                <w:bCs/>
                <w:szCs w:val="16"/>
              </w:rPr>
            </w:pPr>
            <w:r w:rsidRPr="00A46ADC">
              <w:rPr>
                <w:b/>
              </w:rPr>
              <w:t>By WTO category</w:t>
            </w:r>
          </w:p>
        </w:tc>
        <w:tc>
          <w:tcPr>
            <w:tcW w:w="1023" w:type="dxa"/>
            <w:shd w:val="clear" w:color="auto" w:fill="C9DED4"/>
            <w:noWrap/>
            <w:vAlign w:val="center"/>
          </w:tcPr>
          <w:p w14:paraId="5F5BDAC7" w14:textId="77777777" w:rsidR="00DE4516" w:rsidRPr="00A46ADC" w:rsidRDefault="00DE4516" w:rsidP="00DE4516">
            <w:pPr>
              <w:pStyle w:val="TableBody"/>
              <w:autoSpaceDE w:val="0"/>
              <w:autoSpaceDN w:val="0"/>
              <w:adjustRightInd w:val="0"/>
              <w:ind w:right="113"/>
              <w:jc w:val="right"/>
            </w:pPr>
          </w:p>
        </w:tc>
        <w:tc>
          <w:tcPr>
            <w:tcW w:w="990" w:type="dxa"/>
            <w:shd w:val="clear" w:color="auto" w:fill="C9DED4"/>
            <w:noWrap/>
            <w:vAlign w:val="center"/>
          </w:tcPr>
          <w:p w14:paraId="61E4EADE" w14:textId="77777777" w:rsidR="00DE4516" w:rsidRPr="00A46ADC" w:rsidRDefault="00DE4516" w:rsidP="00DE4516">
            <w:pPr>
              <w:pStyle w:val="TableBody"/>
              <w:autoSpaceDE w:val="0"/>
              <w:autoSpaceDN w:val="0"/>
              <w:adjustRightInd w:val="0"/>
              <w:ind w:right="227"/>
              <w:jc w:val="right"/>
            </w:pPr>
          </w:p>
        </w:tc>
        <w:tc>
          <w:tcPr>
            <w:tcW w:w="994" w:type="dxa"/>
            <w:shd w:val="clear" w:color="auto" w:fill="C9DED4"/>
            <w:noWrap/>
            <w:vAlign w:val="center"/>
          </w:tcPr>
          <w:p w14:paraId="26133A0A" w14:textId="77777777" w:rsidR="00DE4516" w:rsidRPr="00A46ADC" w:rsidRDefault="00DE4516" w:rsidP="00DE4516">
            <w:pPr>
              <w:pStyle w:val="TableBody"/>
              <w:autoSpaceDE w:val="0"/>
              <w:autoSpaceDN w:val="0"/>
              <w:adjustRightInd w:val="0"/>
              <w:ind w:right="113"/>
              <w:jc w:val="right"/>
            </w:pPr>
          </w:p>
        </w:tc>
        <w:tc>
          <w:tcPr>
            <w:tcW w:w="850" w:type="dxa"/>
            <w:shd w:val="clear" w:color="auto" w:fill="C9DED4"/>
            <w:noWrap/>
            <w:vAlign w:val="center"/>
          </w:tcPr>
          <w:p w14:paraId="4AA660FB" w14:textId="77777777" w:rsidR="00DE4516" w:rsidRPr="00A46ADC" w:rsidRDefault="00DE4516" w:rsidP="00DE4516">
            <w:pPr>
              <w:pStyle w:val="TableBody"/>
              <w:autoSpaceDE w:val="0"/>
              <w:autoSpaceDN w:val="0"/>
              <w:adjustRightInd w:val="0"/>
              <w:ind w:right="170"/>
              <w:jc w:val="right"/>
            </w:pPr>
          </w:p>
        </w:tc>
        <w:tc>
          <w:tcPr>
            <w:tcW w:w="1133" w:type="dxa"/>
            <w:shd w:val="clear" w:color="auto" w:fill="C9DED4"/>
            <w:vAlign w:val="center"/>
          </w:tcPr>
          <w:p w14:paraId="6BE364BB" w14:textId="77777777" w:rsidR="00DE4516" w:rsidRPr="00A46ADC" w:rsidRDefault="00DE4516" w:rsidP="00DE4516">
            <w:pPr>
              <w:pStyle w:val="TableBody"/>
              <w:autoSpaceDE w:val="0"/>
              <w:autoSpaceDN w:val="0"/>
              <w:adjustRightInd w:val="0"/>
              <w:ind w:right="284"/>
              <w:jc w:val="right"/>
            </w:pPr>
          </w:p>
        </w:tc>
        <w:tc>
          <w:tcPr>
            <w:tcW w:w="992" w:type="dxa"/>
            <w:shd w:val="clear" w:color="auto" w:fill="C9DED4"/>
            <w:noWrap/>
            <w:vAlign w:val="center"/>
          </w:tcPr>
          <w:p w14:paraId="0D9C5B30" w14:textId="77777777" w:rsidR="00DE4516" w:rsidRPr="00A46ADC" w:rsidRDefault="00DE4516" w:rsidP="00DE4516">
            <w:pPr>
              <w:pStyle w:val="TableBody"/>
              <w:autoSpaceDE w:val="0"/>
              <w:autoSpaceDN w:val="0"/>
              <w:adjustRightInd w:val="0"/>
              <w:ind w:right="227"/>
              <w:jc w:val="right"/>
            </w:pPr>
          </w:p>
        </w:tc>
      </w:tr>
      <w:tr w:rsidR="00DE4516" w:rsidRPr="00225231" w14:paraId="32CAE104" w14:textId="77777777" w:rsidTr="002C718D">
        <w:trPr>
          <w:cantSplit/>
          <w:trHeight w:val="20"/>
          <w:jc w:val="center"/>
        </w:trPr>
        <w:tc>
          <w:tcPr>
            <w:tcW w:w="3084" w:type="dxa"/>
            <w:noWrap/>
            <w:hideMark/>
          </w:tcPr>
          <w:p w14:paraId="6B1CD3B1" w14:textId="77777777" w:rsidR="00DE4516" w:rsidRPr="00A46ADC" w:rsidRDefault="00DE4516" w:rsidP="00DE4516">
            <w:pPr>
              <w:pStyle w:val="TableBody"/>
              <w:autoSpaceDE w:val="0"/>
              <w:autoSpaceDN w:val="0"/>
              <w:adjustRightInd w:val="0"/>
              <w:jc w:val="both"/>
              <w:rPr>
                <w:b/>
                <w:szCs w:val="16"/>
              </w:rPr>
            </w:pPr>
            <w:r w:rsidRPr="00A46ADC">
              <w:rPr>
                <w:b/>
              </w:rPr>
              <w:t>WTO agricultural products</w:t>
            </w:r>
          </w:p>
        </w:tc>
        <w:tc>
          <w:tcPr>
            <w:tcW w:w="1023" w:type="dxa"/>
            <w:noWrap/>
          </w:tcPr>
          <w:p w14:paraId="4BF22303" w14:textId="77777777" w:rsidR="00DE4516" w:rsidRPr="00A46ADC" w:rsidRDefault="00DE4516" w:rsidP="00DE4516">
            <w:pPr>
              <w:pStyle w:val="TableBody"/>
              <w:autoSpaceDE w:val="0"/>
              <w:autoSpaceDN w:val="0"/>
              <w:adjustRightInd w:val="0"/>
              <w:ind w:right="113"/>
              <w:jc w:val="right"/>
              <w:rPr>
                <w:szCs w:val="16"/>
              </w:rPr>
            </w:pPr>
            <w:r w:rsidRPr="00A46ADC">
              <w:t>1,252</w:t>
            </w:r>
          </w:p>
        </w:tc>
        <w:tc>
          <w:tcPr>
            <w:tcW w:w="990" w:type="dxa"/>
            <w:noWrap/>
          </w:tcPr>
          <w:p w14:paraId="233611B8" w14:textId="77777777" w:rsidR="00DE4516" w:rsidRPr="00A46ADC" w:rsidRDefault="00DE4516" w:rsidP="00DE4516">
            <w:pPr>
              <w:pStyle w:val="TableBody"/>
              <w:autoSpaceDE w:val="0"/>
              <w:autoSpaceDN w:val="0"/>
              <w:adjustRightInd w:val="0"/>
              <w:ind w:right="227"/>
              <w:jc w:val="right"/>
              <w:rPr>
                <w:szCs w:val="16"/>
              </w:rPr>
            </w:pPr>
            <w:r w:rsidRPr="00A46ADC">
              <w:t>10.2</w:t>
            </w:r>
          </w:p>
        </w:tc>
        <w:tc>
          <w:tcPr>
            <w:tcW w:w="994" w:type="dxa"/>
            <w:noWrap/>
          </w:tcPr>
          <w:p w14:paraId="6C527B56"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noWrap/>
          </w:tcPr>
          <w:p w14:paraId="335274A0" w14:textId="77777777" w:rsidR="00DE4516" w:rsidRPr="00A46ADC" w:rsidRDefault="00DE4516" w:rsidP="00DE4516">
            <w:pPr>
              <w:pStyle w:val="TableBody"/>
              <w:autoSpaceDE w:val="0"/>
              <w:autoSpaceDN w:val="0"/>
              <w:adjustRightInd w:val="0"/>
              <w:ind w:right="170"/>
              <w:jc w:val="right"/>
              <w:rPr>
                <w:szCs w:val="16"/>
              </w:rPr>
            </w:pPr>
            <w:r w:rsidRPr="00A46ADC">
              <w:t>23.8</w:t>
            </w:r>
          </w:p>
        </w:tc>
        <w:tc>
          <w:tcPr>
            <w:tcW w:w="1133" w:type="dxa"/>
          </w:tcPr>
          <w:p w14:paraId="7D50E4A1" w14:textId="77777777" w:rsidR="00DE4516" w:rsidRPr="00A46ADC" w:rsidRDefault="00DE4516" w:rsidP="00DE4516">
            <w:pPr>
              <w:pStyle w:val="TableBody"/>
              <w:autoSpaceDE w:val="0"/>
              <w:autoSpaceDN w:val="0"/>
              <w:adjustRightInd w:val="0"/>
              <w:ind w:right="284"/>
              <w:jc w:val="right"/>
              <w:rPr>
                <w:szCs w:val="16"/>
              </w:rPr>
            </w:pPr>
            <w:r w:rsidRPr="00A46ADC">
              <w:t>21.0</w:t>
            </w:r>
          </w:p>
        </w:tc>
        <w:tc>
          <w:tcPr>
            <w:tcW w:w="992" w:type="dxa"/>
            <w:noWrap/>
          </w:tcPr>
          <w:p w14:paraId="235FF1C5" w14:textId="77777777" w:rsidR="00DE4516" w:rsidRPr="00A46ADC" w:rsidRDefault="00DE4516" w:rsidP="00DE4516">
            <w:pPr>
              <w:pStyle w:val="TableBody"/>
              <w:autoSpaceDE w:val="0"/>
              <w:autoSpaceDN w:val="0"/>
              <w:adjustRightInd w:val="0"/>
              <w:ind w:right="227"/>
              <w:jc w:val="right"/>
              <w:rPr>
                <w:szCs w:val="16"/>
              </w:rPr>
            </w:pPr>
            <w:r w:rsidRPr="00A46ADC">
              <w:t>3.1</w:t>
            </w:r>
          </w:p>
        </w:tc>
      </w:tr>
      <w:tr w:rsidR="00DE4516" w:rsidRPr="00225231" w14:paraId="6820D790" w14:textId="77777777" w:rsidTr="002C718D">
        <w:trPr>
          <w:cantSplit/>
          <w:trHeight w:val="20"/>
          <w:jc w:val="center"/>
        </w:trPr>
        <w:tc>
          <w:tcPr>
            <w:tcW w:w="3084" w:type="dxa"/>
            <w:shd w:val="clear" w:color="auto" w:fill="C9DED4"/>
            <w:noWrap/>
            <w:hideMark/>
          </w:tcPr>
          <w:p w14:paraId="2C27371D" w14:textId="77777777" w:rsidR="00DE4516" w:rsidRPr="00A46ADC" w:rsidRDefault="00DE4516" w:rsidP="00DE4516">
            <w:pPr>
              <w:pStyle w:val="TableBody"/>
              <w:autoSpaceDE w:val="0"/>
              <w:autoSpaceDN w:val="0"/>
              <w:adjustRightInd w:val="0"/>
              <w:jc w:val="both"/>
              <w:rPr>
                <w:szCs w:val="16"/>
              </w:rPr>
            </w:pPr>
            <w:r w:rsidRPr="00A46ADC">
              <w:t>Animals and products thereof</w:t>
            </w:r>
          </w:p>
        </w:tc>
        <w:tc>
          <w:tcPr>
            <w:tcW w:w="1023" w:type="dxa"/>
            <w:shd w:val="clear" w:color="auto" w:fill="C9DED4"/>
            <w:noWrap/>
          </w:tcPr>
          <w:p w14:paraId="777A1325" w14:textId="77777777" w:rsidR="00DE4516" w:rsidRPr="00A46ADC" w:rsidRDefault="00DE4516" w:rsidP="00DE4516">
            <w:pPr>
              <w:pStyle w:val="TableBody"/>
              <w:autoSpaceDE w:val="0"/>
              <w:autoSpaceDN w:val="0"/>
              <w:adjustRightInd w:val="0"/>
              <w:ind w:right="113"/>
              <w:jc w:val="right"/>
              <w:rPr>
                <w:szCs w:val="16"/>
              </w:rPr>
            </w:pPr>
            <w:r w:rsidRPr="00A46ADC">
              <w:t>157</w:t>
            </w:r>
          </w:p>
        </w:tc>
        <w:tc>
          <w:tcPr>
            <w:tcW w:w="990" w:type="dxa"/>
            <w:shd w:val="clear" w:color="auto" w:fill="C9DED4"/>
            <w:noWrap/>
          </w:tcPr>
          <w:p w14:paraId="213D7AD0" w14:textId="77777777" w:rsidR="00DE4516" w:rsidRPr="00A46ADC" w:rsidRDefault="00DE4516" w:rsidP="00DE4516">
            <w:pPr>
              <w:pStyle w:val="TableBody"/>
              <w:autoSpaceDE w:val="0"/>
              <w:autoSpaceDN w:val="0"/>
              <w:adjustRightInd w:val="0"/>
              <w:ind w:right="227"/>
              <w:jc w:val="right"/>
              <w:rPr>
                <w:szCs w:val="16"/>
              </w:rPr>
            </w:pPr>
            <w:r w:rsidRPr="00A46ADC">
              <w:t>14.7</w:t>
            </w:r>
          </w:p>
        </w:tc>
        <w:tc>
          <w:tcPr>
            <w:tcW w:w="994" w:type="dxa"/>
            <w:shd w:val="clear" w:color="auto" w:fill="C9DED4"/>
            <w:noWrap/>
          </w:tcPr>
          <w:p w14:paraId="4E9D4784"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shd w:val="clear" w:color="auto" w:fill="C9DED4"/>
            <w:noWrap/>
          </w:tcPr>
          <w:p w14:paraId="02CD7783" w14:textId="77777777" w:rsidR="00DE4516" w:rsidRPr="00A46ADC" w:rsidRDefault="00DE4516" w:rsidP="00DE4516">
            <w:pPr>
              <w:pStyle w:val="TableBody"/>
              <w:autoSpaceDE w:val="0"/>
              <w:autoSpaceDN w:val="0"/>
              <w:adjustRightInd w:val="0"/>
              <w:ind w:right="170"/>
              <w:jc w:val="right"/>
              <w:rPr>
                <w:szCs w:val="16"/>
              </w:rPr>
            </w:pPr>
            <w:r w:rsidRPr="00A46ADC">
              <w:t>32.1</w:t>
            </w:r>
          </w:p>
        </w:tc>
        <w:tc>
          <w:tcPr>
            <w:tcW w:w="1133" w:type="dxa"/>
            <w:shd w:val="clear" w:color="auto" w:fill="C9DED4"/>
          </w:tcPr>
          <w:p w14:paraId="1F6E86ED" w14:textId="77777777" w:rsidR="00DE4516" w:rsidRPr="00A46ADC" w:rsidRDefault="00DE4516" w:rsidP="00DE4516">
            <w:pPr>
              <w:pStyle w:val="TableBody"/>
              <w:autoSpaceDE w:val="0"/>
              <w:autoSpaceDN w:val="0"/>
              <w:adjustRightInd w:val="0"/>
              <w:ind w:right="284"/>
              <w:jc w:val="right"/>
              <w:rPr>
                <w:szCs w:val="16"/>
              </w:rPr>
            </w:pPr>
            <w:r w:rsidRPr="00A46ADC">
              <w:t>40.1</w:t>
            </w:r>
          </w:p>
        </w:tc>
        <w:tc>
          <w:tcPr>
            <w:tcW w:w="992" w:type="dxa"/>
            <w:shd w:val="clear" w:color="auto" w:fill="C9DED4"/>
            <w:noWrap/>
          </w:tcPr>
          <w:p w14:paraId="6E3AFDA0" w14:textId="77777777" w:rsidR="00DE4516" w:rsidRPr="00A46ADC" w:rsidRDefault="00DE4516" w:rsidP="00DE4516">
            <w:pPr>
              <w:pStyle w:val="TableBody"/>
              <w:autoSpaceDE w:val="0"/>
              <w:autoSpaceDN w:val="0"/>
              <w:adjustRightInd w:val="0"/>
              <w:ind w:right="227"/>
              <w:jc w:val="right"/>
              <w:rPr>
                <w:szCs w:val="16"/>
              </w:rPr>
            </w:pPr>
            <w:r w:rsidRPr="00A46ADC">
              <w:t>1.9</w:t>
            </w:r>
          </w:p>
        </w:tc>
      </w:tr>
      <w:tr w:rsidR="00DE4516" w:rsidRPr="00225231" w14:paraId="0A83DF36" w14:textId="77777777" w:rsidTr="002C718D">
        <w:trPr>
          <w:cantSplit/>
          <w:trHeight w:val="20"/>
          <w:jc w:val="center"/>
        </w:trPr>
        <w:tc>
          <w:tcPr>
            <w:tcW w:w="3084" w:type="dxa"/>
            <w:noWrap/>
            <w:hideMark/>
          </w:tcPr>
          <w:p w14:paraId="4EFA93A4" w14:textId="77777777" w:rsidR="00DE4516" w:rsidRPr="00A46ADC" w:rsidRDefault="00DE4516" w:rsidP="00DE4516">
            <w:pPr>
              <w:pStyle w:val="TableBody"/>
              <w:autoSpaceDE w:val="0"/>
              <w:autoSpaceDN w:val="0"/>
              <w:adjustRightInd w:val="0"/>
              <w:jc w:val="both"/>
              <w:rPr>
                <w:szCs w:val="16"/>
              </w:rPr>
            </w:pPr>
            <w:r w:rsidRPr="00A46ADC">
              <w:t>Dairy products</w:t>
            </w:r>
          </w:p>
        </w:tc>
        <w:tc>
          <w:tcPr>
            <w:tcW w:w="1023" w:type="dxa"/>
            <w:noWrap/>
          </w:tcPr>
          <w:p w14:paraId="7DFEDCBB" w14:textId="77777777" w:rsidR="00DE4516" w:rsidRPr="00A46ADC" w:rsidRDefault="00DE4516" w:rsidP="00DE4516">
            <w:pPr>
              <w:pStyle w:val="TableBody"/>
              <w:autoSpaceDE w:val="0"/>
              <w:autoSpaceDN w:val="0"/>
              <w:adjustRightInd w:val="0"/>
              <w:ind w:right="113"/>
              <w:jc w:val="right"/>
              <w:rPr>
                <w:szCs w:val="16"/>
              </w:rPr>
            </w:pPr>
            <w:r w:rsidRPr="00A46ADC">
              <w:t>44</w:t>
            </w:r>
          </w:p>
        </w:tc>
        <w:tc>
          <w:tcPr>
            <w:tcW w:w="990" w:type="dxa"/>
            <w:noWrap/>
          </w:tcPr>
          <w:p w14:paraId="3566F030" w14:textId="77777777" w:rsidR="00DE4516" w:rsidRPr="00A46ADC" w:rsidRDefault="00DE4516" w:rsidP="00DE4516">
            <w:pPr>
              <w:pStyle w:val="TableBody"/>
              <w:autoSpaceDE w:val="0"/>
              <w:autoSpaceDN w:val="0"/>
              <w:adjustRightInd w:val="0"/>
              <w:ind w:right="227"/>
              <w:jc w:val="right"/>
              <w:rPr>
                <w:szCs w:val="16"/>
              </w:rPr>
            </w:pPr>
            <w:r w:rsidRPr="00A46ADC">
              <w:t>5.0</w:t>
            </w:r>
          </w:p>
        </w:tc>
        <w:tc>
          <w:tcPr>
            <w:tcW w:w="994" w:type="dxa"/>
            <w:noWrap/>
          </w:tcPr>
          <w:p w14:paraId="49193DD3" w14:textId="77777777" w:rsidR="00DE4516" w:rsidRPr="00A46ADC" w:rsidRDefault="00DE4516" w:rsidP="00DE4516">
            <w:pPr>
              <w:pStyle w:val="TableBody"/>
              <w:autoSpaceDE w:val="0"/>
              <w:autoSpaceDN w:val="0"/>
              <w:adjustRightInd w:val="0"/>
              <w:ind w:right="113"/>
              <w:jc w:val="right"/>
              <w:rPr>
                <w:szCs w:val="16"/>
              </w:rPr>
            </w:pPr>
            <w:r w:rsidRPr="00A46ADC">
              <w:t>5</w:t>
            </w:r>
          </w:p>
        </w:tc>
        <w:tc>
          <w:tcPr>
            <w:tcW w:w="850" w:type="dxa"/>
            <w:noWrap/>
          </w:tcPr>
          <w:p w14:paraId="6865A011" w14:textId="77777777" w:rsidR="00DE4516" w:rsidRPr="00A46ADC" w:rsidRDefault="00DE4516" w:rsidP="00DE4516">
            <w:pPr>
              <w:pStyle w:val="TableBody"/>
              <w:autoSpaceDE w:val="0"/>
              <w:autoSpaceDN w:val="0"/>
              <w:adjustRightInd w:val="0"/>
              <w:ind w:right="170"/>
              <w:jc w:val="right"/>
              <w:rPr>
                <w:szCs w:val="16"/>
              </w:rPr>
            </w:pPr>
            <w:r w:rsidRPr="00A46ADC">
              <w:t>0.0</w:t>
            </w:r>
          </w:p>
        </w:tc>
        <w:tc>
          <w:tcPr>
            <w:tcW w:w="1133" w:type="dxa"/>
          </w:tcPr>
          <w:p w14:paraId="1DBA92E8" w14:textId="77777777" w:rsidR="00DE4516" w:rsidRPr="00A46ADC" w:rsidRDefault="00DE4516" w:rsidP="00DE4516">
            <w:pPr>
              <w:pStyle w:val="TableBody"/>
              <w:autoSpaceDE w:val="0"/>
              <w:autoSpaceDN w:val="0"/>
              <w:adjustRightInd w:val="0"/>
              <w:ind w:right="284"/>
              <w:jc w:val="right"/>
              <w:rPr>
                <w:szCs w:val="16"/>
              </w:rPr>
            </w:pPr>
            <w:r w:rsidRPr="00A46ADC">
              <w:t>0.0</w:t>
            </w:r>
          </w:p>
        </w:tc>
        <w:tc>
          <w:tcPr>
            <w:tcW w:w="992" w:type="dxa"/>
            <w:noWrap/>
          </w:tcPr>
          <w:p w14:paraId="19A282E2"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37681A8F" w14:textId="77777777" w:rsidTr="002C718D">
        <w:trPr>
          <w:cantSplit/>
          <w:trHeight w:val="20"/>
          <w:jc w:val="center"/>
        </w:trPr>
        <w:tc>
          <w:tcPr>
            <w:tcW w:w="3084" w:type="dxa"/>
            <w:shd w:val="clear" w:color="auto" w:fill="C9DED4"/>
            <w:noWrap/>
            <w:hideMark/>
          </w:tcPr>
          <w:p w14:paraId="0016DC8F" w14:textId="77777777" w:rsidR="00DE4516" w:rsidRPr="00A46ADC" w:rsidRDefault="00DE4516" w:rsidP="00DE4516">
            <w:pPr>
              <w:pStyle w:val="TableBody"/>
              <w:autoSpaceDE w:val="0"/>
              <w:autoSpaceDN w:val="0"/>
              <w:adjustRightInd w:val="0"/>
              <w:jc w:val="both"/>
              <w:rPr>
                <w:szCs w:val="16"/>
              </w:rPr>
            </w:pPr>
            <w:r w:rsidRPr="00A46ADC">
              <w:t>Fruit, vegetables, and plants</w:t>
            </w:r>
          </w:p>
        </w:tc>
        <w:tc>
          <w:tcPr>
            <w:tcW w:w="1023" w:type="dxa"/>
            <w:shd w:val="clear" w:color="auto" w:fill="C9DED4"/>
            <w:noWrap/>
          </w:tcPr>
          <w:p w14:paraId="0818076F" w14:textId="77777777" w:rsidR="00DE4516" w:rsidRPr="00A46ADC" w:rsidRDefault="00DE4516" w:rsidP="00DE4516">
            <w:pPr>
              <w:pStyle w:val="TableBody"/>
              <w:autoSpaceDE w:val="0"/>
              <w:autoSpaceDN w:val="0"/>
              <w:adjustRightInd w:val="0"/>
              <w:ind w:right="113"/>
              <w:jc w:val="right"/>
              <w:rPr>
                <w:szCs w:val="16"/>
              </w:rPr>
            </w:pPr>
            <w:r w:rsidRPr="00A46ADC">
              <w:t>365</w:t>
            </w:r>
          </w:p>
        </w:tc>
        <w:tc>
          <w:tcPr>
            <w:tcW w:w="990" w:type="dxa"/>
            <w:shd w:val="clear" w:color="auto" w:fill="C9DED4"/>
            <w:noWrap/>
          </w:tcPr>
          <w:p w14:paraId="1CE1EA9F" w14:textId="77777777" w:rsidR="00DE4516" w:rsidRPr="00A46ADC" w:rsidRDefault="00DE4516" w:rsidP="00DE4516">
            <w:pPr>
              <w:pStyle w:val="TableBody"/>
              <w:autoSpaceDE w:val="0"/>
              <w:autoSpaceDN w:val="0"/>
              <w:adjustRightInd w:val="0"/>
              <w:ind w:right="227"/>
              <w:jc w:val="right"/>
              <w:rPr>
                <w:szCs w:val="16"/>
              </w:rPr>
            </w:pPr>
            <w:r w:rsidRPr="00A46ADC">
              <w:t>7.0</w:t>
            </w:r>
          </w:p>
        </w:tc>
        <w:tc>
          <w:tcPr>
            <w:tcW w:w="994" w:type="dxa"/>
            <w:shd w:val="clear" w:color="auto" w:fill="C9DED4"/>
            <w:noWrap/>
          </w:tcPr>
          <w:p w14:paraId="21F286DC"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shd w:val="clear" w:color="auto" w:fill="C9DED4"/>
            <w:noWrap/>
          </w:tcPr>
          <w:p w14:paraId="702C76EB" w14:textId="77777777" w:rsidR="00DE4516" w:rsidRPr="00A46ADC" w:rsidRDefault="00DE4516" w:rsidP="00DE4516">
            <w:pPr>
              <w:pStyle w:val="TableBody"/>
              <w:autoSpaceDE w:val="0"/>
              <w:autoSpaceDN w:val="0"/>
              <w:adjustRightInd w:val="0"/>
              <w:ind w:right="170"/>
              <w:jc w:val="right"/>
              <w:rPr>
                <w:szCs w:val="16"/>
              </w:rPr>
            </w:pPr>
            <w:r w:rsidRPr="00A46ADC">
              <w:t>16.9</w:t>
            </w:r>
          </w:p>
        </w:tc>
        <w:tc>
          <w:tcPr>
            <w:tcW w:w="1133" w:type="dxa"/>
            <w:shd w:val="clear" w:color="auto" w:fill="C9DED4"/>
          </w:tcPr>
          <w:p w14:paraId="74DAFCC5" w14:textId="77777777" w:rsidR="00DE4516" w:rsidRPr="00A46ADC" w:rsidRDefault="00DE4516" w:rsidP="00DE4516">
            <w:pPr>
              <w:pStyle w:val="TableBody"/>
              <w:autoSpaceDE w:val="0"/>
              <w:autoSpaceDN w:val="0"/>
              <w:adjustRightInd w:val="0"/>
              <w:ind w:right="284"/>
              <w:jc w:val="right"/>
              <w:rPr>
                <w:szCs w:val="16"/>
              </w:rPr>
            </w:pPr>
            <w:r w:rsidRPr="00A46ADC">
              <w:t>23.8</w:t>
            </w:r>
          </w:p>
        </w:tc>
        <w:tc>
          <w:tcPr>
            <w:tcW w:w="992" w:type="dxa"/>
            <w:shd w:val="clear" w:color="auto" w:fill="C9DED4"/>
            <w:noWrap/>
          </w:tcPr>
          <w:p w14:paraId="102004E2" w14:textId="77777777" w:rsidR="00DE4516" w:rsidRPr="00A46ADC" w:rsidRDefault="00DE4516" w:rsidP="00DE4516">
            <w:pPr>
              <w:pStyle w:val="TableBody"/>
              <w:autoSpaceDE w:val="0"/>
              <w:autoSpaceDN w:val="0"/>
              <w:adjustRightInd w:val="0"/>
              <w:ind w:right="227"/>
              <w:jc w:val="right"/>
              <w:rPr>
                <w:szCs w:val="16"/>
              </w:rPr>
            </w:pPr>
            <w:r w:rsidRPr="00A46ADC">
              <w:t>2.5</w:t>
            </w:r>
          </w:p>
        </w:tc>
      </w:tr>
      <w:tr w:rsidR="00DE4516" w:rsidRPr="00225231" w14:paraId="0D3A7DE6" w14:textId="77777777" w:rsidTr="002C718D">
        <w:trPr>
          <w:cantSplit/>
          <w:trHeight w:val="20"/>
          <w:jc w:val="center"/>
        </w:trPr>
        <w:tc>
          <w:tcPr>
            <w:tcW w:w="3084" w:type="dxa"/>
            <w:noWrap/>
            <w:hideMark/>
          </w:tcPr>
          <w:p w14:paraId="2FCFAC3A" w14:textId="77777777" w:rsidR="00DE4516" w:rsidRPr="00A46ADC" w:rsidRDefault="00DE4516" w:rsidP="00DE4516">
            <w:pPr>
              <w:pStyle w:val="TableBody"/>
              <w:autoSpaceDE w:val="0"/>
              <w:autoSpaceDN w:val="0"/>
              <w:adjustRightInd w:val="0"/>
              <w:jc w:val="both"/>
              <w:rPr>
                <w:szCs w:val="16"/>
              </w:rPr>
            </w:pPr>
            <w:r w:rsidRPr="00A46ADC">
              <w:t>Coffee, tea, and cocoa and cocoa preparations</w:t>
            </w:r>
          </w:p>
        </w:tc>
        <w:tc>
          <w:tcPr>
            <w:tcW w:w="1023" w:type="dxa"/>
            <w:noWrap/>
          </w:tcPr>
          <w:p w14:paraId="4D0F0376" w14:textId="77777777" w:rsidR="00DE4516" w:rsidRPr="00A46ADC" w:rsidRDefault="00DE4516" w:rsidP="00DE4516">
            <w:pPr>
              <w:pStyle w:val="TableBody"/>
              <w:autoSpaceDE w:val="0"/>
              <w:autoSpaceDN w:val="0"/>
              <w:adjustRightInd w:val="0"/>
              <w:ind w:right="113"/>
              <w:jc w:val="right"/>
              <w:rPr>
                <w:szCs w:val="16"/>
              </w:rPr>
            </w:pPr>
            <w:r w:rsidRPr="00A46ADC">
              <w:t>38</w:t>
            </w:r>
          </w:p>
        </w:tc>
        <w:tc>
          <w:tcPr>
            <w:tcW w:w="990" w:type="dxa"/>
            <w:noWrap/>
          </w:tcPr>
          <w:p w14:paraId="5404B044" w14:textId="77777777" w:rsidR="00DE4516" w:rsidRPr="00A46ADC" w:rsidRDefault="00DE4516" w:rsidP="00DE4516">
            <w:pPr>
              <w:pStyle w:val="TableBody"/>
              <w:autoSpaceDE w:val="0"/>
              <w:autoSpaceDN w:val="0"/>
              <w:adjustRightInd w:val="0"/>
              <w:ind w:right="227"/>
              <w:jc w:val="right"/>
              <w:rPr>
                <w:szCs w:val="16"/>
              </w:rPr>
            </w:pPr>
            <w:r w:rsidRPr="00A46ADC">
              <w:t>8.7</w:t>
            </w:r>
          </w:p>
        </w:tc>
        <w:tc>
          <w:tcPr>
            <w:tcW w:w="994" w:type="dxa"/>
            <w:noWrap/>
          </w:tcPr>
          <w:p w14:paraId="52EAF7D8"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noWrap/>
          </w:tcPr>
          <w:p w14:paraId="1B32FCD4" w14:textId="77777777" w:rsidR="00DE4516" w:rsidRPr="00A46ADC" w:rsidRDefault="00DE4516" w:rsidP="00DE4516">
            <w:pPr>
              <w:pStyle w:val="TableBody"/>
              <w:autoSpaceDE w:val="0"/>
              <w:autoSpaceDN w:val="0"/>
              <w:adjustRightInd w:val="0"/>
              <w:ind w:right="170"/>
              <w:jc w:val="right"/>
              <w:rPr>
                <w:szCs w:val="16"/>
              </w:rPr>
            </w:pPr>
            <w:r w:rsidRPr="00A46ADC">
              <w:t>21.6</w:t>
            </w:r>
          </w:p>
        </w:tc>
        <w:tc>
          <w:tcPr>
            <w:tcW w:w="1133" w:type="dxa"/>
          </w:tcPr>
          <w:p w14:paraId="0E19FEF3" w14:textId="77777777" w:rsidR="00DE4516" w:rsidRPr="00A46ADC" w:rsidRDefault="00DE4516" w:rsidP="00DE4516">
            <w:pPr>
              <w:pStyle w:val="TableBody"/>
              <w:autoSpaceDE w:val="0"/>
              <w:autoSpaceDN w:val="0"/>
              <w:adjustRightInd w:val="0"/>
              <w:ind w:right="284"/>
              <w:jc w:val="right"/>
              <w:rPr>
                <w:szCs w:val="16"/>
              </w:rPr>
            </w:pPr>
            <w:r w:rsidRPr="00A46ADC">
              <w:t>26.3</w:t>
            </w:r>
          </w:p>
        </w:tc>
        <w:tc>
          <w:tcPr>
            <w:tcW w:w="992" w:type="dxa"/>
            <w:noWrap/>
          </w:tcPr>
          <w:p w14:paraId="16567105"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3F8B0210" w14:textId="77777777" w:rsidTr="002C718D">
        <w:trPr>
          <w:cantSplit/>
          <w:trHeight w:val="20"/>
          <w:jc w:val="center"/>
        </w:trPr>
        <w:tc>
          <w:tcPr>
            <w:tcW w:w="3084" w:type="dxa"/>
            <w:shd w:val="clear" w:color="auto" w:fill="C9DED4"/>
            <w:noWrap/>
            <w:hideMark/>
          </w:tcPr>
          <w:p w14:paraId="17FC930F" w14:textId="77777777" w:rsidR="00DE4516" w:rsidRPr="00A46ADC" w:rsidRDefault="00DE4516" w:rsidP="00DE4516">
            <w:pPr>
              <w:pStyle w:val="TableBody"/>
              <w:autoSpaceDE w:val="0"/>
              <w:autoSpaceDN w:val="0"/>
              <w:adjustRightInd w:val="0"/>
              <w:jc w:val="both"/>
              <w:rPr>
                <w:szCs w:val="16"/>
              </w:rPr>
            </w:pPr>
            <w:r w:rsidRPr="00A46ADC">
              <w:t>Cereals and preparations</w:t>
            </w:r>
          </w:p>
        </w:tc>
        <w:tc>
          <w:tcPr>
            <w:tcW w:w="1023" w:type="dxa"/>
            <w:shd w:val="clear" w:color="auto" w:fill="C9DED4"/>
            <w:noWrap/>
          </w:tcPr>
          <w:p w14:paraId="4FA26A42" w14:textId="77777777" w:rsidR="00DE4516" w:rsidRPr="00A46ADC" w:rsidRDefault="00DE4516" w:rsidP="00DE4516">
            <w:pPr>
              <w:pStyle w:val="TableBody"/>
              <w:autoSpaceDE w:val="0"/>
              <w:autoSpaceDN w:val="0"/>
              <w:adjustRightInd w:val="0"/>
              <w:ind w:right="113"/>
              <w:jc w:val="right"/>
              <w:rPr>
                <w:szCs w:val="16"/>
              </w:rPr>
            </w:pPr>
            <w:r w:rsidRPr="00A46ADC">
              <w:t>191</w:t>
            </w:r>
          </w:p>
        </w:tc>
        <w:tc>
          <w:tcPr>
            <w:tcW w:w="990" w:type="dxa"/>
            <w:shd w:val="clear" w:color="auto" w:fill="C9DED4"/>
            <w:noWrap/>
          </w:tcPr>
          <w:p w14:paraId="24D34E94" w14:textId="77777777" w:rsidR="00DE4516" w:rsidRPr="00A46ADC" w:rsidRDefault="00DE4516" w:rsidP="00DE4516">
            <w:pPr>
              <w:pStyle w:val="TableBody"/>
              <w:autoSpaceDE w:val="0"/>
              <w:autoSpaceDN w:val="0"/>
              <w:adjustRightInd w:val="0"/>
              <w:ind w:right="227"/>
              <w:jc w:val="right"/>
              <w:rPr>
                <w:szCs w:val="16"/>
              </w:rPr>
            </w:pPr>
            <w:r w:rsidRPr="00A46ADC">
              <w:t>3.6</w:t>
            </w:r>
          </w:p>
        </w:tc>
        <w:tc>
          <w:tcPr>
            <w:tcW w:w="994" w:type="dxa"/>
            <w:shd w:val="clear" w:color="auto" w:fill="C9DED4"/>
            <w:noWrap/>
          </w:tcPr>
          <w:p w14:paraId="597A4D1F"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shd w:val="clear" w:color="auto" w:fill="C9DED4"/>
            <w:noWrap/>
          </w:tcPr>
          <w:p w14:paraId="43ED716F" w14:textId="77777777" w:rsidR="00DE4516" w:rsidRPr="00A46ADC" w:rsidRDefault="00DE4516" w:rsidP="00DE4516">
            <w:pPr>
              <w:pStyle w:val="TableBody"/>
              <w:autoSpaceDE w:val="0"/>
              <w:autoSpaceDN w:val="0"/>
              <w:adjustRightInd w:val="0"/>
              <w:ind w:right="170"/>
              <w:jc w:val="right"/>
              <w:rPr>
                <w:szCs w:val="16"/>
              </w:rPr>
            </w:pPr>
            <w:r w:rsidRPr="00A46ADC">
              <w:t>2.3</w:t>
            </w:r>
          </w:p>
        </w:tc>
        <w:tc>
          <w:tcPr>
            <w:tcW w:w="1133" w:type="dxa"/>
            <w:shd w:val="clear" w:color="auto" w:fill="C9DED4"/>
          </w:tcPr>
          <w:p w14:paraId="07257AA2" w14:textId="77777777" w:rsidR="00DE4516" w:rsidRPr="00A46ADC" w:rsidRDefault="00DE4516" w:rsidP="00DE4516">
            <w:pPr>
              <w:pStyle w:val="TableBody"/>
              <w:autoSpaceDE w:val="0"/>
              <w:autoSpaceDN w:val="0"/>
              <w:adjustRightInd w:val="0"/>
              <w:ind w:right="284"/>
              <w:jc w:val="right"/>
              <w:rPr>
                <w:szCs w:val="16"/>
              </w:rPr>
            </w:pPr>
            <w:r w:rsidRPr="00A46ADC">
              <w:t>28.8</w:t>
            </w:r>
          </w:p>
        </w:tc>
        <w:tc>
          <w:tcPr>
            <w:tcW w:w="992" w:type="dxa"/>
            <w:shd w:val="clear" w:color="auto" w:fill="C9DED4"/>
            <w:noWrap/>
          </w:tcPr>
          <w:p w14:paraId="43DE3B05"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2E44D7BE" w14:textId="77777777" w:rsidTr="002C718D">
        <w:trPr>
          <w:cantSplit/>
          <w:trHeight w:val="20"/>
          <w:jc w:val="center"/>
        </w:trPr>
        <w:tc>
          <w:tcPr>
            <w:tcW w:w="3084" w:type="dxa"/>
            <w:noWrap/>
            <w:hideMark/>
          </w:tcPr>
          <w:p w14:paraId="52DAF215" w14:textId="77777777" w:rsidR="00DE4516" w:rsidRPr="00A46ADC" w:rsidRDefault="00DE4516" w:rsidP="00DE4516">
            <w:pPr>
              <w:pStyle w:val="TableBody"/>
              <w:autoSpaceDE w:val="0"/>
              <w:autoSpaceDN w:val="0"/>
              <w:adjustRightInd w:val="0"/>
              <w:jc w:val="both"/>
              <w:rPr>
                <w:szCs w:val="16"/>
              </w:rPr>
            </w:pPr>
            <w:r w:rsidRPr="00A46ADC">
              <w:t xml:space="preserve">Oils seeds, fats, </w:t>
            </w:r>
            <w:proofErr w:type="gramStart"/>
            <w:r w:rsidRPr="00A46ADC">
              <w:t>oil</w:t>
            </w:r>
            <w:proofErr w:type="gramEnd"/>
            <w:r w:rsidRPr="00A46ADC">
              <w:t xml:space="preserve"> and their products</w:t>
            </w:r>
          </w:p>
        </w:tc>
        <w:tc>
          <w:tcPr>
            <w:tcW w:w="1023" w:type="dxa"/>
            <w:noWrap/>
          </w:tcPr>
          <w:p w14:paraId="3485FA67" w14:textId="77777777" w:rsidR="00DE4516" w:rsidRPr="00A46ADC" w:rsidRDefault="00DE4516" w:rsidP="00DE4516">
            <w:pPr>
              <w:pStyle w:val="TableBody"/>
              <w:autoSpaceDE w:val="0"/>
              <w:autoSpaceDN w:val="0"/>
              <w:adjustRightInd w:val="0"/>
              <w:ind w:right="113"/>
              <w:jc w:val="right"/>
              <w:rPr>
                <w:szCs w:val="16"/>
              </w:rPr>
            </w:pPr>
            <w:r w:rsidRPr="00A46ADC">
              <w:t>101</w:t>
            </w:r>
          </w:p>
        </w:tc>
        <w:tc>
          <w:tcPr>
            <w:tcW w:w="990" w:type="dxa"/>
            <w:noWrap/>
          </w:tcPr>
          <w:p w14:paraId="12E4150B" w14:textId="77777777" w:rsidR="00DE4516" w:rsidRPr="00A46ADC" w:rsidRDefault="00DE4516" w:rsidP="00DE4516">
            <w:pPr>
              <w:pStyle w:val="TableBody"/>
              <w:autoSpaceDE w:val="0"/>
              <w:autoSpaceDN w:val="0"/>
              <w:adjustRightInd w:val="0"/>
              <w:ind w:right="227"/>
              <w:jc w:val="right"/>
              <w:rPr>
                <w:szCs w:val="16"/>
              </w:rPr>
            </w:pPr>
            <w:r w:rsidRPr="00A46ADC">
              <w:t>10.6</w:t>
            </w:r>
          </w:p>
        </w:tc>
        <w:tc>
          <w:tcPr>
            <w:tcW w:w="994" w:type="dxa"/>
            <w:noWrap/>
          </w:tcPr>
          <w:p w14:paraId="5307EF62"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noWrap/>
          </w:tcPr>
          <w:p w14:paraId="727758C4" w14:textId="77777777" w:rsidR="00DE4516" w:rsidRPr="00A46ADC" w:rsidRDefault="00DE4516" w:rsidP="00DE4516">
            <w:pPr>
              <w:pStyle w:val="TableBody"/>
              <w:autoSpaceDE w:val="0"/>
              <w:autoSpaceDN w:val="0"/>
              <w:adjustRightInd w:val="0"/>
              <w:ind w:right="170"/>
              <w:jc w:val="right"/>
              <w:rPr>
                <w:szCs w:val="16"/>
              </w:rPr>
            </w:pPr>
            <w:r w:rsidRPr="00A46ADC">
              <w:t>22.8</w:t>
            </w:r>
          </w:p>
        </w:tc>
        <w:tc>
          <w:tcPr>
            <w:tcW w:w="1133" w:type="dxa"/>
          </w:tcPr>
          <w:p w14:paraId="6795530F" w14:textId="77777777" w:rsidR="00DE4516" w:rsidRPr="00A46ADC" w:rsidRDefault="00DE4516" w:rsidP="00DE4516">
            <w:pPr>
              <w:pStyle w:val="TableBody"/>
              <w:autoSpaceDE w:val="0"/>
              <w:autoSpaceDN w:val="0"/>
              <w:adjustRightInd w:val="0"/>
              <w:ind w:right="284"/>
              <w:jc w:val="right"/>
              <w:rPr>
                <w:szCs w:val="16"/>
              </w:rPr>
            </w:pPr>
            <w:r w:rsidRPr="00A46ADC">
              <w:t>4.0</w:t>
            </w:r>
          </w:p>
        </w:tc>
        <w:tc>
          <w:tcPr>
            <w:tcW w:w="992" w:type="dxa"/>
            <w:noWrap/>
          </w:tcPr>
          <w:p w14:paraId="66A04A07" w14:textId="77777777" w:rsidR="00DE4516" w:rsidRPr="00A46ADC" w:rsidRDefault="00DE4516" w:rsidP="00DE4516">
            <w:pPr>
              <w:pStyle w:val="TableBody"/>
              <w:autoSpaceDE w:val="0"/>
              <w:autoSpaceDN w:val="0"/>
              <w:adjustRightInd w:val="0"/>
              <w:ind w:right="227"/>
              <w:jc w:val="right"/>
              <w:rPr>
                <w:szCs w:val="16"/>
              </w:rPr>
            </w:pPr>
            <w:r w:rsidRPr="00A46ADC">
              <w:t>3.0</w:t>
            </w:r>
          </w:p>
        </w:tc>
      </w:tr>
      <w:tr w:rsidR="00DE4516" w:rsidRPr="00225231" w14:paraId="1AD57E9D" w14:textId="77777777" w:rsidTr="002C718D">
        <w:trPr>
          <w:cantSplit/>
          <w:trHeight w:val="20"/>
          <w:jc w:val="center"/>
        </w:trPr>
        <w:tc>
          <w:tcPr>
            <w:tcW w:w="3084" w:type="dxa"/>
            <w:shd w:val="clear" w:color="auto" w:fill="C9DED4"/>
            <w:noWrap/>
            <w:hideMark/>
          </w:tcPr>
          <w:p w14:paraId="22156EC4" w14:textId="77777777" w:rsidR="00DE4516" w:rsidRPr="00A46ADC" w:rsidRDefault="00DE4516" w:rsidP="00DE4516">
            <w:pPr>
              <w:pStyle w:val="TableBody"/>
              <w:autoSpaceDE w:val="0"/>
              <w:autoSpaceDN w:val="0"/>
              <w:adjustRightInd w:val="0"/>
              <w:jc w:val="both"/>
              <w:rPr>
                <w:szCs w:val="16"/>
              </w:rPr>
            </w:pPr>
            <w:r w:rsidRPr="00A46ADC">
              <w:t>Sugars and confectionery</w:t>
            </w:r>
          </w:p>
        </w:tc>
        <w:tc>
          <w:tcPr>
            <w:tcW w:w="1023" w:type="dxa"/>
            <w:shd w:val="clear" w:color="auto" w:fill="C9DED4"/>
            <w:noWrap/>
          </w:tcPr>
          <w:p w14:paraId="2B470768" w14:textId="77777777" w:rsidR="00DE4516" w:rsidRPr="00A46ADC" w:rsidRDefault="00DE4516" w:rsidP="00DE4516">
            <w:pPr>
              <w:pStyle w:val="TableBody"/>
              <w:autoSpaceDE w:val="0"/>
              <w:autoSpaceDN w:val="0"/>
              <w:adjustRightInd w:val="0"/>
              <w:ind w:right="113"/>
              <w:jc w:val="right"/>
              <w:rPr>
                <w:szCs w:val="16"/>
              </w:rPr>
            </w:pPr>
            <w:r w:rsidRPr="00A46ADC">
              <w:t>40</w:t>
            </w:r>
          </w:p>
        </w:tc>
        <w:tc>
          <w:tcPr>
            <w:tcW w:w="990" w:type="dxa"/>
            <w:shd w:val="clear" w:color="auto" w:fill="C9DED4"/>
            <w:noWrap/>
          </w:tcPr>
          <w:p w14:paraId="5EF3EF14" w14:textId="77777777" w:rsidR="00DE4516" w:rsidRPr="00A46ADC" w:rsidRDefault="00DE4516" w:rsidP="00DE4516">
            <w:pPr>
              <w:pStyle w:val="TableBody"/>
              <w:autoSpaceDE w:val="0"/>
              <w:autoSpaceDN w:val="0"/>
              <w:adjustRightInd w:val="0"/>
              <w:ind w:right="227"/>
              <w:jc w:val="right"/>
              <w:rPr>
                <w:szCs w:val="16"/>
              </w:rPr>
            </w:pPr>
            <w:r w:rsidRPr="00A46ADC">
              <w:t>5.8</w:t>
            </w:r>
          </w:p>
        </w:tc>
        <w:tc>
          <w:tcPr>
            <w:tcW w:w="994" w:type="dxa"/>
            <w:shd w:val="clear" w:color="auto" w:fill="C9DED4"/>
            <w:noWrap/>
          </w:tcPr>
          <w:p w14:paraId="4F27CB59"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shd w:val="clear" w:color="auto" w:fill="C9DED4"/>
            <w:noWrap/>
          </w:tcPr>
          <w:p w14:paraId="44B1038D" w14:textId="77777777" w:rsidR="00DE4516" w:rsidRPr="00A46ADC" w:rsidRDefault="00DE4516" w:rsidP="00DE4516">
            <w:pPr>
              <w:pStyle w:val="TableBody"/>
              <w:autoSpaceDE w:val="0"/>
              <w:autoSpaceDN w:val="0"/>
              <w:adjustRightInd w:val="0"/>
              <w:ind w:right="170"/>
              <w:jc w:val="right"/>
              <w:rPr>
                <w:szCs w:val="16"/>
              </w:rPr>
            </w:pPr>
            <w:r w:rsidRPr="00A46ADC">
              <w:t>15.3</w:t>
            </w:r>
          </w:p>
        </w:tc>
        <w:tc>
          <w:tcPr>
            <w:tcW w:w="1133" w:type="dxa"/>
            <w:shd w:val="clear" w:color="auto" w:fill="C9DED4"/>
          </w:tcPr>
          <w:p w14:paraId="55E2197B" w14:textId="77777777" w:rsidR="00DE4516" w:rsidRPr="00A46ADC" w:rsidRDefault="00DE4516" w:rsidP="00DE4516">
            <w:pPr>
              <w:pStyle w:val="TableBody"/>
              <w:autoSpaceDE w:val="0"/>
              <w:autoSpaceDN w:val="0"/>
              <w:adjustRightInd w:val="0"/>
              <w:ind w:right="284"/>
              <w:jc w:val="right"/>
              <w:rPr>
                <w:szCs w:val="16"/>
              </w:rPr>
            </w:pPr>
            <w:r w:rsidRPr="00A46ADC">
              <w:t>32.5</w:t>
            </w:r>
          </w:p>
        </w:tc>
        <w:tc>
          <w:tcPr>
            <w:tcW w:w="992" w:type="dxa"/>
            <w:shd w:val="clear" w:color="auto" w:fill="C9DED4"/>
            <w:noWrap/>
          </w:tcPr>
          <w:p w14:paraId="5DF854AE"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6E23B8E5" w14:textId="77777777" w:rsidTr="002C718D">
        <w:trPr>
          <w:cantSplit/>
          <w:trHeight w:val="20"/>
          <w:jc w:val="center"/>
        </w:trPr>
        <w:tc>
          <w:tcPr>
            <w:tcW w:w="3084" w:type="dxa"/>
            <w:noWrap/>
            <w:hideMark/>
          </w:tcPr>
          <w:p w14:paraId="0B6719FD" w14:textId="77777777" w:rsidR="00DE4516" w:rsidRPr="00A46ADC" w:rsidRDefault="00DE4516" w:rsidP="00DE4516">
            <w:pPr>
              <w:pStyle w:val="TableBody"/>
              <w:autoSpaceDE w:val="0"/>
              <w:autoSpaceDN w:val="0"/>
              <w:adjustRightInd w:val="0"/>
              <w:jc w:val="both"/>
              <w:rPr>
                <w:szCs w:val="16"/>
              </w:rPr>
            </w:pPr>
            <w:r w:rsidRPr="00A46ADC">
              <w:t xml:space="preserve">Beverages, </w:t>
            </w:r>
            <w:proofErr w:type="gramStart"/>
            <w:r w:rsidRPr="00A46ADC">
              <w:t>spirits</w:t>
            </w:r>
            <w:proofErr w:type="gramEnd"/>
            <w:r w:rsidRPr="00A46ADC">
              <w:t xml:space="preserve"> and tobacco</w:t>
            </w:r>
          </w:p>
        </w:tc>
        <w:tc>
          <w:tcPr>
            <w:tcW w:w="1023" w:type="dxa"/>
            <w:noWrap/>
          </w:tcPr>
          <w:p w14:paraId="0D5CC74B" w14:textId="77777777" w:rsidR="00DE4516" w:rsidRPr="00A46ADC" w:rsidRDefault="00DE4516" w:rsidP="00DE4516">
            <w:pPr>
              <w:pStyle w:val="TableBody"/>
              <w:autoSpaceDE w:val="0"/>
              <w:autoSpaceDN w:val="0"/>
              <w:adjustRightInd w:val="0"/>
              <w:ind w:right="113"/>
              <w:jc w:val="right"/>
              <w:rPr>
                <w:szCs w:val="16"/>
              </w:rPr>
            </w:pPr>
            <w:r w:rsidRPr="00A46ADC">
              <w:t>118</w:t>
            </w:r>
          </w:p>
        </w:tc>
        <w:tc>
          <w:tcPr>
            <w:tcW w:w="990" w:type="dxa"/>
            <w:noWrap/>
          </w:tcPr>
          <w:p w14:paraId="3B564D8E" w14:textId="77777777" w:rsidR="00DE4516" w:rsidRPr="00A46ADC" w:rsidRDefault="00DE4516" w:rsidP="00DE4516">
            <w:pPr>
              <w:pStyle w:val="TableBody"/>
              <w:autoSpaceDE w:val="0"/>
              <w:autoSpaceDN w:val="0"/>
              <w:adjustRightInd w:val="0"/>
              <w:ind w:right="227"/>
              <w:jc w:val="right"/>
              <w:rPr>
                <w:szCs w:val="16"/>
              </w:rPr>
            </w:pPr>
            <w:r w:rsidRPr="00A46ADC">
              <w:t>35.8</w:t>
            </w:r>
          </w:p>
        </w:tc>
        <w:tc>
          <w:tcPr>
            <w:tcW w:w="994" w:type="dxa"/>
            <w:noWrap/>
          </w:tcPr>
          <w:p w14:paraId="78EA1B19"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noWrap/>
          </w:tcPr>
          <w:p w14:paraId="481E781B" w14:textId="77777777" w:rsidR="00DE4516" w:rsidRPr="00A46ADC" w:rsidRDefault="00DE4516" w:rsidP="00DE4516">
            <w:pPr>
              <w:pStyle w:val="TableBody"/>
              <w:autoSpaceDE w:val="0"/>
              <w:autoSpaceDN w:val="0"/>
              <w:adjustRightInd w:val="0"/>
              <w:ind w:right="170"/>
              <w:jc w:val="right"/>
              <w:rPr>
                <w:szCs w:val="16"/>
              </w:rPr>
            </w:pPr>
            <w:r w:rsidRPr="00A46ADC">
              <w:t>44.5</w:t>
            </w:r>
          </w:p>
        </w:tc>
        <w:tc>
          <w:tcPr>
            <w:tcW w:w="1133" w:type="dxa"/>
          </w:tcPr>
          <w:p w14:paraId="53F27E8C" w14:textId="77777777" w:rsidR="00DE4516" w:rsidRPr="00A46ADC" w:rsidRDefault="00DE4516" w:rsidP="00DE4516">
            <w:pPr>
              <w:pStyle w:val="TableBody"/>
              <w:autoSpaceDE w:val="0"/>
              <w:autoSpaceDN w:val="0"/>
              <w:adjustRightInd w:val="0"/>
              <w:ind w:right="284"/>
              <w:jc w:val="right"/>
              <w:rPr>
                <w:szCs w:val="16"/>
              </w:rPr>
            </w:pPr>
            <w:r w:rsidRPr="00A46ADC">
              <w:t>0.8</w:t>
            </w:r>
          </w:p>
        </w:tc>
        <w:tc>
          <w:tcPr>
            <w:tcW w:w="992" w:type="dxa"/>
            <w:noWrap/>
          </w:tcPr>
          <w:p w14:paraId="18ED996D" w14:textId="77777777" w:rsidR="00DE4516" w:rsidRPr="00A46ADC" w:rsidRDefault="00DE4516" w:rsidP="00DE4516">
            <w:pPr>
              <w:pStyle w:val="TableBody"/>
              <w:autoSpaceDE w:val="0"/>
              <w:autoSpaceDN w:val="0"/>
              <w:adjustRightInd w:val="0"/>
              <w:ind w:right="227"/>
              <w:jc w:val="right"/>
              <w:rPr>
                <w:szCs w:val="16"/>
              </w:rPr>
            </w:pPr>
            <w:r w:rsidRPr="00A46ADC">
              <w:t>17.8</w:t>
            </w:r>
          </w:p>
        </w:tc>
      </w:tr>
      <w:tr w:rsidR="00DE4516" w:rsidRPr="00225231" w14:paraId="5BBBD4E7" w14:textId="77777777" w:rsidTr="002C718D">
        <w:trPr>
          <w:cantSplit/>
          <w:trHeight w:val="20"/>
          <w:jc w:val="center"/>
        </w:trPr>
        <w:tc>
          <w:tcPr>
            <w:tcW w:w="3084" w:type="dxa"/>
            <w:shd w:val="clear" w:color="auto" w:fill="C9DED4"/>
            <w:noWrap/>
            <w:hideMark/>
          </w:tcPr>
          <w:p w14:paraId="6B792246" w14:textId="77777777" w:rsidR="00DE4516" w:rsidRPr="00A46ADC" w:rsidRDefault="00DE4516" w:rsidP="00DE4516">
            <w:pPr>
              <w:pStyle w:val="TableBody"/>
              <w:autoSpaceDE w:val="0"/>
              <w:autoSpaceDN w:val="0"/>
              <w:adjustRightInd w:val="0"/>
              <w:jc w:val="both"/>
              <w:rPr>
                <w:szCs w:val="16"/>
              </w:rPr>
            </w:pPr>
            <w:r w:rsidRPr="00A46ADC">
              <w:t>Cotton</w:t>
            </w:r>
          </w:p>
        </w:tc>
        <w:tc>
          <w:tcPr>
            <w:tcW w:w="1023" w:type="dxa"/>
            <w:shd w:val="clear" w:color="auto" w:fill="C9DED4"/>
            <w:noWrap/>
          </w:tcPr>
          <w:p w14:paraId="2124C5A7" w14:textId="77777777" w:rsidR="00DE4516" w:rsidRPr="00A46ADC" w:rsidRDefault="00DE4516" w:rsidP="00DE4516">
            <w:pPr>
              <w:pStyle w:val="TableBody"/>
              <w:autoSpaceDE w:val="0"/>
              <w:autoSpaceDN w:val="0"/>
              <w:adjustRightInd w:val="0"/>
              <w:ind w:right="113"/>
              <w:jc w:val="right"/>
              <w:rPr>
                <w:szCs w:val="16"/>
              </w:rPr>
            </w:pPr>
            <w:r w:rsidRPr="00A46ADC">
              <w:t>5</w:t>
            </w:r>
          </w:p>
        </w:tc>
        <w:tc>
          <w:tcPr>
            <w:tcW w:w="990" w:type="dxa"/>
            <w:shd w:val="clear" w:color="auto" w:fill="C9DED4"/>
            <w:noWrap/>
          </w:tcPr>
          <w:p w14:paraId="1ABF52A4" w14:textId="77777777" w:rsidR="00DE4516" w:rsidRPr="00A46ADC" w:rsidRDefault="00DE4516" w:rsidP="00DE4516">
            <w:pPr>
              <w:pStyle w:val="TableBody"/>
              <w:autoSpaceDE w:val="0"/>
              <w:autoSpaceDN w:val="0"/>
              <w:adjustRightInd w:val="0"/>
              <w:ind w:right="227"/>
              <w:jc w:val="right"/>
              <w:rPr>
                <w:szCs w:val="16"/>
              </w:rPr>
            </w:pPr>
            <w:r w:rsidRPr="00A46ADC">
              <w:t>5.0</w:t>
            </w:r>
          </w:p>
        </w:tc>
        <w:tc>
          <w:tcPr>
            <w:tcW w:w="994" w:type="dxa"/>
            <w:shd w:val="clear" w:color="auto" w:fill="C9DED4"/>
            <w:noWrap/>
          </w:tcPr>
          <w:p w14:paraId="38D20F2E" w14:textId="77777777" w:rsidR="00DE4516" w:rsidRPr="00A46ADC" w:rsidRDefault="00DE4516" w:rsidP="00DE4516">
            <w:pPr>
              <w:pStyle w:val="TableBody"/>
              <w:autoSpaceDE w:val="0"/>
              <w:autoSpaceDN w:val="0"/>
              <w:adjustRightInd w:val="0"/>
              <w:ind w:right="113"/>
              <w:jc w:val="right"/>
              <w:rPr>
                <w:szCs w:val="16"/>
              </w:rPr>
            </w:pPr>
            <w:r w:rsidRPr="00A46ADC">
              <w:t>5</w:t>
            </w:r>
          </w:p>
        </w:tc>
        <w:tc>
          <w:tcPr>
            <w:tcW w:w="850" w:type="dxa"/>
            <w:shd w:val="clear" w:color="auto" w:fill="C9DED4"/>
            <w:noWrap/>
          </w:tcPr>
          <w:p w14:paraId="6D9D3AFD" w14:textId="77777777" w:rsidR="00DE4516" w:rsidRPr="00A46ADC" w:rsidRDefault="00DE4516" w:rsidP="00DE4516">
            <w:pPr>
              <w:pStyle w:val="TableBody"/>
              <w:autoSpaceDE w:val="0"/>
              <w:autoSpaceDN w:val="0"/>
              <w:adjustRightInd w:val="0"/>
              <w:ind w:right="170"/>
              <w:jc w:val="right"/>
              <w:rPr>
                <w:szCs w:val="16"/>
              </w:rPr>
            </w:pPr>
            <w:r w:rsidRPr="00A46ADC">
              <w:t>0.0</w:t>
            </w:r>
          </w:p>
        </w:tc>
        <w:tc>
          <w:tcPr>
            <w:tcW w:w="1133" w:type="dxa"/>
            <w:shd w:val="clear" w:color="auto" w:fill="C9DED4"/>
          </w:tcPr>
          <w:p w14:paraId="43ECEF99" w14:textId="77777777" w:rsidR="00DE4516" w:rsidRPr="00A46ADC" w:rsidRDefault="00DE4516" w:rsidP="00DE4516">
            <w:pPr>
              <w:pStyle w:val="TableBody"/>
              <w:autoSpaceDE w:val="0"/>
              <w:autoSpaceDN w:val="0"/>
              <w:adjustRightInd w:val="0"/>
              <w:ind w:right="284"/>
              <w:jc w:val="right"/>
              <w:rPr>
                <w:szCs w:val="16"/>
              </w:rPr>
            </w:pPr>
            <w:r w:rsidRPr="00A46ADC">
              <w:t>0.0</w:t>
            </w:r>
          </w:p>
        </w:tc>
        <w:tc>
          <w:tcPr>
            <w:tcW w:w="992" w:type="dxa"/>
            <w:shd w:val="clear" w:color="auto" w:fill="C9DED4"/>
            <w:noWrap/>
          </w:tcPr>
          <w:p w14:paraId="73B0ABCD"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1BFE83A1" w14:textId="77777777" w:rsidTr="002C718D">
        <w:trPr>
          <w:cantSplit/>
          <w:trHeight w:val="20"/>
          <w:jc w:val="center"/>
        </w:trPr>
        <w:tc>
          <w:tcPr>
            <w:tcW w:w="3084" w:type="dxa"/>
            <w:noWrap/>
            <w:hideMark/>
          </w:tcPr>
          <w:p w14:paraId="4FE37E74" w14:textId="77777777" w:rsidR="00DE4516" w:rsidRPr="00A46ADC" w:rsidRDefault="00DE4516" w:rsidP="00DE4516">
            <w:pPr>
              <w:pStyle w:val="TableBody"/>
              <w:autoSpaceDE w:val="0"/>
              <w:autoSpaceDN w:val="0"/>
              <w:adjustRightInd w:val="0"/>
              <w:jc w:val="both"/>
              <w:rPr>
                <w:szCs w:val="16"/>
              </w:rPr>
            </w:pPr>
            <w:r w:rsidRPr="00A46ADC">
              <w:t xml:space="preserve">Other agricultural products, </w:t>
            </w:r>
            <w:proofErr w:type="spellStart"/>
            <w:r w:rsidRPr="00A46ADC">
              <w:t>n.e.s.</w:t>
            </w:r>
            <w:proofErr w:type="spellEnd"/>
          </w:p>
        </w:tc>
        <w:tc>
          <w:tcPr>
            <w:tcW w:w="1023" w:type="dxa"/>
            <w:noWrap/>
          </w:tcPr>
          <w:p w14:paraId="65770E7E" w14:textId="77777777" w:rsidR="00DE4516" w:rsidRPr="00A46ADC" w:rsidRDefault="00DE4516" w:rsidP="00DE4516">
            <w:pPr>
              <w:pStyle w:val="TableBody"/>
              <w:autoSpaceDE w:val="0"/>
              <w:autoSpaceDN w:val="0"/>
              <w:adjustRightInd w:val="0"/>
              <w:ind w:right="113"/>
              <w:jc w:val="right"/>
              <w:rPr>
                <w:szCs w:val="16"/>
              </w:rPr>
            </w:pPr>
            <w:r w:rsidRPr="00A46ADC">
              <w:t>193</w:t>
            </w:r>
          </w:p>
        </w:tc>
        <w:tc>
          <w:tcPr>
            <w:tcW w:w="990" w:type="dxa"/>
            <w:noWrap/>
          </w:tcPr>
          <w:p w14:paraId="2373D643" w14:textId="77777777" w:rsidR="00DE4516" w:rsidRPr="00A46ADC" w:rsidRDefault="00DE4516" w:rsidP="00DE4516">
            <w:pPr>
              <w:pStyle w:val="TableBody"/>
              <w:autoSpaceDE w:val="0"/>
              <w:autoSpaceDN w:val="0"/>
              <w:adjustRightInd w:val="0"/>
              <w:ind w:right="227"/>
              <w:jc w:val="right"/>
              <w:rPr>
                <w:szCs w:val="16"/>
              </w:rPr>
            </w:pPr>
            <w:r w:rsidRPr="00A46ADC">
              <w:t>5.7</w:t>
            </w:r>
          </w:p>
        </w:tc>
        <w:tc>
          <w:tcPr>
            <w:tcW w:w="994" w:type="dxa"/>
            <w:noWrap/>
          </w:tcPr>
          <w:p w14:paraId="2DEF7DB1"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noWrap/>
          </w:tcPr>
          <w:p w14:paraId="57B5AF5D" w14:textId="77777777" w:rsidR="00DE4516" w:rsidRPr="00A46ADC" w:rsidRDefault="00DE4516" w:rsidP="00DE4516">
            <w:pPr>
              <w:pStyle w:val="TableBody"/>
              <w:autoSpaceDE w:val="0"/>
              <w:autoSpaceDN w:val="0"/>
              <w:adjustRightInd w:val="0"/>
              <w:ind w:right="170"/>
              <w:jc w:val="right"/>
              <w:rPr>
                <w:szCs w:val="16"/>
              </w:rPr>
            </w:pPr>
            <w:r w:rsidRPr="00A46ADC">
              <w:t>12.1</w:t>
            </w:r>
          </w:p>
        </w:tc>
        <w:tc>
          <w:tcPr>
            <w:tcW w:w="1133" w:type="dxa"/>
          </w:tcPr>
          <w:p w14:paraId="7015683C" w14:textId="77777777" w:rsidR="00DE4516" w:rsidRPr="00A46ADC" w:rsidRDefault="00DE4516" w:rsidP="00DE4516">
            <w:pPr>
              <w:pStyle w:val="TableBody"/>
              <w:autoSpaceDE w:val="0"/>
              <w:autoSpaceDN w:val="0"/>
              <w:adjustRightInd w:val="0"/>
              <w:ind w:right="284"/>
              <w:jc w:val="right"/>
              <w:rPr>
                <w:szCs w:val="16"/>
              </w:rPr>
            </w:pPr>
            <w:r w:rsidRPr="00A46ADC">
              <w:t>15.5</w:t>
            </w:r>
          </w:p>
        </w:tc>
        <w:tc>
          <w:tcPr>
            <w:tcW w:w="992" w:type="dxa"/>
            <w:noWrap/>
          </w:tcPr>
          <w:p w14:paraId="004CC3C1" w14:textId="77777777" w:rsidR="00DE4516" w:rsidRPr="00A46ADC" w:rsidRDefault="00DE4516" w:rsidP="00DE4516">
            <w:pPr>
              <w:pStyle w:val="TableBody"/>
              <w:autoSpaceDE w:val="0"/>
              <w:autoSpaceDN w:val="0"/>
              <w:adjustRightInd w:val="0"/>
              <w:ind w:right="227"/>
              <w:jc w:val="right"/>
              <w:rPr>
                <w:szCs w:val="16"/>
              </w:rPr>
            </w:pPr>
            <w:r w:rsidRPr="00A46ADC">
              <w:t>1.6</w:t>
            </w:r>
          </w:p>
        </w:tc>
      </w:tr>
      <w:tr w:rsidR="00DE4516" w:rsidRPr="00225231" w14:paraId="1F560FDF" w14:textId="77777777" w:rsidTr="002C718D">
        <w:trPr>
          <w:cantSplit/>
          <w:trHeight w:val="20"/>
          <w:jc w:val="center"/>
        </w:trPr>
        <w:tc>
          <w:tcPr>
            <w:tcW w:w="3084" w:type="dxa"/>
            <w:shd w:val="clear" w:color="auto" w:fill="C9DED4"/>
            <w:noWrap/>
            <w:hideMark/>
          </w:tcPr>
          <w:p w14:paraId="0E0C7A08" w14:textId="77777777" w:rsidR="00DE4516" w:rsidRPr="00A46ADC" w:rsidRDefault="00DE4516" w:rsidP="00DE4516">
            <w:pPr>
              <w:pStyle w:val="TableBody"/>
              <w:autoSpaceDE w:val="0"/>
              <w:autoSpaceDN w:val="0"/>
              <w:adjustRightInd w:val="0"/>
              <w:jc w:val="both"/>
              <w:rPr>
                <w:b/>
                <w:szCs w:val="16"/>
              </w:rPr>
            </w:pPr>
            <w:r w:rsidRPr="00A46ADC">
              <w:rPr>
                <w:b/>
              </w:rPr>
              <w:lastRenderedPageBreak/>
              <w:t>WTO non</w:t>
            </w:r>
            <w:r w:rsidRPr="00A46ADC">
              <w:rPr>
                <w:b/>
              </w:rPr>
              <w:noBreakHyphen/>
              <w:t>agricultural products</w:t>
            </w:r>
          </w:p>
        </w:tc>
        <w:tc>
          <w:tcPr>
            <w:tcW w:w="1023" w:type="dxa"/>
            <w:shd w:val="clear" w:color="auto" w:fill="C9DED4"/>
            <w:noWrap/>
          </w:tcPr>
          <w:p w14:paraId="0FB22BCC" w14:textId="77777777" w:rsidR="00DE4516" w:rsidRPr="00A46ADC" w:rsidRDefault="00DE4516" w:rsidP="00DE4516">
            <w:pPr>
              <w:pStyle w:val="TableBody"/>
              <w:autoSpaceDE w:val="0"/>
              <w:autoSpaceDN w:val="0"/>
              <w:adjustRightInd w:val="0"/>
              <w:ind w:right="113"/>
              <w:jc w:val="right"/>
              <w:rPr>
                <w:szCs w:val="16"/>
              </w:rPr>
            </w:pPr>
            <w:r w:rsidRPr="00A46ADC">
              <w:t>6,309</w:t>
            </w:r>
          </w:p>
        </w:tc>
        <w:tc>
          <w:tcPr>
            <w:tcW w:w="990" w:type="dxa"/>
            <w:shd w:val="clear" w:color="auto" w:fill="C9DED4"/>
            <w:noWrap/>
          </w:tcPr>
          <w:p w14:paraId="4146EF00" w14:textId="77777777" w:rsidR="00DE4516" w:rsidRPr="00A46ADC" w:rsidRDefault="00DE4516" w:rsidP="00DE4516">
            <w:pPr>
              <w:pStyle w:val="TableBody"/>
              <w:autoSpaceDE w:val="0"/>
              <w:autoSpaceDN w:val="0"/>
              <w:adjustRightInd w:val="0"/>
              <w:ind w:right="227"/>
              <w:jc w:val="right"/>
              <w:rPr>
                <w:szCs w:val="16"/>
              </w:rPr>
            </w:pPr>
            <w:r w:rsidRPr="00A46ADC">
              <w:t>4.6</w:t>
            </w:r>
          </w:p>
        </w:tc>
        <w:tc>
          <w:tcPr>
            <w:tcW w:w="994" w:type="dxa"/>
            <w:shd w:val="clear" w:color="auto" w:fill="C9DED4"/>
            <w:noWrap/>
          </w:tcPr>
          <w:p w14:paraId="594BAE30"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shd w:val="clear" w:color="auto" w:fill="C9DED4"/>
            <w:noWrap/>
          </w:tcPr>
          <w:p w14:paraId="47664373" w14:textId="77777777" w:rsidR="00DE4516" w:rsidRPr="00A46ADC" w:rsidRDefault="00DE4516" w:rsidP="00DE4516">
            <w:pPr>
              <w:pStyle w:val="TableBody"/>
              <w:autoSpaceDE w:val="0"/>
              <w:autoSpaceDN w:val="0"/>
              <w:adjustRightInd w:val="0"/>
              <w:ind w:right="170"/>
              <w:jc w:val="right"/>
              <w:rPr>
                <w:szCs w:val="16"/>
              </w:rPr>
            </w:pPr>
            <w:r w:rsidRPr="00A46ADC">
              <w:t>2.5</w:t>
            </w:r>
          </w:p>
        </w:tc>
        <w:tc>
          <w:tcPr>
            <w:tcW w:w="1133" w:type="dxa"/>
            <w:shd w:val="clear" w:color="auto" w:fill="C9DED4"/>
          </w:tcPr>
          <w:p w14:paraId="39366EB7" w14:textId="77777777" w:rsidR="00DE4516" w:rsidRPr="00A46ADC" w:rsidRDefault="00DE4516" w:rsidP="00DE4516">
            <w:pPr>
              <w:pStyle w:val="TableBody"/>
              <w:autoSpaceDE w:val="0"/>
              <w:autoSpaceDN w:val="0"/>
              <w:adjustRightInd w:val="0"/>
              <w:ind w:right="284"/>
              <w:jc w:val="right"/>
              <w:rPr>
                <w:szCs w:val="16"/>
              </w:rPr>
            </w:pPr>
            <w:r w:rsidRPr="00A46ADC">
              <w:t>9.2</w:t>
            </w:r>
          </w:p>
        </w:tc>
        <w:tc>
          <w:tcPr>
            <w:tcW w:w="992" w:type="dxa"/>
            <w:shd w:val="clear" w:color="auto" w:fill="C9DED4"/>
            <w:noWrap/>
          </w:tcPr>
          <w:p w14:paraId="78423772" w14:textId="77777777" w:rsidR="00DE4516" w:rsidRPr="00A46ADC" w:rsidRDefault="00DE4516" w:rsidP="00DE4516">
            <w:pPr>
              <w:pStyle w:val="TableBody"/>
              <w:autoSpaceDE w:val="0"/>
              <w:autoSpaceDN w:val="0"/>
              <w:adjustRightInd w:val="0"/>
              <w:ind w:right="227"/>
              <w:jc w:val="right"/>
              <w:rPr>
                <w:szCs w:val="16"/>
              </w:rPr>
            </w:pPr>
            <w:r w:rsidRPr="00A46ADC">
              <w:t>0.4</w:t>
            </w:r>
          </w:p>
        </w:tc>
      </w:tr>
      <w:tr w:rsidR="00DE4516" w:rsidRPr="00225231" w14:paraId="018D3ABE" w14:textId="77777777" w:rsidTr="002C718D">
        <w:trPr>
          <w:cantSplit/>
          <w:trHeight w:val="20"/>
          <w:jc w:val="center"/>
        </w:trPr>
        <w:tc>
          <w:tcPr>
            <w:tcW w:w="3084" w:type="dxa"/>
            <w:noWrap/>
            <w:hideMark/>
          </w:tcPr>
          <w:p w14:paraId="43AB9070" w14:textId="77777777" w:rsidR="00DE4516" w:rsidRPr="00A46ADC" w:rsidRDefault="00DE4516" w:rsidP="00DE4516">
            <w:pPr>
              <w:pStyle w:val="TableBody"/>
              <w:autoSpaceDE w:val="0"/>
              <w:autoSpaceDN w:val="0"/>
              <w:adjustRightInd w:val="0"/>
              <w:jc w:val="both"/>
              <w:rPr>
                <w:szCs w:val="16"/>
              </w:rPr>
            </w:pPr>
            <w:r w:rsidRPr="00A46ADC">
              <w:t>Fish and fishery products</w:t>
            </w:r>
          </w:p>
        </w:tc>
        <w:tc>
          <w:tcPr>
            <w:tcW w:w="1023" w:type="dxa"/>
            <w:noWrap/>
          </w:tcPr>
          <w:p w14:paraId="27D0FBE5" w14:textId="77777777" w:rsidR="00DE4516" w:rsidRPr="00A46ADC" w:rsidRDefault="00DE4516" w:rsidP="00DE4516">
            <w:pPr>
              <w:pStyle w:val="TableBody"/>
              <w:autoSpaceDE w:val="0"/>
              <w:autoSpaceDN w:val="0"/>
              <w:adjustRightInd w:val="0"/>
              <w:ind w:right="113"/>
              <w:jc w:val="right"/>
              <w:rPr>
                <w:szCs w:val="16"/>
              </w:rPr>
            </w:pPr>
            <w:r w:rsidRPr="00A46ADC">
              <w:t>303</w:t>
            </w:r>
          </w:p>
        </w:tc>
        <w:tc>
          <w:tcPr>
            <w:tcW w:w="990" w:type="dxa"/>
            <w:noWrap/>
          </w:tcPr>
          <w:p w14:paraId="175C468D" w14:textId="77777777" w:rsidR="00DE4516" w:rsidRPr="00A46ADC" w:rsidRDefault="00DE4516" w:rsidP="00DE4516">
            <w:pPr>
              <w:pStyle w:val="TableBody"/>
              <w:autoSpaceDE w:val="0"/>
              <w:autoSpaceDN w:val="0"/>
              <w:adjustRightInd w:val="0"/>
              <w:ind w:right="227"/>
              <w:jc w:val="right"/>
              <w:rPr>
                <w:szCs w:val="16"/>
              </w:rPr>
            </w:pPr>
            <w:r w:rsidRPr="00A46ADC">
              <w:t>3.5</w:t>
            </w:r>
          </w:p>
        </w:tc>
        <w:tc>
          <w:tcPr>
            <w:tcW w:w="994" w:type="dxa"/>
            <w:noWrap/>
          </w:tcPr>
          <w:p w14:paraId="4A0B5834"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noWrap/>
          </w:tcPr>
          <w:p w14:paraId="30439995" w14:textId="77777777" w:rsidR="00DE4516" w:rsidRPr="00A46ADC" w:rsidRDefault="00DE4516" w:rsidP="00DE4516">
            <w:pPr>
              <w:pStyle w:val="TableBody"/>
              <w:autoSpaceDE w:val="0"/>
              <w:autoSpaceDN w:val="0"/>
              <w:adjustRightInd w:val="0"/>
              <w:ind w:right="170"/>
              <w:jc w:val="right"/>
              <w:rPr>
                <w:szCs w:val="16"/>
              </w:rPr>
            </w:pPr>
            <w:r w:rsidRPr="00A46ADC">
              <w:t>2.3</w:t>
            </w:r>
          </w:p>
        </w:tc>
        <w:tc>
          <w:tcPr>
            <w:tcW w:w="1133" w:type="dxa"/>
          </w:tcPr>
          <w:p w14:paraId="2C67C90A" w14:textId="77777777" w:rsidR="00DE4516" w:rsidRPr="00A46ADC" w:rsidRDefault="00DE4516" w:rsidP="00DE4516">
            <w:pPr>
              <w:pStyle w:val="TableBody"/>
              <w:autoSpaceDE w:val="0"/>
              <w:autoSpaceDN w:val="0"/>
              <w:adjustRightInd w:val="0"/>
              <w:ind w:right="284"/>
              <w:jc w:val="right"/>
              <w:rPr>
                <w:szCs w:val="16"/>
              </w:rPr>
            </w:pPr>
            <w:r w:rsidRPr="00A46ADC">
              <w:t>29.0</w:t>
            </w:r>
          </w:p>
        </w:tc>
        <w:tc>
          <w:tcPr>
            <w:tcW w:w="992" w:type="dxa"/>
            <w:noWrap/>
          </w:tcPr>
          <w:p w14:paraId="24984B4B"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70645DE0" w14:textId="77777777" w:rsidTr="002C718D">
        <w:trPr>
          <w:cantSplit/>
          <w:trHeight w:val="20"/>
          <w:jc w:val="center"/>
        </w:trPr>
        <w:tc>
          <w:tcPr>
            <w:tcW w:w="3084" w:type="dxa"/>
            <w:shd w:val="clear" w:color="auto" w:fill="C9DED4"/>
            <w:noWrap/>
            <w:hideMark/>
          </w:tcPr>
          <w:p w14:paraId="22132ADF" w14:textId="77777777" w:rsidR="00DE4516" w:rsidRPr="00A46ADC" w:rsidRDefault="00DE4516" w:rsidP="00DE4516">
            <w:pPr>
              <w:pStyle w:val="TableBody"/>
              <w:autoSpaceDE w:val="0"/>
              <w:autoSpaceDN w:val="0"/>
              <w:adjustRightInd w:val="0"/>
              <w:jc w:val="both"/>
              <w:rPr>
                <w:szCs w:val="16"/>
              </w:rPr>
            </w:pPr>
            <w:r w:rsidRPr="00A46ADC">
              <w:t>Minerals and metals</w:t>
            </w:r>
          </w:p>
        </w:tc>
        <w:tc>
          <w:tcPr>
            <w:tcW w:w="1023" w:type="dxa"/>
            <w:shd w:val="clear" w:color="auto" w:fill="C9DED4"/>
            <w:noWrap/>
          </w:tcPr>
          <w:p w14:paraId="5460680E" w14:textId="77777777" w:rsidR="00DE4516" w:rsidRPr="00A46ADC" w:rsidRDefault="00DE4516" w:rsidP="00DE4516">
            <w:pPr>
              <w:pStyle w:val="TableBody"/>
              <w:autoSpaceDE w:val="0"/>
              <w:autoSpaceDN w:val="0"/>
              <w:adjustRightInd w:val="0"/>
              <w:ind w:right="113"/>
              <w:jc w:val="right"/>
              <w:rPr>
                <w:szCs w:val="16"/>
              </w:rPr>
            </w:pPr>
            <w:r w:rsidRPr="00A46ADC">
              <w:t>1,219</w:t>
            </w:r>
          </w:p>
        </w:tc>
        <w:tc>
          <w:tcPr>
            <w:tcW w:w="990" w:type="dxa"/>
            <w:shd w:val="clear" w:color="auto" w:fill="C9DED4"/>
            <w:noWrap/>
          </w:tcPr>
          <w:p w14:paraId="1184CB86" w14:textId="77777777" w:rsidR="00DE4516" w:rsidRPr="00A46ADC" w:rsidRDefault="00DE4516" w:rsidP="00DE4516">
            <w:pPr>
              <w:pStyle w:val="TableBody"/>
              <w:autoSpaceDE w:val="0"/>
              <w:autoSpaceDN w:val="0"/>
              <w:adjustRightInd w:val="0"/>
              <w:ind w:right="227"/>
              <w:jc w:val="right"/>
              <w:rPr>
                <w:szCs w:val="16"/>
              </w:rPr>
            </w:pPr>
            <w:r w:rsidRPr="00A46ADC">
              <w:t>4.9</w:t>
            </w:r>
          </w:p>
        </w:tc>
        <w:tc>
          <w:tcPr>
            <w:tcW w:w="994" w:type="dxa"/>
            <w:shd w:val="clear" w:color="auto" w:fill="C9DED4"/>
            <w:noWrap/>
          </w:tcPr>
          <w:p w14:paraId="2E809B2A"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shd w:val="clear" w:color="auto" w:fill="C9DED4"/>
            <w:noWrap/>
          </w:tcPr>
          <w:p w14:paraId="16CD58AD" w14:textId="77777777" w:rsidR="00DE4516" w:rsidRPr="00A46ADC" w:rsidRDefault="00DE4516" w:rsidP="00DE4516">
            <w:pPr>
              <w:pStyle w:val="TableBody"/>
              <w:autoSpaceDE w:val="0"/>
              <w:autoSpaceDN w:val="0"/>
              <w:adjustRightInd w:val="0"/>
              <w:ind w:right="170"/>
              <w:jc w:val="right"/>
              <w:rPr>
                <w:szCs w:val="16"/>
              </w:rPr>
            </w:pPr>
            <w:r w:rsidRPr="00A46ADC">
              <w:t>0.7</w:t>
            </w:r>
          </w:p>
        </w:tc>
        <w:tc>
          <w:tcPr>
            <w:tcW w:w="1133" w:type="dxa"/>
            <w:shd w:val="clear" w:color="auto" w:fill="C9DED4"/>
          </w:tcPr>
          <w:p w14:paraId="5ECFA416" w14:textId="77777777" w:rsidR="00DE4516" w:rsidRPr="00A46ADC" w:rsidRDefault="00DE4516" w:rsidP="00DE4516">
            <w:pPr>
              <w:pStyle w:val="TableBody"/>
              <w:autoSpaceDE w:val="0"/>
              <w:autoSpaceDN w:val="0"/>
              <w:adjustRightInd w:val="0"/>
              <w:ind w:right="284"/>
              <w:jc w:val="right"/>
              <w:rPr>
                <w:szCs w:val="16"/>
              </w:rPr>
            </w:pPr>
            <w:r w:rsidRPr="00A46ADC">
              <w:t>2.1</w:t>
            </w:r>
          </w:p>
        </w:tc>
        <w:tc>
          <w:tcPr>
            <w:tcW w:w="992" w:type="dxa"/>
            <w:shd w:val="clear" w:color="auto" w:fill="C9DED4"/>
            <w:noWrap/>
          </w:tcPr>
          <w:p w14:paraId="5ED6C585" w14:textId="77777777" w:rsidR="00DE4516" w:rsidRPr="00A46ADC" w:rsidRDefault="00DE4516" w:rsidP="00DE4516">
            <w:pPr>
              <w:pStyle w:val="TableBody"/>
              <w:autoSpaceDE w:val="0"/>
              <w:autoSpaceDN w:val="0"/>
              <w:adjustRightInd w:val="0"/>
              <w:ind w:right="227"/>
              <w:jc w:val="right"/>
              <w:rPr>
                <w:szCs w:val="16"/>
              </w:rPr>
            </w:pPr>
            <w:r w:rsidRPr="00A46ADC">
              <w:t>0.9</w:t>
            </w:r>
          </w:p>
        </w:tc>
      </w:tr>
      <w:tr w:rsidR="00DE4516" w:rsidRPr="00225231" w14:paraId="1939E400" w14:textId="77777777" w:rsidTr="002C718D">
        <w:trPr>
          <w:cantSplit/>
          <w:trHeight w:val="20"/>
          <w:jc w:val="center"/>
        </w:trPr>
        <w:tc>
          <w:tcPr>
            <w:tcW w:w="3084" w:type="dxa"/>
            <w:noWrap/>
            <w:hideMark/>
          </w:tcPr>
          <w:p w14:paraId="55723D0E" w14:textId="77777777" w:rsidR="00DE4516" w:rsidRPr="00A46ADC" w:rsidRDefault="00DE4516" w:rsidP="00DE4516">
            <w:pPr>
              <w:pStyle w:val="TableBody"/>
              <w:autoSpaceDE w:val="0"/>
              <w:autoSpaceDN w:val="0"/>
              <w:adjustRightInd w:val="0"/>
              <w:jc w:val="both"/>
              <w:rPr>
                <w:szCs w:val="16"/>
              </w:rPr>
            </w:pPr>
            <w:r w:rsidRPr="00A46ADC">
              <w:t>Chemicals and photographic supplies</w:t>
            </w:r>
          </w:p>
        </w:tc>
        <w:tc>
          <w:tcPr>
            <w:tcW w:w="1023" w:type="dxa"/>
            <w:noWrap/>
          </w:tcPr>
          <w:p w14:paraId="1A9D2478" w14:textId="77777777" w:rsidR="00DE4516" w:rsidRPr="00A46ADC" w:rsidRDefault="00DE4516" w:rsidP="00DE4516">
            <w:pPr>
              <w:pStyle w:val="TableBody"/>
              <w:autoSpaceDE w:val="0"/>
              <w:autoSpaceDN w:val="0"/>
              <w:adjustRightInd w:val="0"/>
              <w:ind w:right="113"/>
              <w:jc w:val="right"/>
              <w:rPr>
                <w:szCs w:val="16"/>
              </w:rPr>
            </w:pPr>
            <w:r w:rsidRPr="00A46ADC">
              <w:t>1,323</w:t>
            </w:r>
          </w:p>
        </w:tc>
        <w:tc>
          <w:tcPr>
            <w:tcW w:w="990" w:type="dxa"/>
            <w:noWrap/>
          </w:tcPr>
          <w:p w14:paraId="198CD607" w14:textId="77777777" w:rsidR="00DE4516" w:rsidRPr="00A46ADC" w:rsidRDefault="00DE4516" w:rsidP="00DE4516">
            <w:pPr>
              <w:pStyle w:val="TableBody"/>
              <w:autoSpaceDE w:val="0"/>
              <w:autoSpaceDN w:val="0"/>
              <w:adjustRightInd w:val="0"/>
              <w:ind w:right="227"/>
              <w:jc w:val="right"/>
              <w:rPr>
                <w:szCs w:val="16"/>
              </w:rPr>
            </w:pPr>
            <w:r w:rsidRPr="00A46ADC">
              <w:t>4.5</w:t>
            </w:r>
          </w:p>
        </w:tc>
        <w:tc>
          <w:tcPr>
            <w:tcW w:w="994" w:type="dxa"/>
            <w:noWrap/>
          </w:tcPr>
          <w:p w14:paraId="4AFB9A7E"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noWrap/>
          </w:tcPr>
          <w:p w14:paraId="3162A658" w14:textId="77777777" w:rsidR="00DE4516" w:rsidRPr="00A46ADC" w:rsidRDefault="00DE4516" w:rsidP="00DE4516">
            <w:pPr>
              <w:pStyle w:val="TableBody"/>
              <w:autoSpaceDE w:val="0"/>
              <w:autoSpaceDN w:val="0"/>
              <w:adjustRightInd w:val="0"/>
              <w:ind w:right="170"/>
              <w:jc w:val="right"/>
              <w:rPr>
                <w:szCs w:val="16"/>
              </w:rPr>
            </w:pPr>
            <w:r w:rsidRPr="00A46ADC">
              <w:t>1.5</w:t>
            </w:r>
          </w:p>
        </w:tc>
        <w:tc>
          <w:tcPr>
            <w:tcW w:w="1133" w:type="dxa"/>
          </w:tcPr>
          <w:p w14:paraId="30945E41" w14:textId="77777777" w:rsidR="00DE4516" w:rsidRPr="00A46ADC" w:rsidRDefault="00DE4516" w:rsidP="00DE4516">
            <w:pPr>
              <w:pStyle w:val="TableBody"/>
              <w:autoSpaceDE w:val="0"/>
              <w:autoSpaceDN w:val="0"/>
              <w:adjustRightInd w:val="0"/>
              <w:ind w:right="284"/>
              <w:jc w:val="right"/>
              <w:rPr>
                <w:szCs w:val="16"/>
              </w:rPr>
            </w:pPr>
            <w:r w:rsidRPr="00A46ADC">
              <w:t>9.8</w:t>
            </w:r>
          </w:p>
        </w:tc>
        <w:tc>
          <w:tcPr>
            <w:tcW w:w="992" w:type="dxa"/>
            <w:noWrap/>
          </w:tcPr>
          <w:p w14:paraId="46F0A6C0" w14:textId="77777777" w:rsidR="00DE4516" w:rsidRPr="00A46ADC" w:rsidRDefault="00DE4516" w:rsidP="00DE4516">
            <w:pPr>
              <w:pStyle w:val="TableBody"/>
              <w:autoSpaceDE w:val="0"/>
              <w:autoSpaceDN w:val="0"/>
              <w:adjustRightInd w:val="0"/>
              <w:ind w:right="227"/>
              <w:jc w:val="right"/>
              <w:rPr>
                <w:szCs w:val="16"/>
              </w:rPr>
            </w:pPr>
            <w:r w:rsidRPr="00A46ADC">
              <w:t>0.1</w:t>
            </w:r>
          </w:p>
        </w:tc>
      </w:tr>
      <w:tr w:rsidR="00DE4516" w:rsidRPr="00225231" w14:paraId="5FFCB244" w14:textId="77777777" w:rsidTr="002C718D">
        <w:trPr>
          <w:cantSplit/>
          <w:trHeight w:val="20"/>
          <w:jc w:val="center"/>
        </w:trPr>
        <w:tc>
          <w:tcPr>
            <w:tcW w:w="3084" w:type="dxa"/>
            <w:shd w:val="clear" w:color="auto" w:fill="C9DED4"/>
            <w:noWrap/>
            <w:hideMark/>
          </w:tcPr>
          <w:p w14:paraId="5CEC9C14" w14:textId="77777777" w:rsidR="00DE4516" w:rsidRPr="00A46ADC" w:rsidRDefault="00DE4516" w:rsidP="00DE4516">
            <w:pPr>
              <w:pStyle w:val="TableBody"/>
              <w:autoSpaceDE w:val="0"/>
              <w:autoSpaceDN w:val="0"/>
              <w:adjustRightInd w:val="0"/>
              <w:jc w:val="both"/>
              <w:rPr>
                <w:szCs w:val="16"/>
              </w:rPr>
            </w:pPr>
            <w:r w:rsidRPr="00A46ADC">
              <w:t xml:space="preserve">Wood, pulp, </w:t>
            </w:r>
            <w:proofErr w:type="gramStart"/>
            <w:r w:rsidRPr="00A46ADC">
              <w:t>paper</w:t>
            </w:r>
            <w:proofErr w:type="gramEnd"/>
            <w:r w:rsidRPr="00A46ADC">
              <w:t xml:space="preserve"> and furniture</w:t>
            </w:r>
          </w:p>
        </w:tc>
        <w:tc>
          <w:tcPr>
            <w:tcW w:w="1023" w:type="dxa"/>
            <w:shd w:val="clear" w:color="auto" w:fill="C9DED4"/>
            <w:noWrap/>
          </w:tcPr>
          <w:p w14:paraId="7C2CA16D" w14:textId="77777777" w:rsidR="00DE4516" w:rsidRPr="00A46ADC" w:rsidRDefault="00DE4516" w:rsidP="00DE4516">
            <w:pPr>
              <w:pStyle w:val="TableBody"/>
              <w:autoSpaceDE w:val="0"/>
              <w:autoSpaceDN w:val="0"/>
              <w:adjustRightInd w:val="0"/>
              <w:ind w:right="113"/>
              <w:jc w:val="right"/>
              <w:rPr>
                <w:szCs w:val="16"/>
              </w:rPr>
            </w:pPr>
            <w:r w:rsidRPr="00A46ADC">
              <w:t>469</w:t>
            </w:r>
          </w:p>
        </w:tc>
        <w:tc>
          <w:tcPr>
            <w:tcW w:w="990" w:type="dxa"/>
            <w:shd w:val="clear" w:color="auto" w:fill="C9DED4"/>
            <w:noWrap/>
          </w:tcPr>
          <w:p w14:paraId="5739BD98" w14:textId="77777777" w:rsidR="00DE4516" w:rsidRPr="00A46ADC" w:rsidRDefault="00DE4516" w:rsidP="00DE4516">
            <w:pPr>
              <w:pStyle w:val="TableBody"/>
              <w:autoSpaceDE w:val="0"/>
              <w:autoSpaceDN w:val="0"/>
              <w:adjustRightInd w:val="0"/>
              <w:ind w:right="227"/>
              <w:jc w:val="right"/>
              <w:rPr>
                <w:szCs w:val="16"/>
              </w:rPr>
            </w:pPr>
            <w:r w:rsidRPr="00A46ADC">
              <w:t>4.6</w:t>
            </w:r>
          </w:p>
        </w:tc>
        <w:tc>
          <w:tcPr>
            <w:tcW w:w="994" w:type="dxa"/>
            <w:shd w:val="clear" w:color="auto" w:fill="C9DED4"/>
            <w:noWrap/>
          </w:tcPr>
          <w:p w14:paraId="5D2B58BE"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shd w:val="clear" w:color="auto" w:fill="C9DED4"/>
            <w:noWrap/>
          </w:tcPr>
          <w:p w14:paraId="62F859C5" w14:textId="77777777" w:rsidR="00DE4516" w:rsidRPr="00A46ADC" w:rsidRDefault="00DE4516" w:rsidP="00DE4516">
            <w:pPr>
              <w:pStyle w:val="TableBody"/>
              <w:autoSpaceDE w:val="0"/>
              <w:autoSpaceDN w:val="0"/>
              <w:adjustRightInd w:val="0"/>
              <w:ind w:right="170"/>
              <w:jc w:val="right"/>
              <w:rPr>
                <w:szCs w:val="16"/>
              </w:rPr>
            </w:pPr>
            <w:r w:rsidRPr="00A46ADC">
              <w:t>1.4</w:t>
            </w:r>
          </w:p>
        </w:tc>
        <w:tc>
          <w:tcPr>
            <w:tcW w:w="1133" w:type="dxa"/>
            <w:shd w:val="clear" w:color="auto" w:fill="C9DED4"/>
          </w:tcPr>
          <w:p w14:paraId="6C98D838" w14:textId="77777777" w:rsidR="00DE4516" w:rsidRPr="00A46ADC" w:rsidRDefault="00DE4516" w:rsidP="00DE4516">
            <w:pPr>
              <w:pStyle w:val="TableBody"/>
              <w:autoSpaceDE w:val="0"/>
              <w:autoSpaceDN w:val="0"/>
              <w:adjustRightInd w:val="0"/>
              <w:ind w:right="284"/>
              <w:jc w:val="right"/>
              <w:rPr>
                <w:szCs w:val="16"/>
              </w:rPr>
            </w:pPr>
            <w:r w:rsidRPr="00A46ADC">
              <w:t>8.7</w:t>
            </w:r>
          </w:p>
        </w:tc>
        <w:tc>
          <w:tcPr>
            <w:tcW w:w="992" w:type="dxa"/>
            <w:shd w:val="clear" w:color="auto" w:fill="C9DED4"/>
            <w:noWrap/>
          </w:tcPr>
          <w:p w14:paraId="3EABCDA3"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4A8A7556" w14:textId="77777777" w:rsidTr="002C718D">
        <w:trPr>
          <w:cantSplit/>
          <w:trHeight w:val="20"/>
          <w:jc w:val="center"/>
        </w:trPr>
        <w:tc>
          <w:tcPr>
            <w:tcW w:w="3084" w:type="dxa"/>
            <w:noWrap/>
            <w:hideMark/>
          </w:tcPr>
          <w:p w14:paraId="7C4FC28D" w14:textId="77777777" w:rsidR="00DE4516" w:rsidRPr="00A46ADC" w:rsidRDefault="00DE4516" w:rsidP="00DE4516">
            <w:pPr>
              <w:pStyle w:val="TableBody"/>
              <w:autoSpaceDE w:val="0"/>
              <w:autoSpaceDN w:val="0"/>
              <w:adjustRightInd w:val="0"/>
              <w:jc w:val="both"/>
              <w:rPr>
                <w:szCs w:val="16"/>
              </w:rPr>
            </w:pPr>
            <w:r w:rsidRPr="00A46ADC">
              <w:t>Textiles</w:t>
            </w:r>
          </w:p>
        </w:tc>
        <w:tc>
          <w:tcPr>
            <w:tcW w:w="1023" w:type="dxa"/>
            <w:noWrap/>
          </w:tcPr>
          <w:p w14:paraId="1AE791FD" w14:textId="77777777" w:rsidR="00DE4516" w:rsidRPr="00A46ADC" w:rsidRDefault="00DE4516" w:rsidP="00DE4516">
            <w:pPr>
              <w:pStyle w:val="TableBody"/>
              <w:autoSpaceDE w:val="0"/>
              <w:autoSpaceDN w:val="0"/>
              <w:adjustRightInd w:val="0"/>
              <w:ind w:right="113"/>
              <w:jc w:val="right"/>
              <w:rPr>
                <w:szCs w:val="16"/>
              </w:rPr>
            </w:pPr>
            <w:r w:rsidRPr="00A46ADC">
              <w:t>724</w:t>
            </w:r>
          </w:p>
        </w:tc>
        <w:tc>
          <w:tcPr>
            <w:tcW w:w="990" w:type="dxa"/>
            <w:noWrap/>
          </w:tcPr>
          <w:p w14:paraId="40D846A4" w14:textId="77777777" w:rsidR="00DE4516" w:rsidRPr="00A46ADC" w:rsidRDefault="00DE4516" w:rsidP="00DE4516">
            <w:pPr>
              <w:pStyle w:val="TableBody"/>
              <w:autoSpaceDE w:val="0"/>
              <w:autoSpaceDN w:val="0"/>
              <w:adjustRightInd w:val="0"/>
              <w:ind w:right="227"/>
              <w:jc w:val="right"/>
              <w:rPr>
                <w:szCs w:val="16"/>
              </w:rPr>
            </w:pPr>
            <w:r w:rsidRPr="00A46ADC">
              <w:t>5.0</w:t>
            </w:r>
          </w:p>
        </w:tc>
        <w:tc>
          <w:tcPr>
            <w:tcW w:w="994" w:type="dxa"/>
            <w:noWrap/>
          </w:tcPr>
          <w:p w14:paraId="441AD01A"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noWrap/>
          </w:tcPr>
          <w:p w14:paraId="53AE5D12" w14:textId="77777777" w:rsidR="00DE4516" w:rsidRPr="00A46ADC" w:rsidRDefault="00DE4516" w:rsidP="00DE4516">
            <w:pPr>
              <w:pStyle w:val="TableBody"/>
              <w:autoSpaceDE w:val="0"/>
              <w:autoSpaceDN w:val="0"/>
              <w:adjustRightInd w:val="0"/>
              <w:ind w:right="170"/>
              <w:jc w:val="right"/>
              <w:rPr>
                <w:szCs w:val="16"/>
              </w:rPr>
            </w:pPr>
            <w:r w:rsidRPr="00A46ADC">
              <w:t>0.4</w:t>
            </w:r>
          </w:p>
        </w:tc>
        <w:tc>
          <w:tcPr>
            <w:tcW w:w="1133" w:type="dxa"/>
          </w:tcPr>
          <w:p w14:paraId="63355D65" w14:textId="77777777" w:rsidR="00DE4516" w:rsidRPr="00A46ADC" w:rsidRDefault="00DE4516" w:rsidP="00DE4516">
            <w:pPr>
              <w:pStyle w:val="TableBody"/>
              <w:autoSpaceDE w:val="0"/>
              <w:autoSpaceDN w:val="0"/>
              <w:adjustRightInd w:val="0"/>
              <w:ind w:right="284"/>
              <w:jc w:val="right"/>
              <w:rPr>
                <w:szCs w:val="16"/>
              </w:rPr>
            </w:pPr>
            <w:r w:rsidRPr="00A46ADC">
              <w:t>0.6</w:t>
            </w:r>
          </w:p>
        </w:tc>
        <w:tc>
          <w:tcPr>
            <w:tcW w:w="992" w:type="dxa"/>
            <w:noWrap/>
          </w:tcPr>
          <w:p w14:paraId="114CCE13"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189C965B" w14:textId="77777777" w:rsidTr="002C718D">
        <w:trPr>
          <w:cantSplit/>
          <w:trHeight w:val="20"/>
          <w:jc w:val="center"/>
        </w:trPr>
        <w:tc>
          <w:tcPr>
            <w:tcW w:w="3084" w:type="dxa"/>
            <w:shd w:val="clear" w:color="auto" w:fill="C9DED4"/>
            <w:noWrap/>
            <w:hideMark/>
          </w:tcPr>
          <w:p w14:paraId="3CC43431" w14:textId="77777777" w:rsidR="00DE4516" w:rsidRPr="00A46ADC" w:rsidRDefault="00DE4516" w:rsidP="00DE4516">
            <w:pPr>
              <w:pStyle w:val="TableBody"/>
              <w:autoSpaceDE w:val="0"/>
              <w:autoSpaceDN w:val="0"/>
              <w:adjustRightInd w:val="0"/>
              <w:jc w:val="both"/>
              <w:rPr>
                <w:szCs w:val="16"/>
              </w:rPr>
            </w:pPr>
            <w:r w:rsidRPr="00A46ADC">
              <w:t>Clothing</w:t>
            </w:r>
          </w:p>
        </w:tc>
        <w:tc>
          <w:tcPr>
            <w:tcW w:w="1023" w:type="dxa"/>
            <w:shd w:val="clear" w:color="auto" w:fill="C9DED4"/>
            <w:noWrap/>
          </w:tcPr>
          <w:p w14:paraId="4E130E5F" w14:textId="77777777" w:rsidR="00DE4516" w:rsidRPr="00A46ADC" w:rsidRDefault="00DE4516" w:rsidP="00DE4516">
            <w:pPr>
              <w:pStyle w:val="TableBody"/>
              <w:autoSpaceDE w:val="0"/>
              <w:autoSpaceDN w:val="0"/>
              <w:adjustRightInd w:val="0"/>
              <w:ind w:right="113"/>
              <w:jc w:val="right"/>
              <w:rPr>
                <w:szCs w:val="16"/>
              </w:rPr>
            </w:pPr>
            <w:r w:rsidRPr="00A46ADC">
              <w:t>254</w:t>
            </w:r>
          </w:p>
        </w:tc>
        <w:tc>
          <w:tcPr>
            <w:tcW w:w="990" w:type="dxa"/>
            <w:shd w:val="clear" w:color="auto" w:fill="C9DED4"/>
            <w:noWrap/>
          </w:tcPr>
          <w:p w14:paraId="4C1B32CB" w14:textId="77777777" w:rsidR="00DE4516" w:rsidRPr="00A46ADC" w:rsidRDefault="00DE4516" w:rsidP="00DE4516">
            <w:pPr>
              <w:pStyle w:val="TableBody"/>
              <w:autoSpaceDE w:val="0"/>
              <w:autoSpaceDN w:val="0"/>
              <w:adjustRightInd w:val="0"/>
              <w:ind w:right="227"/>
              <w:jc w:val="right"/>
              <w:rPr>
                <w:szCs w:val="16"/>
              </w:rPr>
            </w:pPr>
            <w:r w:rsidRPr="00A46ADC">
              <w:t>5.0</w:t>
            </w:r>
          </w:p>
        </w:tc>
        <w:tc>
          <w:tcPr>
            <w:tcW w:w="994" w:type="dxa"/>
            <w:shd w:val="clear" w:color="auto" w:fill="C9DED4"/>
            <w:noWrap/>
          </w:tcPr>
          <w:p w14:paraId="4A787F3F" w14:textId="77777777" w:rsidR="00DE4516" w:rsidRPr="00A46ADC" w:rsidRDefault="00DE4516" w:rsidP="00DE4516">
            <w:pPr>
              <w:pStyle w:val="TableBody"/>
              <w:autoSpaceDE w:val="0"/>
              <w:autoSpaceDN w:val="0"/>
              <w:adjustRightInd w:val="0"/>
              <w:ind w:right="113"/>
              <w:jc w:val="right"/>
              <w:rPr>
                <w:szCs w:val="16"/>
              </w:rPr>
            </w:pPr>
            <w:r w:rsidRPr="00A46ADC">
              <w:t>5</w:t>
            </w:r>
          </w:p>
        </w:tc>
        <w:tc>
          <w:tcPr>
            <w:tcW w:w="850" w:type="dxa"/>
            <w:shd w:val="clear" w:color="auto" w:fill="C9DED4"/>
            <w:noWrap/>
          </w:tcPr>
          <w:p w14:paraId="0BB66423" w14:textId="77777777" w:rsidR="00DE4516" w:rsidRPr="00A46ADC" w:rsidRDefault="00DE4516" w:rsidP="00DE4516">
            <w:pPr>
              <w:pStyle w:val="TableBody"/>
              <w:autoSpaceDE w:val="0"/>
              <w:autoSpaceDN w:val="0"/>
              <w:adjustRightInd w:val="0"/>
              <w:ind w:right="170"/>
              <w:jc w:val="right"/>
              <w:rPr>
                <w:szCs w:val="16"/>
              </w:rPr>
            </w:pPr>
            <w:r w:rsidRPr="00A46ADC">
              <w:t>0.0</w:t>
            </w:r>
          </w:p>
        </w:tc>
        <w:tc>
          <w:tcPr>
            <w:tcW w:w="1133" w:type="dxa"/>
            <w:shd w:val="clear" w:color="auto" w:fill="C9DED4"/>
          </w:tcPr>
          <w:p w14:paraId="6F2C5ACB" w14:textId="77777777" w:rsidR="00DE4516" w:rsidRPr="00A46ADC" w:rsidRDefault="00DE4516" w:rsidP="00DE4516">
            <w:pPr>
              <w:pStyle w:val="TableBody"/>
              <w:autoSpaceDE w:val="0"/>
              <w:autoSpaceDN w:val="0"/>
              <w:adjustRightInd w:val="0"/>
              <w:ind w:right="284"/>
              <w:jc w:val="right"/>
              <w:rPr>
                <w:szCs w:val="16"/>
              </w:rPr>
            </w:pPr>
            <w:r w:rsidRPr="00A46ADC">
              <w:t>0.0</w:t>
            </w:r>
          </w:p>
        </w:tc>
        <w:tc>
          <w:tcPr>
            <w:tcW w:w="992" w:type="dxa"/>
            <w:shd w:val="clear" w:color="auto" w:fill="C9DED4"/>
            <w:noWrap/>
          </w:tcPr>
          <w:p w14:paraId="13A413E9"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650CFA4A" w14:textId="77777777" w:rsidTr="002C718D">
        <w:trPr>
          <w:cantSplit/>
          <w:trHeight w:val="20"/>
          <w:jc w:val="center"/>
        </w:trPr>
        <w:tc>
          <w:tcPr>
            <w:tcW w:w="3084" w:type="dxa"/>
            <w:noWrap/>
            <w:hideMark/>
          </w:tcPr>
          <w:p w14:paraId="4A40EA30" w14:textId="77777777" w:rsidR="00DE4516" w:rsidRPr="00A46ADC" w:rsidRDefault="00DE4516" w:rsidP="00DE4516">
            <w:pPr>
              <w:pStyle w:val="TableBody"/>
              <w:autoSpaceDE w:val="0"/>
              <w:autoSpaceDN w:val="0"/>
              <w:adjustRightInd w:val="0"/>
              <w:jc w:val="both"/>
              <w:rPr>
                <w:szCs w:val="16"/>
              </w:rPr>
            </w:pPr>
            <w:r w:rsidRPr="00A46ADC">
              <w:t xml:space="preserve">Leather, rubber, </w:t>
            </w:r>
            <w:proofErr w:type="gramStart"/>
            <w:r w:rsidRPr="00A46ADC">
              <w:t>footwear</w:t>
            </w:r>
            <w:proofErr w:type="gramEnd"/>
            <w:r w:rsidRPr="00A46ADC">
              <w:t xml:space="preserve"> and travel goods</w:t>
            </w:r>
          </w:p>
        </w:tc>
        <w:tc>
          <w:tcPr>
            <w:tcW w:w="1023" w:type="dxa"/>
            <w:noWrap/>
          </w:tcPr>
          <w:p w14:paraId="37651811" w14:textId="77777777" w:rsidR="00DE4516" w:rsidRPr="00A46ADC" w:rsidRDefault="00DE4516" w:rsidP="00DE4516">
            <w:pPr>
              <w:pStyle w:val="TableBody"/>
              <w:autoSpaceDE w:val="0"/>
              <w:autoSpaceDN w:val="0"/>
              <w:adjustRightInd w:val="0"/>
              <w:ind w:right="113"/>
              <w:jc w:val="right"/>
              <w:rPr>
                <w:szCs w:val="16"/>
              </w:rPr>
            </w:pPr>
            <w:r w:rsidRPr="00A46ADC">
              <w:t>207</w:t>
            </w:r>
          </w:p>
        </w:tc>
        <w:tc>
          <w:tcPr>
            <w:tcW w:w="990" w:type="dxa"/>
            <w:noWrap/>
          </w:tcPr>
          <w:p w14:paraId="3C591BD8" w14:textId="77777777" w:rsidR="00DE4516" w:rsidRPr="00A46ADC" w:rsidRDefault="00DE4516" w:rsidP="00DE4516">
            <w:pPr>
              <w:pStyle w:val="TableBody"/>
              <w:autoSpaceDE w:val="0"/>
              <w:autoSpaceDN w:val="0"/>
              <w:adjustRightInd w:val="0"/>
              <w:ind w:right="227"/>
              <w:jc w:val="right"/>
              <w:rPr>
                <w:szCs w:val="16"/>
              </w:rPr>
            </w:pPr>
            <w:r w:rsidRPr="00A46ADC">
              <w:t>6.4</w:t>
            </w:r>
          </w:p>
        </w:tc>
        <w:tc>
          <w:tcPr>
            <w:tcW w:w="994" w:type="dxa"/>
            <w:noWrap/>
          </w:tcPr>
          <w:p w14:paraId="418DF4E0" w14:textId="77777777" w:rsidR="00DE4516" w:rsidRPr="00A46ADC" w:rsidRDefault="00DE4516" w:rsidP="00DE4516">
            <w:pPr>
              <w:pStyle w:val="TableBody"/>
              <w:autoSpaceDE w:val="0"/>
              <w:autoSpaceDN w:val="0"/>
              <w:adjustRightInd w:val="0"/>
              <w:ind w:right="113"/>
              <w:jc w:val="right"/>
              <w:rPr>
                <w:szCs w:val="16"/>
              </w:rPr>
            </w:pPr>
            <w:r w:rsidRPr="00A46ADC">
              <w:t>5-100</w:t>
            </w:r>
          </w:p>
        </w:tc>
        <w:tc>
          <w:tcPr>
            <w:tcW w:w="850" w:type="dxa"/>
            <w:noWrap/>
          </w:tcPr>
          <w:p w14:paraId="7DF8132F" w14:textId="77777777" w:rsidR="00DE4516" w:rsidRPr="00A46ADC" w:rsidRDefault="00DE4516" w:rsidP="00DE4516">
            <w:pPr>
              <w:pStyle w:val="TableBody"/>
              <w:autoSpaceDE w:val="0"/>
              <w:autoSpaceDN w:val="0"/>
              <w:adjustRightInd w:val="0"/>
              <w:ind w:right="170"/>
              <w:jc w:val="right"/>
              <w:rPr>
                <w:szCs w:val="16"/>
              </w:rPr>
            </w:pPr>
            <w:r w:rsidRPr="00A46ADC">
              <w:t>11.5</w:t>
            </w:r>
          </w:p>
        </w:tc>
        <w:tc>
          <w:tcPr>
            <w:tcW w:w="1133" w:type="dxa"/>
          </w:tcPr>
          <w:p w14:paraId="3104DBCD" w14:textId="77777777" w:rsidR="00DE4516" w:rsidRPr="00A46ADC" w:rsidRDefault="00DE4516" w:rsidP="00DE4516">
            <w:pPr>
              <w:pStyle w:val="TableBody"/>
              <w:autoSpaceDE w:val="0"/>
              <w:autoSpaceDN w:val="0"/>
              <w:adjustRightInd w:val="0"/>
              <w:ind w:right="284"/>
              <w:jc w:val="right"/>
              <w:rPr>
                <w:szCs w:val="16"/>
              </w:rPr>
            </w:pPr>
            <w:r w:rsidRPr="00A46ADC">
              <w:t>0.0</w:t>
            </w:r>
          </w:p>
        </w:tc>
        <w:tc>
          <w:tcPr>
            <w:tcW w:w="992" w:type="dxa"/>
            <w:noWrap/>
          </w:tcPr>
          <w:p w14:paraId="22710657" w14:textId="77777777" w:rsidR="00DE4516" w:rsidRPr="00A46ADC" w:rsidRDefault="00DE4516" w:rsidP="00DE4516">
            <w:pPr>
              <w:pStyle w:val="TableBody"/>
              <w:autoSpaceDE w:val="0"/>
              <w:autoSpaceDN w:val="0"/>
              <w:adjustRightInd w:val="0"/>
              <w:ind w:right="227"/>
              <w:jc w:val="right"/>
              <w:rPr>
                <w:szCs w:val="16"/>
              </w:rPr>
            </w:pPr>
            <w:r w:rsidRPr="00A46ADC">
              <w:t>2.4</w:t>
            </w:r>
          </w:p>
        </w:tc>
      </w:tr>
      <w:tr w:rsidR="00DE4516" w:rsidRPr="00225231" w14:paraId="5BAC18AF" w14:textId="77777777" w:rsidTr="002C718D">
        <w:trPr>
          <w:cantSplit/>
          <w:trHeight w:val="20"/>
          <w:jc w:val="center"/>
        </w:trPr>
        <w:tc>
          <w:tcPr>
            <w:tcW w:w="3084" w:type="dxa"/>
            <w:shd w:val="clear" w:color="auto" w:fill="C9DED4"/>
            <w:noWrap/>
            <w:hideMark/>
          </w:tcPr>
          <w:p w14:paraId="3DEADC0C" w14:textId="77777777" w:rsidR="00DE4516" w:rsidRPr="00A46ADC" w:rsidRDefault="00DE4516" w:rsidP="00DE4516">
            <w:pPr>
              <w:pStyle w:val="TableBody"/>
              <w:autoSpaceDE w:val="0"/>
              <w:autoSpaceDN w:val="0"/>
              <w:adjustRightInd w:val="0"/>
              <w:jc w:val="both"/>
              <w:rPr>
                <w:szCs w:val="16"/>
              </w:rPr>
            </w:pPr>
            <w:r w:rsidRPr="00A46ADC">
              <w:t>Non</w:t>
            </w:r>
            <w:r w:rsidRPr="00A46ADC">
              <w:noBreakHyphen/>
              <w:t>electric machinery</w:t>
            </w:r>
          </w:p>
        </w:tc>
        <w:tc>
          <w:tcPr>
            <w:tcW w:w="1023" w:type="dxa"/>
            <w:shd w:val="clear" w:color="auto" w:fill="C9DED4"/>
            <w:noWrap/>
          </w:tcPr>
          <w:p w14:paraId="7608992A" w14:textId="77777777" w:rsidR="00DE4516" w:rsidRPr="00A46ADC" w:rsidRDefault="00DE4516" w:rsidP="00DE4516">
            <w:pPr>
              <w:pStyle w:val="TableBody"/>
              <w:autoSpaceDE w:val="0"/>
              <w:autoSpaceDN w:val="0"/>
              <w:adjustRightInd w:val="0"/>
              <w:ind w:right="113"/>
              <w:jc w:val="right"/>
              <w:rPr>
                <w:szCs w:val="16"/>
              </w:rPr>
            </w:pPr>
            <w:r w:rsidRPr="00A46ADC">
              <w:t>652</w:t>
            </w:r>
          </w:p>
        </w:tc>
        <w:tc>
          <w:tcPr>
            <w:tcW w:w="990" w:type="dxa"/>
            <w:shd w:val="clear" w:color="auto" w:fill="C9DED4"/>
            <w:noWrap/>
          </w:tcPr>
          <w:p w14:paraId="42E8D42C" w14:textId="77777777" w:rsidR="00DE4516" w:rsidRPr="00A46ADC" w:rsidRDefault="00DE4516" w:rsidP="00DE4516">
            <w:pPr>
              <w:pStyle w:val="TableBody"/>
              <w:autoSpaceDE w:val="0"/>
              <w:autoSpaceDN w:val="0"/>
              <w:adjustRightInd w:val="0"/>
              <w:ind w:right="227"/>
              <w:jc w:val="right"/>
              <w:rPr>
                <w:szCs w:val="16"/>
              </w:rPr>
            </w:pPr>
            <w:r w:rsidRPr="00A46ADC">
              <w:t>4.2</w:t>
            </w:r>
          </w:p>
        </w:tc>
        <w:tc>
          <w:tcPr>
            <w:tcW w:w="994" w:type="dxa"/>
            <w:shd w:val="clear" w:color="auto" w:fill="C9DED4"/>
            <w:noWrap/>
          </w:tcPr>
          <w:p w14:paraId="792075D2"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shd w:val="clear" w:color="auto" w:fill="C9DED4"/>
            <w:noWrap/>
          </w:tcPr>
          <w:p w14:paraId="6D54F152" w14:textId="77777777" w:rsidR="00DE4516" w:rsidRPr="00A46ADC" w:rsidRDefault="00DE4516" w:rsidP="00DE4516">
            <w:pPr>
              <w:pStyle w:val="TableBody"/>
              <w:autoSpaceDE w:val="0"/>
              <w:autoSpaceDN w:val="0"/>
              <w:adjustRightInd w:val="0"/>
              <w:ind w:right="170"/>
              <w:jc w:val="right"/>
              <w:rPr>
                <w:szCs w:val="16"/>
              </w:rPr>
            </w:pPr>
            <w:r w:rsidRPr="00A46ADC">
              <w:t>1.8</w:t>
            </w:r>
          </w:p>
        </w:tc>
        <w:tc>
          <w:tcPr>
            <w:tcW w:w="1133" w:type="dxa"/>
            <w:shd w:val="clear" w:color="auto" w:fill="C9DED4"/>
          </w:tcPr>
          <w:p w14:paraId="6EBAD6B0" w14:textId="77777777" w:rsidR="00DE4516" w:rsidRPr="00A46ADC" w:rsidRDefault="00DE4516" w:rsidP="00DE4516">
            <w:pPr>
              <w:pStyle w:val="TableBody"/>
              <w:autoSpaceDE w:val="0"/>
              <w:autoSpaceDN w:val="0"/>
              <w:adjustRightInd w:val="0"/>
              <w:ind w:right="284"/>
              <w:jc w:val="right"/>
              <w:rPr>
                <w:szCs w:val="16"/>
              </w:rPr>
            </w:pPr>
            <w:r w:rsidRPr="00A46ADC">
              <w:t>16.3</w:t>
            </w:r>
          </w:p>
        </w:tc>
        <w:tc>
          <w:tcPr>
            <w:tcW w:w="992" w:type="dxa"/>
            <w:shd w:val="clear" w:color="auto" w:fill="C9DED4"/>
            <w:noWrap/>
          </w:tcPr>
          <w:p w14:paraId="10CB208A"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41FA242C" w14:textId="77777777" w:rsidTr="002C718D">
        <w:trPr>
          <w:cantSplit/>
          <w:trHeight w:val="20"/>
          <w:jc w:val="center"/>
        </w:trPr>
        <w:tc>
          <w:tcPr>
            <w:tcW w:w="3084" w:type="dxa"/>
            <w:noWrap/>
            <w:hideMark/>
          </w:tcPr>
          <w:p w14:paraId="743BE782" w14:textId="77777777" w:rsidR="00DE4516" w:rsidRPr="00A46ADC" w:rsidRDefault="00DE4516" w:rsidP="00DE4516">
            <w:pPr>
              <w:pStyle w:val="TableBody"/>
              <w:autoSpaceDE w:val="0"/>
              <w:autoSpaceDN w:val="0"/>
              <w:adjustRightInd w:val="0"/>
              <w:jc w:val="both"/>
              <w:rPr>
                <w:szCs w:val="16"/>
              </w:rPr>
            </w:pPr>
            <w:r w:rsidRPr="00A46ADC">
              <w:t>Electric machinery</w:t>
            </w:r>
          </w:p>
        </w:tc>
        <w:tc>
          <w:tcPr>
            <w:tcW w:w="1023" w:type="dxa"/>
            <w:noWrap/>
          </w:tcPr>
          <w:p w14:paraId="392D62AF" w14:textId="77777777" w:rsidR="00DE4516" w:rsidRPr="00A46ADC" w:rsidRDefault="00DE4516" w:rsidP="00DE4516">
            <w:pPr>
              <w:pStyle w:val="TableBody"/>
              <w:autoSpaceDE w:val="0"/>
              <w:autoSpaceDN w:val="0"/>
              <w:adjustRightInd w:val="0"/>
              <w:ind w:right="113"/>
              <w:jc w:val="right"/>
              <w:rPr>
                <w:szCs w:val="16"/>
              </w:rPr>
            </w:pPr>
            <w:r w:rsidRPr="00A46ADC">
              <w:t>330</w:t>
            </w:r>
          </w:p>
        </w:tc>
        <w:tc>
          <w:tcPr>
            <w:tcW w:w="990" w:type="dxa"/>
            <w:noWrap/>
          </w:tcPr>
          <w:p w14:paraId="1D2FA22D" w14:textId="77777777" w:rsidR="00DE4516" w:rsidRPr="00A46ADC" w:rsidRDefault="00DE4516" w:rsidP="00DE4516">
            <w:pPr>
              <w:pStyle w:val="TableBody"/>
              <w:autoSpaceDE w:val="0"/>
              <w:autoSpaceDN w:val="0"/>
              <w:adjustRightInd w:val="0"/>
              <w:ind w:right="227"/>
              <w:jc w:val="right"/>
              <w:rPr>
                <w:szCs w:val="16"/>
              </w:rPr>
            </w:pPr>
            <w:r w:rsidRPr="00A46ADC">
              <w:t>3.3</w:t>
            </w:r>
          </w:p>
        </w:tc>
        <w:tc>
          <w:tcPr>
            <w:tcW w:w="994" w:type="dxa"/>
            <w:noWrap/>
          </w:tcPr>
          <w:p w14:paraId="476D6094"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noWrap/>
          </w:tcPr>
          <w:p w14:paraId="4A1EEB80" w14:textId="77777777" w:rsidR="00DE4516" w:rsidRPr="00A46ADC" w:rsidRDefault="00DE4516" w:rsidP="00DE4516">
            <w:pPr>
              <w:pStyle w:val="TableBody"/>
              <w:autoSpaceDE w:val="0"/>
              <w:autoSpaceDN w:val="0"/>
              <w:adjustRightInd w:val="0"/>
              <w:ind w:right="170"/>
              <w:jc w:val="right"/>
              <w:rPr>
                <w:szCs w:val="16"/>
              </w:rPr>
            </w:pPr>
            <w:r w:rsidRPr="00A46ADC">
              <w:t>2.4</w:t>
            </w:r>
          </w:p>
        </w:tc>
        <w:tc>
          <w:tcPr>
            <w:tcW w:w="1133" w:type="dxa"/>
          </w:tcPr>
          <w:p w14:paraId="1F3D7042" w14:textId="77777777" w:rsidR="00DE4516" w:rsidRPr="00A46ADC" w:rsidRDefault="00DE4516" w:rsidP="00DE4516">
            <w:pPr>
              <w:pStyle w:val="TableBody"/>
              <w:autoSpaceDE w:val="0"/>
              <w:autoSpaceDN w:val="0"/>
              <w:adjustRightInd w:val="0"/>
              <w:ind w:right="284"/>
              <w:jc w:val="right"/>
              <w:rPr>
                <w:szCs w:val="16"/>
              </w:rPr>
            </w:pPr>
            <w:r w:rsidRPr="00A46ADC">
              <w:t>33.9</w:t>
            </w:r>
          </w:p>
        </w:tc>
        <w:tc>
          <w:tcPr>
            <w:tcW w:w="992" w:type="dxa"/>
            <w:noWrap/>
          </w:tcPr>
          <w:p w14:paraId="130856E4" w14:textId="77777777" w:rsidR="00DE4516" w:rsidRPr="00A46ADC" w:rsidRDefault="00DE4516" w:rsidP="00DE4516">
            <w:pPr>
              <w:pStyle w:val="TableBody"/>
              <w:autoSpaceDE w:val="0"/>
              <w:autoSpaceDN w:val="0"/>
              <w:adjustRightInd w:val="0"/>
              <w:ind w:right="227"/>
              <w:jc w:val="right"/>
              <w:rPr>
                <w:szCs w:val="16"/>
              </w:rPr>
            </w:pPr>
            <w:r w:rsidRPr="00A46ADC">
              <w:t>0.9</w:t>
            </w:r>
          </w:p>
        </w:tc>
      </w:tr>
      <w:tr w:rsidR="00DE4516" w:rsidRPr="00225231" w14:paraId="3B70A240" w14:textId="77777777" w:rsidTr="002C718D">
        <w:trPr>
          <w:cantSplit/>
          <w:trHeight w:val="20"/>
          <w:jc w:val="center"/>
        </w:trPr>
        <w:tc>
          <w:tcPr>
            <w:tcW w:w="3084" w:type="dxa"/>
            <w:shd w:val="clear" w:color="auto" w:fill="C9DED4"/>
            <w:noWrap/>
            <w:hideMark/>
          </w:tcPr>
          <w:p w14:paraId="344A806E" w14:textId="77777777" w:rsidR="00DE4516" w:rsidRPr="00A46ADC" w:rsidRDefault="00DE4516" w:rsidP="00DE4516">
            <w:pPr>
              <w:pStyle w:val="TableBody"/>
              <w:autoSpaceDE w:val="0"/>
              <w:autoSpaceDN w:val="0"/>
              <w:adjustRightInd w:val="0"/>
              <w:jc w:val="both"/>
              <w:rPr>
                <w:szCs w:val="16"/>
              </w:rPr>
            </w:pPr>
            <w:r w:rsidRPr="00A46ADC">
              <w:t>Transport equipment</w:t>
            </w:r>
          </w:p>
        </w:tc>
        <w:tc>
          <w:tcPr>
            <w:tcW w:w="1023" w:type="dxa"/>
            <w:shd w:val="clear" w:color="auto" w:fill="C9DED4"/>
            <w:noWrap/>
          </w:tcPr>
          <w:p w14:paraId="292DCAA3" w14:textId="77777777" w:rsidR="00DE4516" w:rsidRPr="00A46ADC" w:rsidRDefault="00DE4516" w:rsidP="00DE4516">
            <w:pPr>
              <w:pStyle w:val="TableBody"/>
              <w:autoSpaceDE w:val="0"/>
              <w:autoSpaceDN w:val="0"/>
              <w:adjustRightInd w:val="0"/>
              <w:ind w:right="113"/>
              <w:jc w:val="right"/>
              <w:rPr>
                <w:szCs w:val="16"/>
              </w:rPr>
            </w:pPr>
            <w:r w:rsidRPr="00A46ADC">
              <w:t>248</w:t>
            </w:r>
          </w:p>
        </w:tc>
        <w:tc>
          <w:tcPr>
            <w:tcW w:w="990" w:type="dxa"/>
            <w:shd w:val="clear" w:color="auto" w:fill="C9DED4"/>
            <w:noWrap/>
          </w:tcPr>
          <w:p w14:paraId="5CC39E6A" w14:textId="77777777" w:rsidR="00DE4516" w:rsidRPr="00A46ADC" w:rsidRDefault="00DE4516" w:rsidP="00DE4516">
            <w:pPr>
              <w:pStyle w:val="TableBody"/>
              <w:autoSpaceDE w:val="0"/>
              <w:autoSpaceDN w:val="0"/>
              <w:adjustRightInd w:val="0"/>
              <w:ind w:right="227"/>
              <w:jc w:val="right"/>
              <w:rPr>
                <w:szCs w:val="16"/>
              </w:rPr>
            </w:pPr>
            <w:r w:rsidRPr="00A46ADC">
              <w:t>4.5</w:t>
            </w:r>
          </w:p>
        </w:tc>
        <w:tc>
          <w:tcPr>
            <w:tcW w:w="994" w:type="dxa"/>
            <w:shd w:val="clear" w:color="auto" w:fill="C9DED4"/>
            <w:noWrap/>
          </w:tcPr>
          <w:p w14:paraId="57A1221F"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shd w:val="clear" w:color="auto" w:fill="C9DED4"/>
            <w:noWrap/>
          </w:tcPr>
          <w:p w14:paraId="5BA6E264" w14:textId="77777777" w:rsidR="00DE4516" w:rsidRPr="00A46ADC" w:rsidRDefault="00DE4516" w:rsidP="00DE4516">
            <w:pPr>
              <w:pStyle w:val="TableBody"/>
              <w:autoSpaceDE w:val="0"/>
              <w:autoSpaceDN w:val="0"/>
              <w:adjustRightInd w:val="0"/>
              <w:ind w:right="170"/>
              <w:jc w:val="right"/>
              <w:rPr>
                <w:szCs w:val="16"/>
              </w:rPr>
            </w:pPr>
            <w:r w:rsidRPr="00A46ADC">
              <w:t>1.5</w:t>
            </w:r>
          </w:p>
        </w:tc>
        <w:tc>
          <w:tcPr>
            <w:tcW w:w="1133" w:type="dxa"/>
            <w:shd w:val="clear" w:color="auto" w:fill="C9DED4"/>
          </w:tcPr>
          <w:p w14:paraId="2C47FC15" w14:textId="77777777" w:rsidR="00DE4516" w:rsidRPr="00A46ADC" w:rsidRDefault="00DE4516" w:rsidP="00DE4516">
            <w:pPr>
              <w:pStyle w:val="TableBody"/>
              <w:autoSpaceDE w:val="0"/>
              <w:autoSpaceDN w:val="0"/>
              <w:adjustRightInd w:val="0"/>
              <w:ind w:right="284"/>
              <w:jc w:val="right"/>
              <w:rPr>
                <w:szCs w:val="16"/>
              </w:rPr>
            </w:pPr>
            <w:r w:rsidRPr="00A46ADC">
              <w:t>10.5</w:t>
            </w:r>
          </w:p>
        </w:tc>
        <w:tc>
          <w:tcPr>
            <w:tcW w:w="992" w:type="dxa"/>
            <w:shd w:val="clear" w:color="auto" w:fill="C9DED4"/>
            <w:noWrap/>
          </w:tcPr>
          <w:p w14:paraId="609E7EBA"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72841669" w14:textId="77777777" w:rsidTr="002C718D">
        <w:trPr>
          <w:cantSplit/>
          <w:trHeight w:val="20"/>
          <w:jc w:val="center"/>
        </w:trPr>
        <w:tc>
          <w:tcPr>
            <w:tcW w:w="3084" w:type="dxa"/>
            <w:noWrap/>
            <w:hideMark/>
          </w:tcPr>
          <w:p w14:paraId="6B0D54AD" w14:textId="77777777" w:rsidR="00DE4516" w:rsidRPr="00A46ADC" w:rsidRDefault="00DE4516" w:rsidP="00DE4516">
            <w:pPr>
              <w:pStyle w:val="TableBody"/>
              <w:autoSpaceDE w:val="0"/>
              <w:autoSpaceDN w:val="0"/>
              <w:adjustRightInd w:val="0"/>
              <w:jc w:val="both"/>
              <w:rPr>
                <w:szCs w:val="16"/>
                <w:lang w:val="fr-FR"/>
              </w:rPr>
            </w:pPr>
            <w:r w:rsidRPr="00A46ADC">
              <w:rPr>
                <w:lang w:val="fr-FR"/>
              </w:rPr>
              <w:t>Non</w:t>
            </w:r>
            <w:r w:rsidRPr="00A46ADC">
              <w:rPr>
                <w:lang w:val="fr-FR"/>
              </w:rPr>
              <w:noBreakHyphen/>
              <w:t xml:space="preserve">agricultural </w:t>
            </w:r>
            <w:proofErr w:type="spellStart"/>
            <w:r w:rsidRPr="00A46ADC">
              <w:rPr>
                <w:lang w:val="fr-FR"/>
              </w:rPr>
              <w:t>products</w:t>
            </w:r>
            <w:proofErr w:type="spellEnd"/>
            <w:r w:rsidRPr="00A46ADC">
              <w:rPr>
                <w:lang w:val="fr-FR"/>
              </w:rPr>
              <w:t xml:space="preserve">, </w:t>
            </w:r>
            <w:proofErr w:type="spellStart"/>
            <w:r w:rsidRPr="00A46ADC">
              <w:rPr>
                <w:lang w:val="fr-FR"/>
              </w:rPr>
              <w:t>n.e.s</w:t>
            </w:r>
            <w:proofErr w:type="spellEnd"/>
            <w:r w:rsidRPr="00A46ADC">
              <w:rPr>
                <w:lang w:val="fr-FR"/>
              </w:rPr>
              <w:t>.</w:t>
            </w:r>
          </w:p>
        </w:tc>
        <w:tc>
          <w:tcPr>
            <w:tcW w:w="1023" w:type="dxa"/>
            <w:noWrap/>
          </w:tcPr>
          <w:p w14:paraId="79767278" w14:textId="77777777" w:rsidR="00DE4516" w:rsidRPr="00A46ADC" w:rsidRDefault="00DE4516" w:rsidP="00DE4516">
            <w:pPr>
              <w:pStyle w:val="TableBody"/>
              <w:autoSpaceDE w:val="0"/>
              <w:autoSpaceDN w:val="0"/>
              <w:adjustRightInd w:val="0"/>
              <w:ind w:right="113"/>
              <w:jc w:val="right"/>
              <w:rPr>
                <w:szCs w:val="16"/>
              </w:rPr>
            </w:pPr>
            <w:r w:rsidRPr="00A46ADC">
              <w:t>545</w:t>
            </w:r>
          </w:p>
        </w:tc>
        <w:tc>
          <w:tcPr>
            <w:tcW w:w="990" w:type="dxa"/>
            <w:noWrap/>
          </w:tcPr>
          <w:p w14:paraId="50126F16" w14:textId="77777777" w:rsidR="00DE4516" w:rsidRPr="00A46ADC" w:rsidRDefault="00DE4516" w:rsidP="00DE4516">
            <w:pPr>
              <w:pStyle w:val="TableBody"/>
              <w:autoSpaceDE w:val="0"/>
              <w:autoSpaceDN w:val="0"/>
              <w:adjustRightInd w:val="0"/>
              <w:ind w:right="227"/>
              <w:jc w:val="right"/>
              <w:rPr>
                <w:szCs w:val="16"/>
              </w:rPr>
            </w:pPr>
            <w:r w:rsidRPr="00A46ADC">
              <w:t>4.6</w:t>
            </w:r>
          </w:p>
        </w:tc>
        <w:tc>
          <w:tcPr>
            <w:tcW w:w="994" w:type="dxa"/>
            <w:noWrap/>
          </w:tcPr>
          <w:p w14:paraId="6E3C84D1"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noWrap/>
          </w:tcPr>
          <w:p w14:paraId="22C0405C" w14:textId="77777777" w:rsidR="00DE4516" w:rsidRPr="00A46ADC" w:rsidRDefault="00DE4516" w:rsidP="00DE4516">
            <w:pPr>
              <w:pStyle w:val="TableBody"/>
              <w:autoSpaceDE w:val="0"/>
              <w:autoSpaceDN w:val="0"/>
              <w:adjustRightInd w:val="0"/>
              <w:ind w:right="170"/>
              <w:jc w:val="right"/>
              <w:rPr>
                <w:szCs w:val="16"/>
              </w:rPr>
            </w:pPr>
            <w:r w:rsidRPr="00A46ADC">
              <w:t>1.4</w:t>
            </w:r>
          </w:p>
        </w:tc>
        <w:tc>
          <w:tcPr>
            <w:tcW w:w="1133" w:type="dxa"/>
          </w:tcPr>
          <w:p w14:paraId="4471DBC5" w14:textId="77777777" w:rsidR="00DE4516" w:rsidRPr="00A46ADC" w:rsidRDefault="00DE4516" w:rsidP="00DE4516">
            <w:pPr>
              <w:pStyle w:val="TableBody"/>
              <w:autoSpaceDE w:val="0"/>
              <w:autoSpaceDN w:val="0"/>
              <w:adjustRightInd w:val="0"/>
              <w:ind w:right="284"/>
              <w:jc w:val="right"/>
              <w:rPr>
                <w:szCs w:val="16"/>
              </w:rPr>
            </w:pPr>
            <w:r w:rsidRPr="00A46ADC">
              <w:t>8.6</w:t>
            </w:r>
          </w:p>
        </w:tc>
        <w:tc>
          <w:tcPr>
            <w:tcW w:w="992" w:type="dxa"/>
            <w:noWrap/>
          </w:tcPr>
          <w:p w14:paraId="5F08DFF1" w14:textId="77777777" w:rsidR="00DE4516" w:rsidRPr="00A46ADC" w:rsidRDefault="00DE4516" w:rsidP="00DE4516">
            <w:pPr>
              <w:pStyle w:val="TableBody"/>
              <w:autoSpaceDE w:val="0"/>
              <w:autoSpaceDN w:val="0"/>
              <w:adjustRightInd w:val="0"/>
              <w:ind w:right="227"/>
              <w:jc w:val="right"/>
              <w:rPr>
                <w:szCs w:val="16"/>
              </w:rPr>
            </w:pPr>
            <w:r w:rsidRPr="00A46ADC">
              <w:t>0.2</w:t>
            </w:r>
          </w:p>
        </w:tc>
      </w:tr>
      <w:tr w:rsidR="00DE4516" w:rsidRPr="00225231" w14:paraId="0ECB55B5" w14:textId="77777777" w:rsidTr="002C718D">
        <w:trPr>
          <w:cantSplit/>
          <w:trHeight w:val="20"/>
          <w:jc w:val="center"/>
        </w:trPr>
        <w:tc>
          <w:tcPr>
            <w:tcW w:w="3084" w:type="dxa"/>
            <w:shd w:val="clear" w:color="auto" w:fill="C9DED4"/>
            <w:noWrap/>
            <w:hideMark/>
          </w:tcPr>
          <w:p w14:paraId="505CAFA2" w14:textId="77777777" w:rsidR="00DE4516" w:rsidRPr="00A46ADC" w:rsidRDefault="00DE4516" w:rsidP="00DE4516">
            <w:pPr>
              <w:pStyle w:val="TableBody"/>
              <w:autoSpaceDE w:val="0"/>
              <w:autoSpaceDN w:val="0"/>
              <w:adjustRightInd w:val="0"/>
              <w:jc w:val="both"/>
              <w:rPr>
                <w:szCs w:val="16"/>
              </w:rPr>
            </w:pPr>
            <w:r w:rsidRPr="00A46ADC">
              <w:t>Petroleum</w:t>
            </w:r>
          </w:p>
        </w:tc>
        <w:tc>
          <w:tcPr>
            <w:tcW w:w="1023" w:type="dxa"/>
            <w:shd w:val="clear" w:color="auto" w:fill="C9DED4"/>
            <w:noWrap/>
          </w:tcPr>
          <w:p w14:paraId="0ECAAC80" w14:textId="77777777" w:rsidR="00DE4516" w:rsidRPr="00A46ADC" w:rsidRDefault="00DE4516" w:rsidP="00DE4516">
            <w:pPr>
              <w:pStyle w:val="TableBody"/>
              <w:autoSpaceDE w:val="0"/>
              <w:autoSpaceDN w:val="0"/>
              <w:adjustRightInd w:val="0"/>
              <w:ind w:right="113"/>
              <w:jc w:val="right"/>
              <w:rPr>
                <w:szCs w:val="16"/>
              </w:rPr>
            </w:pPr>
            <w:r w:rsidRPr="00A46ADC">
              <w:t>35</w:t>
            </w:r>
          </w:p>
        </w:tc>
        <w:tc>
          <w:tcPr>
            <w:tcW w:w="990" w:type="dxa"/>
            <w:shd w:val="clear" w:color="auto" w:fill="C9DED4"/>
            <w:noWrap/>
          </w:tcPr>
          <w:p w14:paraId="10486B64" w14:textId="77777777" w:rsidR="00DE4516" w:rsidRPr="00A46ADC" w:rsidRDefault="00DE4516" w:rsidP="00DE4516">
            <w:pPr>
              <w:pStyle w:val="TableBody"/>
              <w:autoSpaceDE w:val="0"/>
              <w:autoSpaceDN w:val="0"/>
              <w:adjustRightInd w:val="0"/>
              <w:ind w:right="227"/>
              <w:jc w:val="right"/>
              <w:rPr>
                <w:szCs w:val="16"/>
              </w:rPr>
            </w:pPr>
            <w:r w:rsidRPr="00A46ADC">
              <w:t>5.0</w:t>
            </w:r>
          </w:p>
        </w:tc>
        <w:tc>
          <w:tcPr>
            <w:tcW w:w="994" w:type="dxa"/>
            <w:shd w:val="clear" w:color="auto" w:fill="C9DED4"/>
            <w:noWrap/>
          </w:tcPr>
          <w:p w14:paraId="454C9A58" w14:textId="77777777" w:rsidR="00DE4516" w:rsidRPr="00A46ADC" w:rsidRDefault="00DE4516" w:rsidP="00DE4516">
            <w:pPr>
              <w:pStyle w:val="TableBody"/>
              <w:autoSpaceDE w:val="0"/>
              <w:autoSpaceDN w:val="0"/>
              <w:adjustRightInd w:val="0"/>
              <w:ind w:right="113"/>
              <w:jc w:val="right"/>
              <w:rPr>
                <w:szCs w:val="16"/>
              </w:rPr>
            </w:pPr>
            <w:r w:rsidRPr="00A46ADC">
              <w:t>5</w:t>
            </w:r>
          </w:p>
        </w:tc>
        <w:tc>
          <w:tcPr>
            <w:tcW w:w="850" w:type="dxa"/>
            <w:shd w:val="clear" w:color="auto" w:fill="C9DED4"/>
            <w:noWrap/>
          </w:tcPr>
          <w:p w14:paraId="26C9F298" w14:textId="77777777" w:rsidR="00DE4516" w:rsidRPr="00A46ADC" w:rsidRDefault="00DE4516" w:rsidP="00DE4516">
            <w:pPr>
              <w:pStyle w:val="TableBody"/>
              <w:autoSpaceDE w:val="0"/>
              <w:autoSpaceDN w:val="0"/>
              <w:adjustRightInd w:val="0"/>
              <w:ind w:right="170"/>
              <w:jc w:val="right"/>
              <w:rPr>
                <w:szCs w:val="16"/>
              </w:rPr>
            </w:pPr>
            <w:r w:rsidRPr="00A46ADC">
              <w:t>0.0</w:t>
            </w:r>
          </w:p>
        </w:tc>
        <w:tc>
          <w:tcPr>
            <w:tcW w:w="1133" w:type="dxa"/>
            <w:shd w:val="clear" w:color="auto" w:fill="C9DED4"/>
          </w:tcPr>
          <w:p w14:paraId="2C6C75C8" w14:textId="77777777" w:rsidR="00DE4516" w:rsidRPr="00A46ADC" w:rsidRDefault="00DE4516" w:rsidP="00DE4516">
            <w:pPr>
              <w:pStyle w:val="TableBody"/>
              <w:autoSpaceDE w:val="0"/>
              <w:autoSpaceDN w:val="0"/>
              <w:adjustRightInd w:val="0"/>
              <w:ind w:right="284"/>
              <w:jc w:val="right"/>
              <w:rPr>
                <w:szCs w:val="16"/>
              </w:rPr>
            </w:pPr>
            <w:r w:rsidRPr="00A46ADC">
              <w:t>0.0</w:t>
            </w:r>
          </w:p>
        </w:tc>
        <w:tc>
          <w:tcPr>
            <w:tcW w:w="992" w:type="dxa"/>
            <w:shd w:val="clear" w:color="auto" w:fill="C9DED4"/>
            <w:noWrap/>
          </w:tcPr>
          <w:p w14:paraId="57EF34D9" w14:textId="77777777" w:rsidR="00DE4516" w:rsidRPr="00A46ADC" w:rsidRDefault="00DE4516" w:rsidP="00DE4516">
            <w:pPr>
              <w:pStyle w:val="TableBody"/>
              <w:autoSpaceDE w:val="0"/>
              <w:autoSpaceDN w:val="0"/>
              <w:adjustRightInd w:val="0"/>
              <w:ind w:right="227"/>
              <w:jc w:val="right"/>
              <w:rPr>
                <w:szCs w:val="16"/>
              </w:rPr>
            </w:pPr>
            <w:r w:rsidRPr="00A46ADC">
              <w:t>5.7</w:t>
            </w:r>
          </w:p>
        </w:tc>
      </w:tr>
      <w:tr w:rsidR="00DE4516" w:rsidRPr="00225231" w14:paraId="6A18D33E" w14:textId="77777777" w:rsidTr="002C718D">
        <w:trPr>
          <w:cantSplit/>
          <w:trHeight w:val="20"/>
          <w:jc w:val="center"/>
        </w:trPr>
        <w:tc>
          <w:tcPr>
            <w:tcW w:w="3084" w:type="dxa"/>
            <w:noWrap/>
            <w:hideMark/>
          </w:tcPr>
          <w:p w14:paraId="29A3B14F" w14:textId="77777777" w:rsidR="00DE4516" w:rsidRPr="00A46ADC" w:rsidRDefault="00DE4516" w:rsidP="00DE4516">
            <w:pPr>
              <w:pStyle w:val="TableBody"/>
              <w:autoSpaceDE w:val="0"/>
              <w:autoSpaceDN w:val="0"/>
              <w:adjustRightInd w:val="0"/>
              <w:jc w:val="both"/>
              <w:rPr>
                <w:b/>
                <w:bCs/>
                <w:szCs w:val="16"/>
              </w:rPr>
            </w:pPr>
            <w:r w:rsidRPr="00A46ADC">
              <w:rPr>
                <w:b/>
              </w:rPr>
              <w:t xml:space="preserve">By ISIC </w:t>
            </w:r>
            <w:proofErr w:type="spellStart"/>
            <w:r w:rsidRPr="00A46ADC">
              <w:rPr>
                <w:b/>
              </w:rPr>
              <w:t>sector</w:t>
            </w:r>
            <w:r w:rsidRPr="00A46ADC">
              <w:rPr>
                <w:b/>
                <w:vertAlign w:val="superscript"/>
              </w:rPr>
              <w:t>b</w:t>
            </w:r>
            <w:proofErr w:type="spellEnd"/>
          </w:p>
        </w:tc>
        <w:tc>
          <w:tcPr>
            <w:tcW w:w="1023" w:type="dxa"/>
            <w:noWrap/>
            <w:vAlign w:val="center"/>
          </w:tcPr>
          <w:p w14:paraId="07D5F227" w14:textId="77777777" w:rsidR="00DE4516" w:rsidRPr="00A46ADC" w:rsidRDefault="00DE4516" w:rsidP="00DE4516">
            <w:pPr>
              <w:pStyle w:val="TableBody"/>
              <w:tabs>
                <w:tab w:val="left" w:pos="720"/>
              </w:tabs>
              <w:autoSpaceDE w:val="0"/>
              <w:autoSpaceDN w:val="0"/>
              <w:adjustRightInd w:val="0"/>
              <w:ind w:right="113"/>
              <w:jc w:val="right"/>
            </w:pPr>
          </w:p>
        </w:tc>
        <w:tc>
          <w:tcPr>
            <w:tcW w:w="990" w:type="dxa"/>
            <w:noWrap/>
            <w:vAlign w:val="center"/>
          </w:tcPr>
          <w:p w14:paraId="35B77C77" w14:textId="77777777" w:rsidR="00DE4516" w:rsidRPr="00A46ADC" w:rsidRDefault="00DE4516" w:rsidP="00DE4516">
            <w:pPr>
              <w:pStyle w:val="TableBody"/>
              <w:tabs>
                <w:tab w:val="left" w:pos="720"/>
              </w:tabs>
              <w:autoSpaceDE w:val="0"/>
              <w:autoSpaceDN w:val="0"/>
              <w:adjustRightInd w:val="0"/>
              <w:ind w:right="227"/>
              <w:jc w:val="right"/>
            </w:pPr>
          </w:p>
        </w:tc>
        <w:tc>
          <w:tcPr>
            <w:tcW w:w="994" w:type="dxa"/>
            <w:noWrap/>
            <w:vAlign w:val="center"/>
          </w:tcPr>
          <w:p w14:paraId="5B2EA0D8" w14:textId="77777777" w:rsidR="00DE4516" w:rsidRPr="00A46ADC" w:rsidRDefault="00DE4516" w:rsidP="00DE4516">
            <w:pPr>
              <w:pStyle w:val="TableBody"/>
              <w:tabs>
                <w:tab w:val="left" w:pos="720"/>
              </w:tabs>
              <w:autoSpaceDE w:val="0"/>
              <w:autoSpaceDN w:val="0"/>
              <w:adjustRightInd w:val="0"/>
              <w:ind w:right="113"/>
              <w:jc w:val="right"/>
            </w:pPr>
          </w:p>
        </w:tc>
        <w:tc>
          <w:tcPr>
            <w:tcW w:w="850" w:type="dxa"/>
            <w:noWrap/>
            <w:vAlign w:val="center"/>
          </w:tcPr>
          <w:p w14:paraId="26DD607A" w14:textId="77777777" w:rsidR="00DE4516" w:rsidRPr="00A46ADC" w:rsidRDefault="00DE4516" w:rsidP="00DE4516">
            <w:pPr>
              <w:pStyle w:val="TableBody"/>
              <w:tabs>
                <w:tab w:val="left" w:pos="720"/>
              </w:tabs>
              <w:autoSpaceDE w:val="0"/>
              <w:autoSpaceDN w:val="0"/>
              <w:adjustRightInd w:val="0"/>
              <w:ind w:right="170"/>
              <w:jc w:val="right"/>
            </w:pPr>
          </w:p>
        </w:tc>
        <w:tc>
          <w:tcPr>
            <w:tcW w:w="1133" w:type="dxa"/>
            <w:vAlign w:val="center"/>
          </w:tcPr>
          <w:p w14:paraId="15CAF247" w14:textId="77777777" w:rsidR="00DE4516" w:rsidRPr="00A46ADC" w:rsidRDefault="00DE4516" w:rsidP="00DE4516">
            <w:pPr>
              <w:pStyle w:val="TableBody"/>
              <w:tabs>
                <w:tab w:val="left" w:pos="720"/>
              </w:tabs>
              <w:autoSpaceDE w:val="0"/>
              <w:autoSpaceDN w:val="0"/>
              <w:adjustRightInd w:val="0"/>
              <w:ind w:right="284"/>
              <w:jc w:val="right"/>
            </w:pPr>
          </w:p>
        </w:tc>
        <w:tc>
          <w:tcPr>
            <w:tcW w:w="992" w:type="dxa"/>
            <w:noWrap/>
            <w:vAlign w:val="center"/>
          </w:tcPr>
          <w:p w14:paraId="25BD4BFC" w14:textId="77777777" w:rsidR="00DE4516" w:rsidRPr="00A46ADC" w:rsidRDefault="00DE4516" w:rsidP="00DE4516">
            <w:pPr>
              <w:pStyle w:val="TableBody"/>
              <w:tabs>
                <w:tab w:val="left" w:pos="720"/>
              </w:tabs>
              <w:autoSpaceDE w:val="0"/>
              <w:autoSpaceDN w:val="0"/>
              <w:adjustRightInd w:val="0"/>
              <w:ind w:right="227"/>
              <w:jc w:val="right"/>
            </w:pPr>
          </w:p>
        </w:tc>
      </w:tr>
      <w:tr w:rsidR="00DE4516" w:rsidRPr="00225231" w14:paraId="20C66381" w14:textId="77777777" w:rsidTr="002C718D">
        <w:trPr>
          <w:cantSplit/>
          <w:trHeight w:val="20"/>
          <w:jc w:val="center"/>
        </w:trPr>
        <w:tc>
          <w:tcPr>
            <w:tcW w:w="3084" w:type="dxa"/>
            <w:shd w:val="clear" w:color="auto" w:fill="C9DED4"/>
            <w:noWrap/>
            <w:hideMark/>
          </w:tcPr>
          <w:p w14:paraId="556CE36A" w14:textId="77777777" w:rsidR="00DE4516" w:rsidRPr="00A46ADC" w:rsidRDefault="00DE4516" w:rsidP="00DE4516">
            <w:pPr>
              <w:pStyle w:val="TableBody"/>
              <w:autoSpaceDE w:val="0"/>
              <w:autoSpaceDN w:val="0"/>
              <w:adjustRightInd w:val="0"/>
              <w:jc w:val="both"/>
              <w:rPr>
                <w:szCs w:val="16"/>
              </w:rPr>
            </w:pPr>
            <w:r w:rsidRPr="00A46ADC">
              <w:t>ISIC 1 - Agriculture, hunting and fishing</w:t>
            </w:r>
          </w:p>
        </w:tc>
        <w:tc>
          <w:tcPr>
            <w:tcW w:w="1023" w:type="dxa"/>
            <w:shd w:val="clear" w:color="auto" w:fill="C9DED4"/>
            <w:noWrap/>
          </w:tcPr>
          <w:p w14:paraId="4D5D36F1" w14:textId="77777777" w:rsidR="00DE4516" w:rsidRPr="00A46ADC" w:rsidRDefault="00DE4516" w:rsidP="00DE4516">
            <w:pPr>
              <w:pStyle w:val="TableBody"/>
              <w:autoSpaceDE w:val="0"/>
              <w:autoSpaceDN w:val="0"/>
              <w:adjustRightInd w:val="0"/>
              <w:ind w:right="113"/>
              <w:jc w:val="right"/>
              <w:rPr>
                <w:szCs w:val="16"/>
              </w:rPr>
            </w:pPr>
            <w:r w:rsidRPr="00A46ADC">
              <w:t>540</w:t>
            </w:r>
          </w:p>
        </w:tc>
        <w:tc>
          <w:tcPr>
            <w:tcW w:w="990" w:type="dxa"/>
            <w:shd w:val="clear" w:color="auto" w:fill="C9DED4"/>
            <w:noWrap/>
          </w:tcPr>
          <w:p w14:paraId="0C11A8CD" w14:textId="77777777" w:rsidR="00DE4516" w:rsidRPr="00A46ADC" w:rsidRDefault="00DE4516" w:rsidP="00DE4516">
            <w:pPr>
              <w:pStyle w:val="TableBody"/>
              <w:autoSpaceDE w:val="0"/>
              <w:autoSpaceDN w:val="0"/>
              <w:adjustRightInd w:val="0"/>
              <w:ind w:right="227"/>
              <w:jc w:val="right"/>
              <w:rPr>
                <w:szCs w:val="16"/>
              </w:rPr>
            </w:pPr>
            <w:r w:rsidRPr="00A46ADC">
              <w:t>3.6</w:t>
            </w:r>
          </w:p>
        </w:tc>
        <w:tc>
          <w:tcPr>
            <w:tcW w:w="994" w:type="dxa"/>
            <w:shd w:val="clear" w:color="auto" w:fill="C9DED4"/>
            <w:noWrap/>
          </w:tcPr>
          <w:p w14:paraId="1C856D82"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shd w:val="clear" w:color="auto" w:fill="C9DED4"/>
            <w:noWrap/>
          </w:tcPr>
          <w:p w14:paraId="45C6CE12" w14:textId="77777777" w:rsidR="00DE4516" w:rsidRPr="00A46ADC" w:rsidRDefault="00DE4516" w:rsidP="00DE4516">
            <w:pPr>
              <w:pStyle w:val="TableBody"/>
              <w:autoSpaceDE w:val="0"/>
              <w:autoSpaceDN w:val="0"/>
              <w:adjustRightInd w:val="0"/>
              <w:ind w:right="170"/>
              <w:jc w:val="right"/>
              <w:rPr>
                <w:szCs w:val="16"/>
              </w:rPr>
            </w:pPr>
            <w:r w:rsidRPr="00A46ADC">
              <w:t>10.8</w:t>
            </w:r>
          </w:p>
        </w:tc>
        <w:tc>
          <w:tcPr>
            <w:tcW w:w="1133" w:type="dxa"/>
            <w:shd w:val="clear" w:color="auto" w:fill="C9DED4"/>
          </w:tcPr>
          <w:p w14:paraId="76DC6B11" w14:textId="77777777" w:rsidR="00DE4516" w:rsidRPr="00A46ADC" w:rsidRDefault="00DE4516" w:rsidP="00DE4516">
            <w:pPr>
              <w:pStyle w:val="TableBody"/>
              <w:autoSpaceDE w:val="0"/>
              <w:autoSpaceDN w:val="0"/>
              <w:adjustRightInd w:val="0"/>
              <w:ind w:right="284"/>
              <w:jc w:val="right"/>
              <w:rPr>
                <w:szCs w:val="16"/>
              </w:rPr>
            </w:pPr>
            <w:r w:rsidRPr="00A46ADC">
              <w:t>51.5</w:t>
            </w:r>
          </w:p>
        </w:tc>
        <w:tc>
          <w:tcPr>
            <w:tcW w:w="992" w:type="dxa"/>
            <w:shd w:val="clear" w:color="auto" w:fill="C9DED4"/>
            <w:noWrap/>
          </w:tcPr>
          <w:p w14:paraId="010465EA" w14:textId="77777777" w:rsidR="00DE4516" w:rsidRPr="00A46ADC" w:rsidRDefault="00DE4516" w:rsidP="00DE4516">
            <w:pPr>
              <w:pStyle w:val="TableBody"/>
              <w:autoSpaceDE w:val="0"/>
              <w:autoSpaceDN w:val="0"/>
              <w:adjustRightInd w:val="0"/>
              <w:ind w:right="227"/>
              <w:jc w:val="right"/>
              <w:rPr>
                <w:szCs w:val="16"/>
              </w:rPr>
            </w:pPr>
            <w:r w:rsidRPr="00A46ADC">
              <w:t>3.7</w:t>
            </w:r>
          </w:p>
        </w:tc>
      </w:tr>
      <w:tr w:rsidR="00DE4516" w:rsidRPr="00225231" w14:paraId="3C8A7400" w14:textId="77777777" w:rsidTr="002C718D">
        <w:trPr>
          <w:cantSplit/>
          <w:trHeight w:val="20"/>
          <w:jc w:val="center"/>
        </w:trPr>
        <w:tc>
          <w:tcPr>
            <w:tcW w:w="3084" w:type="dxa"/>
            <w:noWrap/>
            <w:hideMark/>
          </w:tcPr>
          <w:p w14:paraId="75E406C1" w14:textId="77777777" w:rsidR="00DE4516" w:rsidRPr="00A46ADC" w:rsidRDefault="00DE4516" w:rsidP="00DE4516">
            <w:pPr>
              <w:pStyle w:val="TableBody"/>
              <w:autoSpaceDE w:val="0"/>
              <w:autoSpaceDN w:val="0"/>
              <w:adjustRightInd w:val="0"/>
              <w:jc w:val="both"/>
              <w:rPr>
                <w:szCs w:val="16"/>
              </w:rPr>
            </w:pPr>
            <w:r w:rsidRPr="00A46ADC">
              <w:t>ISIC 2 - Mining and quarrying</w:t>
            </w:r>
          </w:p>
        </w:tc>
        <w:tc>
          <w:tcPr>
            <w:tcW w:w="1023" w:type="dxa"/>
            <w:noWrap/>
          </w:tcPr>
          <w:p w14:paraId="47E41CFA" w14:textId="77777777" w:rsidR="00DE4516" w:rsidRPr="00A46ADC" w:rsidRDefault="00DE4516" w:rsidP="00DE4516">
            <w:pPr>
              <w:pStyle w:val="TableBody"/>
              <w:autoSpaceDE w:val="0"/>
              <w:autoSpaceDN w:val="0"/>
              <w:adjustRightInd w:val="0"/>
              <w:ind w:right="113"/>
              <w:jc w:val="right"/>
              <w:rPr>
                <w:szCs w:val="16"/>
              </w:rPr>
            </w:pPr>
            <w:r w:rsidRPr="00A46ADC">
              <w:t>127</w:t>
            </w:r>
          </w:p>
        </w:tc>
        <w:tc>
          <w:tcPr>
            <w:tcW w:w="990" w:type="dxa"/>
            <w:noWrap/>
          </w:tcPr>
          <w:p w14:paraId="1538729F" w14:textId="77777777" w:rsidR="00DE4516" w:rsidRPr="00A46ADC" w:rsidRDefault="00DE4516" w:rsidP="00DE4516">
            <w:pPr>
              <w:pStyle w:val="TableBody"/>
              <w:autoSpaceDE w:val="0"/>
              <w:autoSpaceDN w:val="0"/>
              <w:adjustRightInd w:val="0"/>
              <w:ind w:right="227"/>
              <w:jc w:val="right"/>
              <w:rPr>
                <w:szCs w:val="16"/>
              </w:rPr>
            </w:pPr>
            <w:r w:rsidRPr="00A46ADC">
              <w:t>4.9</w:t>
            </w:r>
          </w:p>
        </w:tc>
        <w:tc>
          <w:tcPr>
            <w:tcW w:w="994" w:type="dxa"/>
            <w:noWrap/>
          </w:tcPr>
          <w:p w14:paraId="31920266" w14:textId="77777777" w:rsidR="00DE4516" w:rsidRPr="00A46ADC" w:rsidRDefault="00DE4516" w:rsidP="00DE4516">
            <w:pPr>
              <w:pStyle w:val="TableBody"/>
              <w:autoSpaceDE w:val="0"/>
              <w:autoSpaceDN w:val="0"/>
              <w:adjustRightInd w:val="0"/>
              <w:ind w:right="113"/>
              <w:jc w:val="right"/>
              <w:rPr>
                <w:szCs w:val="16"/>
              </w:rPr>
            </w:pPr>
            <w:r w:rsidRPr="00A46ADC">
              <w:t>0-5</w:t>
            </w:r>
          </w:p>
        </w:tc>
        <w:tc>
          <w:tcPr>
            <w:tcW w:w="850" w:type="dxa"/>
            <w:noWrap/>
          </w:tcPr>
          <w:p w14:paraId="4972C537" w14:textId="77777777" w:rsidR="00DE4516" w:rsidRPr="00A46ADC" w:rsidRDefault="00DE4516" w:rsidP="00DE4516">
            <w:pPr>
              <w:pStyle w:val="TableBody"/>
              <w:autoSpaceDE w:val="0"/>
              <w:autoSpaceDN w:val="0"/>
              <w:adjustRightInd w:val="0"/>
              <w:ind w:right="170"/>
              <w:jc w:val="right"/>
              <w:rPr>
                <w:szCs w:val="16"/>
              </w:rPr>
            </w:pPr>
            <w:r w:rsidRPr="00A46ADC">
              <w:t>0.8</w:t>
            </w:r>
          </w:p>
        </w:tc>
        <w:tc>
          <w:tcPr>
            <w:tcW w:w="1133" w:type="dxa"/>
          </w:tcPr>
          <w:p w14:paraId="5304B7BB" w14:textId="77777777" w:rsidR="00DE4516" w:rsidRPr="00A46ADC" w:rsidRDefault="00DE4516" w:rsidP="00DE4516">
            <w:pPr>
              <w:pStyle w:val="TableBody"/>
              <w:autoSpaceDE w:val="0"/>
              <w:autoSpaceDN w:val="0"/>
              <w:adjustRightInd w:val="0"/>
              <w:ind w:right="284"/>
              <w:jc w:val="right"/>
              <w:rPr>
                <w:szCs w:val="16"/>
              </w:rPr>
            </w:pPr>
            <w:r w:rsidRPr="00A46ADC">
              <w:t>2.4</w:t>
            </w:r>
          </w:p>
        </w:tc>
        <w:tc>
          <w:tcPr>
            <w:tcW w:w="992" w:type="dxa"/>
            <w:noWrap/>
          </w:tcPr>
          <w:p w14:paraId="77095839" w14:textId="77777777" w:rsidR="00DE4516" w:rsidRPr="00A46ADC" w:rsidRDefault="00DE4516" w:rsidP="00DE4516">
            <w:pPr>
              <w:pStyle w:val="TableBody"/>
              <w:autoSpaceDE w:val="0"/>
              <w:autoSpaceDN w:val="0"/>
              <w:adjustRightInd w:val="0"/>
              <w:ind w:right="227"/>
              <w:jc w:val="right"/>
              <w:rPr>
                <w:szCs w:val="16"/>
              </w:rPr>
            </w:pPr>
            <w:r w:rsidRPr="00A46ADC">
              <w:t>4.7</w:t>
            </w:r>
          </w:p>
        </w:tc>
      </w:tr>
      <w:tr w:rsidR="00DE4516" w:rsidRPr="00225231" w14:paraId="296BCEEF" w14:textId="77777777" w:rsidTr="002C718D">
        <w:trPr>
          <w:cantSplit/>
          <w:trHeight w:val="20"/>
          <w:jc w:val="center"/>
        </w:trPr>
        <w:tc>
          <w:tcPr>
            <w:tcW w:w="3084" w:type="dxa"/>
            <w:shd w:val="clear" w:color="auto" w:fill="C9DED4"/>
            <w:noWrap/>
            <w:hideMark/>
          </w:tcPr>
          <w:p w14:paraId="2690F00E" w14:textId="77777777" w:rsidR="00DE4516" w:rsidRPr="00A46ADC" w:rsidRDefault="00DE4516" w:rsidP="00DE4516">
            <w:pPr>
              <w:pStyle w:val="TableBody"/>
              <w:autoSpaceDE w:val="0"/>
              <w:autoSpaceDN w:val="0"/>
              <w:adjustRightInd w:val="0"/>
              <w:jc w:val="both"/>
              <w:rPr>
                <w:szCs w:val="16"/>
              </w:rPr>
            </w:pPr>
            <w:r w:rsidRPr="00A46ADC">
              <w:t>ISIC 3 - Manufacturing</w:t>
            </w:r>
          </w:p>
        </w:tc>
        <w:tc>
          <w:tcPr>
            <w:tcW w:w="1023" w:type="dxa"/>
            <w:shd w:val="clear" w:color="auto" w:fill="C9DED4"/>
            <w:noWrap/>
          </w:tcPr>
          <w:p w14:paraId="21560A93" w14:textId="77777777" w:rsidR="00DE4516" w:rsidRPr="00A46ADC" w:rsidRDefault="00DE4516" w:rsidP="00DE4516">
            <w:pPr>
              <w:pStyle w:val="TableBody"/>
              <w:autoSpaceDE w:val="0"/>
              <w:autoSpaceDN w:val="0"/>
              <w:adjustRightInd w:val="0"/>
              <w:ind w:right="113"/>
              <w:jc w:val="right"/>
              <w:rPr>
                <w:szCs w:val="16"/>
              </w:rPr>
            </w:pPr>
            <w:r w:rsidRPr="00A46ADC">
              <w:t>6,893</w:t>
            </w:r>
          </w:p>
        </w:tc>
        <w:tc>
          <w:tcPr>
            <w:tcW w:w="990" w:type="dxa"/>
            <w:shd w:val="clear" w:color="auto" w:fill="C9DED4"/>
            <w:noWrap/>
          </w:tcPr>
          <w:p w14:paraId="7CE079CC" w14:textId="77777777" w:rsidR="00DE4516" w:rsidRPr="00A46ADC" w:rsidRDefault="00DE4516" w:rsidP="00DE4516">
            <w:pPr>
              <w:pStyle w:val="TableBody"/>
              <w:autoSpaceDE w:val="0"/>
              <w:autoSpaceDN w:val="0"/>
              <w:adjustRightInd w:val="0"/>
              <w:ind w:right="227"/>
              <w:jc w:val="right"/>
              <w:rPr>
                <w:szCs w:val="16"/>
              </w:rPr>
            </w:pPr>
            <w:r w:rsidRPr="00A46ADC">
              <w:t>5.7</w:t>
            </w:r>
          </w:p>
        </w:tc>
        <w:tc>
          <w:tcPr>
            <w:tcW w:w="994" w:type="dxa"/>
            <w:shd w:val="clear" w:color="auto" w:fill="C9DED4"/>
            <w:noWrap/>
          </w:tcPr>
          <w:p w14:paraId="4AAD837D"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shd w:val="clear" w:color="auto" w:fill="C9DED4"/>
            <w:noWrap/>
          </w:tcPr>
          <w:p w14:paraId="7D9A4054" w14:textId="77777777" w:rsidR="00DE4516" w:rsidRPr="00A46ADC" w:rsidRDefault="00DE4516" w:rsidP="00DE4516">
            <w:pPr>
              <w:pStyle w:val="TableBody"/>
              <w:autoSpaceDE w:val="0"/>
              <w:autoSpaceDN w:val="0"/>
              <w:adjustRightInd w:val="0"/>
              <w:ind w:right="170"/>
              <w:jc w:val="right"/>
              <w:rPr>
                <w:szCs w:val="16"/>
              </w:rPr>
            </w:pPr>
            <w:r w:rsidRPr="00A46ADC">
              <w:t>10.1</w:t>
            </w:r>
          </w:p>
        </w:tc>
        <w:tc>
          <w:tcPr>
            <w:tcW w:w="1133" w:type="dxa"/>
            <w:shd w:val="clear" w:color="auto" w:fill="C9DED4"/>
          </w:tcPr>
          <w:p w14:paraId="21A2C244" w14:textId="77777777" w:rsidR="00DE4516" w:rsidRPr="00A46ADC" w:rsidRDefault="00DE4516" w:rsidP="00DE4516">
            <w:pPr>
              <w:pStyle w:val="TableBody"/>
              <w:autoSpaceDE w:val="0"/>
              <w:autoSpaceDN w:val="0"/>
              <w:adjustRightInd w:val="0"/>
              <w:ind w:right="284"/>
              <w:jc w:val="right"/>
              <w:rPr>
                <w:szCs w:val="16"/>
              </w:rPr>
            </w:pPr>
            <w:r w:rsidRPr="00A46ADC">
              <w:t>8.1</w:t>
            </w:r>
          </w:p>
        </w:tc>
        <w:tc>
          <w:tcPr>
            <w:tcW w:w="992" w:type="dxa"/>
            <w:shd w:val="clear" w:color="auto" w:fill="C9DED4"/>
            <w:noWrap/>
          </w:tcPr>
          <w:p w14:paraId="7C0365F8" w14:textId="77777777" w:rsidR="00DE4516" w:rsidRPr="00A46ADC" w:rsidRDefault="00DE4516" w:rsidP="00DE4516">
            <w:pPr>
              <w:pStyle w:val="TableBody"/>
              <w:autoSpaceDE w:val="0"/>
              <w:autoSpaceDN w:val="0"/>
              <w:adjustRightInd w:val="0"/>
              <w:ind w:right="227"/>
              <w:jc w:val="right"/>
              <w:rPr>
                <w:szCs w:val="16"/>
              </w:rPr>
            </w:pPr>
            <w:r w:rsidRPr="00A46ADC">
              <w:t>0.5</w:t>
            </w:r>
          </w:p>
        </w:tc>
      </w:tr>
      <w:tr w:rsidR="00DE4516" w:rsidRPr="00225231" w14:paraId="47638AE1" w14:textId="77777777" w:rsidTr="002C718D">
        <w:trPr>
          <w:cantSplit/>
          <w:trHeight w:val="20"/>
          <w:jc w:val="center"/>
        </w:trPr>
        <w:tc>
          <w:tcPr>
            <w:tcW w:w="3084" w:type="dxa"/>
            <w:noWrap/>
            <w:hideMark/>
          </w:tcPr>
          <w:p w14:paraId="27EE79C6" w14:textId="77777777" w:rsidR="00DE4516" w:rsidRPr="00A46ADC" w:rsidRDefault="00DE4516" w:rsidP="00DE4516">
            <w:pPr>
              <w:pStyle w:val="TableBody"/>
              <w:autoSpaceDE w:val="0"/>
              <w:autoSpaceDN w:val="0"/>
              <w:adjustRightInd w:val="0"/>
              <w:jc w:val="both"/>
              <w:rPr>
                <w:b/>
                <w:bCs/>
                <w:szCs w:val="16"/>
              </w:rPr>
            </w:pPr>
            <w:r w:rsidRPr="00A46ADC">
              <w:rPr>
                <w:b/>
              </w:rPr>
              <w:t>By stage of processing</w:t>
            </w:r>
          </w:p>
        </w:tc>
        <w:tc>
          <w:tcPr>
            <w:tcW w:w="1023" w:type="dxa"/>
            <w:noWrap/>
            <w:vAlign w:val="center"/>
          </w:tcPr>
          <w:p w14:paraId="02C25755" w14:textId="77777777" w:rsidR="00DE4516" w:rsidRPr="00A46ADC" w:rsidRDefault="00DE4516" w:rsidP="00DE4516">
            <w:pPr>
              <w:pStyle w:val="TableBody"/>
              <w:tabs>
                <w:tab w:val="left" w:pos="720"/>
              </w:tabs>
              <w:autoSpaceDE w:val="0"/>
              <w:autoSpaceDN w:val="0"/>
              <w:adjustRightInd w:val="0"/>
              <w:ind w:right="113"/>
              <w:jc w:val="right"/>
            </w:pPr>
          </w:p>
        </w:tc>
        <w:tc>
          <w:tcPr>
            <w:tcW w:w="990" w:type="dxa"/>
            <w:noWrap/>
            <w:vAlign w:val="center"/>
          </w:tcPr>
          <w:p w14:paraId="749D0668" w14:textId="77777777" w:rsidR="00DE4516" w:rsidRPr="00A46ADC" w:rsidRDefault="00DE4516" w:rsidP="00DE4516">
            <w:pPr>
              <w:pStyle w:val="TableBody"/>
              <w:tabs>
                <w:tab w:val="left" w:pos="720"/>
              </w:tabs>
              <w:autoSpaceDE w:val="0"/>
              <w:autoSpaceDN w:val="0"/>
              <w:adjustRightInd w:val="0"/>
              <w:ind w:right="227"/>
              <w:jc w:val="right"/>
            </w:pPr>
          </w:p>
        </w:tc>
        <w:tc>
          <w:tcPr>
            <w:tcW w:w="994" w:type="dxa"/>
            <w:noWrap/>
            <w:vAlign w:val="center"/>
          </w:tcPr>
          <w:p w14:paraId="470BBC45" w14:textId="77777777" w:rsidR="00DE4516" w:rsidRPr="00A46ADC" w:rsidRDefault="00DE4516" w:rsidP="00DE4516">
            <w:pPr>
              <w:pStyle w:val="TableBody"/>
              <w:tabs>
                <w:tab w:val="left" w:pos="720"/>
              </w:tabs>
              <w:autoSpaceDE w:val="0"/>
              <w:autoSpaceDN w:val="0"/>
              <w:adjustRightInd w:val="0"/>
              <w:ind w:right="113"/>
              <w:jc w:val="right"/>
            </w:pPr>
          </w:p>
        </w:tc>
        <w:tc>
          <w:tcPr>
            <w:tcW w:w="850" w:type="dxa"/>
            <w:noWrap/>
            <w:vAlign w:val="center"/>
          </w:tcPr>
          <w:p w14:paraId="2842709E" w14:textId="77777777" w:rsidR="00DE4516" w:rsidRPr="00A46ADC" w:rsidRDefault="00DE4516" w:rsidP="00DE4516">
            <w:pPr>
              <w:pStyle w:val="TableBody"/>
              <w:tabs>
                <w:tab w:val="left" w:pos="720"/>
              </w:tabs>
              <w:autoSpaceDE w:val="0"/>
              <w:autoSpaceDN w:val="0"/>
              <w:adjustRightInd w:val="0"/>
              <w:ind w:right="170"/>
              <w:jc w:val="right"/>
            </w:pPr>
          </w:p>
        </w:tc>
        <w:tc>
          <w:tcPr>
            <w:tcW w:w="1133" w:type="dxa"/>
            <w:vAlign w:val="center"/>
          </w:tcPr>
          <w:p w14:paraId="17E7372A" w14:textId="77777777" w:rsidR="00DE4516" w:rsidRPr="00A46ADC" w:rsidRDefault="00DE4516" w:rsidP="00DE4516">
            <w:pPr>
              <w:pStyle w:val="TableBody"/>
              <w:tabs>
                <w:tab w:val="left" w:pos="720"/>
              </w:tabs>
              <w:autoSpaceDE w:val="0"/>
              <w:autoSpaceDN w:val="0"/>
              <w:adjustRightInd w:val="0"/>
              <w:ind w:right="284"/>
              <w:jc w:val="right"/>
            </w:pPr>
          </w:p>
        </w:tc>
        <w:tc>
          <w:tcPr>
            <w:tcW w:w="992" w:type="dxa"/>
            <w:noWrap/>
            <w:vAlign w:val="center"/>
          </w:tcPr>
          <w:p w14:paraId="1C3C10F7" w14:textId="77777777" w:rsidR="00DE4516" w:rsidRPr="00A46ADC" w:rsidRDefault="00DE4516" w:rsidP="00DE4516">
            <w:pPr>
              <w:pStyle w:val="TableBody"/>
              <w:tabs>
                <w:tab w:val="left" w:pos="720"/>
              </w:tabs>
              <w:autoSpaceDE w:val="0"/>
              <w:autoSpaceDN w:val="0"/>
              <w:adjustRightInd w:val="0"/>
              <w:ind w:right="227"/>
              <w:jc w:val="right"/>
            </w:pPr>
          </w:p>
        </w:tc>
      </w:tr>
      <w:tr w:rsidR="00DE4516" w:rsidRPr="00225231" w14:paraId="63EC80D9" w14:textId="77777777" w:rsidTr="002C718D">
        <w:trPr>
          <w:cantSplit/>
          <w:trHeight w:val="20"/>
          <w:jc w:val="center"/>
        </w:trPr>
        <w:tc>
          <w:tcPr>
            <w:tcW w:w="3084" w:type="dxa"/>
            <w:shd w:val="clear" w:color="auto" w:fill="C9DED4"/>
            <w:noWrap/>
            <w:hideMark/>
          </w:tcPr>
          <w:p w14:paraId="50D3A797" w14:textId="77777777" w:rsidR="00DE4516" w:rsidRPr="00A46ADC" w:rsidRDefault="00DE4516" w:rsidP="00DE4516">
            <w:pPr>
              <w:pStyle w:val="TableBody"/>
              <w:autoSpaceDE w:val="0"/>
              <w:autoSpaceDN w:val="0"/>
              <w:adjustRightInd w:val="0"/>
              <w:jc w:val="both"/>
              <w:rPr>
                <w:szCs w:val="16"/>
              </w:rPr>
            </w:pPr>
            <w:r w:rsidRPr="00A46ADC">
              <w:t>First stage of processing</w:t>
            </w:r>
          </w:p>
        </w:tc>
        <w:tc>
          <w:tcPr>
            <w:tcW w:w="1023" w:type="dxa"/>
            <w:shd w:val="clear" w:color="auto" w:fill="C9DED4"/>
            <w:noWrap/>
          </w:tcPr>
          <w:p w14:paraId="62D11B21" w14:textId="77777777" w:rsidR="00DE4516" w:rsidRPr="00A46ADC" w:rsidRDefault="00DE4516" w:rsidP="00DE4516">
            <w:pPr>
              <w:pStyle w:val="TableBody"/>
              <w:autoSpaceDE w:val="0"/>
              <w:autoSpaceDN w:val="0"/>
              <w:adjustRightInd w:val="0"/>
              <w:ind w:right="113"/>
              <w:jc w:val="right"/>
              <w:rPr>
                <w:szCs w:val="16"/>
              </w:rPr>
            </w:pPr>
            <w:r w:rsidRPr="00A46ADC">
              <w:t>985</w:t>
            </w:r>
          </w:p>
        </w:tc>
        <w:tc>
          <w:tcPr>
            <w:tcW w:w="990" w:type="dxa"/>
            <w:shd w:val="clear" w:color="auto" w:fill="C9DED4"/>
            <w:noWrap/>
          </w:tcPr>
          <w:p w14:paraId="0B0AA193" w14:textId="77777777" w:rsidR="00DE4516" w:rsidRPr="00A46ADC" w:rsidRDefault="00DE4516" w:rsidP="00DE4516">
            <w:pPr>
              <w:pStyle w:val="TableBody"/>
              <w:autoSpaceDE w:val="0"/>
              <w:autoSpaceDN w:val="0"/>
              <w:adjustRightInd w:val="0"/>
              <w:ind w:right="227"/>
              <w:jc w:val="right"/>
              <w:rPr>
                <w:szCs w:val="16"/>
              </w:rPr>
            </w:pPr>
            <w:r w:rsidRPr="00A46ADC">
              <w:t>4.3</w:t>
            </w:r>
          </w:p>
        </w:tc>
        <w:tc>
          <w:tcPr>
            <w:tcW w:w="994" w:type="dxa"/>
            <w:shd w:val="clear" w:color="auto" w:fill="C9DED4"/>
            <w:noWrap/>
          </w:tcPr>
          <w:p w14:paraId="31E53D0D"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shd w:val="clear" w:color="auto" w:fill="C9DED4"/>
            <w:noWrap/>
          </w:tcPr>
          <w:p w14:paraId="4263DB7D" w14:textId="77777777" w:rsidR="00DE4516" w:rsidRPr="00A46ADC" w:rsidRDefault="00DE4516" w:rsidP="00DE4516">
            <w:pPr>
              <w:pStyle w:val="TableBody"/>
              <w:autoSpaceDE w:val="0"/>
              <w:autoSpaceDN w:val="0"/>
              <w:adjustRightInd w:val="0"/>
              <w:ind w:right="170"/>
              <w:jc w:val="right"/>
              <w:rPr>
                <w:szCs w:val="16"/>
              </w:rPr>
            </w:pPr>
            <w:r w:rsidRPr="00A46ADC">
              <w:t>8.6</w:t>
            </w:r>
          </w:p>
        </w:tc>
        <w:tc>
          <w:tcPr>
            <w:tcW w:w="1133" w:type="dxa"/>
            <w:shd w:val="clear" w:color="auto" w:fill="C9DED4"/>
          </w:tcPr>
          <w:p w14:paraId="0BE813FE" w14:textId="77777777" w:rsidR="00DE4516" w:rsidRPr="00A46ADC" w:rsidRDefault="00DE4516" w:rsidP="00DE4516">
            <w:pPr>
              <w:pStyle w:val="TableBody"/>
              <w:autoSpaceDE w:val="0"/>
              <w:autoSpaceDN w:val="0"/>
              <w:adjustRightInd w:val="0"/>
              <w:ind w:right="284"/>
              <w:jc w:val="right"/>
              <w:rPr>
                <w:szCs w:val="16"/>
              </w:rPr>
            </w:pPr>
            <w:r w:rsidRPr="00A46ADC">
              <w:t>28.8</w:t>
            </w:r>
          </w:p>
        </w:tc>
        <w:tc>
          <w:tcPr>
            <w:tcW w:w="992" w:type="dxa"/>
            <w:shd w:val="clear" w:color="auto" w:fill="C9DED4"/>
            <w:noWrap/>
          </w:tcPr>
          <w:p w14:paraId="6153B8FC" w14:textId="77777777" w:rsidR="00DE4516" w:rsidRPr="00A46ADC" w:rsidRDefault="00DE4516" w:rsidP="00DE4516">
            <w:pPr>
              <w:pStyle w:val="TableBody"/>
              <w:autoSpaceDE w:val="0"/>
              <w:autoSpaceDN w:val="0"/>
              <w:adjustRightInd w:val="0"/>
              <w:ind w:right="227"/>
              <w:jc w:val="right"/>
              <w:rPr>
                <w:szCs w:val="16"/>
              </w:rPr>
            </w:pPr>
            <w:r w:rsidRPr="00A46ADC">
              <w:t>2.8</w:t>
            </w:r>
          </w:p>
        </w:tc>
      </w:tr>
      <w:tr w:rsidR="00DE4516" w:rsidRPr="00225231" w14:paraId="742B90D0" w14:textId="77777777" w:rsidTr="002C718D">
        <w:trPr>
          <w:cantSplit/>
          <w:trHeight w:val="20"/>
          <w:jc w:val="center"/>
        </w:trPr>
        <w:tc>
          <w:tcPr>
            <w:tcW w:w="3084" w:type="dxa"/>
            <w:noWrap/>
            <w:hideMark/>
          </w:tcPr>
          <w:p w14:paraId="0317F4DB" w14:textId="77777777" w:rsidR="00DE4516" w:rsidRPr="00A46ADC" w:rsidRDefault="00DE4516" w:rsidP="00DE4516">
            <w:pPr>
              <w:pStyle w:val="TableBody"/>
              <w:autoSpaceDE w:val="0"/>
              <w:autoSpaceDN w:val="0"/>
              <w:adjustRightInd w:val="0"/>
              <w:jc w:val="both"/>
              <w:rPr>
                <w:szCs w:val="16"/>
              </w:rPr>
            </w:pPr>
            <w:r w:rsidRPr="00A46ADC">
              <w:t>Semi-processed products</w:t>
            </w:r>
          </w:p>
        </w:tc>
        <w:tc>
          <w:tcPr>
            <w:tcW w:w="1023" w:type="dxa"/>
            <w:noWrap/>
          </w:tcPr>
          <w:p w14:paraId="491917E0" w14:textId="77777777" w:rsidR="00DE4516" w:rsidRPr="00A46ADC" w:rsidRDefault="00DE4516" w:rsidP="00DE4516">
            <w:pPr>
              <w:pStyle w:val="TableBody"/>
              <w:autoSpaceDE w:val="0"/>
              <w:autoSpaceDN w:val="0"/>
              <w:adjustRightInd w:val="0"/>
              <w:ind w:right="113"/>
              <w:jc w:val="right"/>
              <w:rPr>
                <w:szCs w:val="16"/>
              </w:rPr>
            </w:pPr>
            <w:r w:rsidRPr="00A46ADC">
              <w:t>2,250</w:t>
            </w:r>
          </w:p>
        </w:tc>
        <w:tc>
          <w:tcPr>
            <w:tcW w:w="990" w:type="dxa"/>
            <w:noWrap/>
          </w:tcPr>
          <w:p w14:paraId="62B5CD8F" w14:textId="77777777" w:rsidR="00DE4516" w:rsidRPr="00A46ADC" w:rsidRDefault="00DE4516" w:rsidP="00DE4516">
            <w:pPr>
              <w:pStyle w:val="TableBody"/>
              <w:autoSpaceDE w:val="0"/>
              <w:autoSpaceDN w:val="0"/>
              <w:adjustRightInd w:val="0"/>
              <w:ind w:right="227"/>
              <w:jc w:val="right"/>
              <w:rPr>
                <w:szCs w:val="16"/>
              </w:rPr>
            </w:pPr>
            <w:r w:rsidRPr="00A46ADC">
              <w:t>4.9</w:t>
            </w:r>
          </w:p>
        </w:tc>
        <w:tc>
          <w:tcPr>
            <w:tcW w:w="994" w:type="dxa"/>
            <w:noWrap/>
          </w:tcPr>
          <w:p w14:paraId="739BC7FB"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noWrap/>
          </w:tcPr>
          <w:p w14:paraId="3A53CAA4" w14:textId="77777777" w:rsidR="00DE4516" w:rsidRPr="00A46ADC" w:rsidRDefault="00DE4516" w:rsidP="00DE4516">
            <w:pPr>
              <w:pStyle w:val="TableBody"/>
              <w:autoSpaceDE w:val="0"/>
              <w:autoSpaceDN w:val="0"/>
              <w:adjustRightInd w:val="0"/>
              <w:ind w:right="170"/>
              <w:jc w:val="right"/>
              <w:rPr>
                <w:szCs w:val="16"/>
              </w:rPr>
            </w:pPr>
            <w:r w:rsidRPr="00A46ADC">
              <w:t>3.6</w:t>
            </w:r>
          </w:p>
        </w:tc>
        <w:tc>
          <w:tcPr>
            <w:tcW w:w="1133" w:type="dxa"/>
          </w:tcPr>
          <w:p w14:paraId="3B91C321" w14:textId="77777777" w:rsidR="00DE4516" w:rsidRPr="00A46ADC" w:rsidRDefault="00DE4516" w:rsidP="00DE4516">
            <w:pPr>
              <w:pStyle w:val="TableBody"/>
              <w:autoSpaceDE w:val="0"/>
              <w:autoSpaceDN w:val="0"/>
              <w:adjustRightInd w:val="0"/>
              <w:ind w:right="284"/>
              <w:jc w:val="right"/>
              <w:rPr>
                <w:szCs w:val="16"/>
              </w:rPr>
            </w:pPr>
            <w:r w:rsidRPr="00A46ADC">
              <w:t>4.6</w:t>
            </w:r>
          </w:p>
        </w:tc>
        <w:tc>
          <w:tcPr>
            <w:tcW w:w="992" w:type="dxa"/>
            <w:noWrap/>
          </w:tcPr>
          <w:p w14:paraId="61F7A2C0" w14:textId="77777777" w:rsidR="00DE4516" w:rsidRPr="00A46ADC" w:rsidRDefault="00DE4516" w:rsidP="00DE4516">
            <w:pPr>
              <w:pStyle w:val="TableBody"/>
              <w:autoSpaceDE w:val="0"/>
              <w:autoSpaceDN w:val="0"/>
              <w:adjustRightInd w:val="0"/>
              <w:ind w:right="227"/>
              <w:jc w:val="right"/>
              <w:rPr>
                <w:szCs w:val="16"/>
              </w:rPr>
            </w:pPr>
            <w:r w:rsidRPr="00A46ADC">
              <w:t>0.0</w:t>
            </w:r>
          </w:p>
        </w:tc>
      </w:tr>
      <w:tr w:rsidR="00DE4516" w:rsidRPr="00225231" w14:paraId="3AF9C996" w14:textId="77777777" w:rsidTr="002C718D">
        <w:trPr>
          <w:cantSplit/>
          <w:trHeight w:val="20"/>
          <w:jc w:val="center"/>
        </w:trPr>
        <w:tc>
          <w:tcPr>
            <w:tcW w:w="3084" w:type="dxa"/>
            <w:tcBorders>
              <w:bottom w:val="single" w:sz="4" w:space="0" w:color="auto"/>
            </w:tcBorders>
            <w:shd w:val="clear" w:color="auto" w:fill="C9DED4"/>
            <w:noWrap/>
            <w:hideMark/>
          </w:tcPr>
          <w:p w14:paraId="465F7F70" w14:textId="77777777" w:rsidR="00DE4516" w:rsidRPr="00A46ADC" w:rsidRDefault="00DE4516" w:rsidP="00DE4516">
            <w:pPr>
              <w:pStyle w:val="TableBody"/>
              <w:autoSpaceDE w:val="0"/>
              <w:autoSpaceDN w:val="0"/>
              <w:adjustRightInd w:val="0"/>
              <w:jc w:val="both"/>
              <w:rPr>
                <w:szCs w:val="16"/>
              </w:rPr>
            </w:pPr>
            <w:r w:rsidRPr="00A46ADC">
              <w:t>Fully processed products</w:t>
            </w:r>
          </w:p>
        </w:tc>
        <w:tc>
          <w:tcPr>
            <w:tcW w:w="1023" w:type="dxa"/>
            <w:tcBorders>
              <w:bottom w:val="single" w:sz="4" w:space="0" w:color="auto"/>
            </w:tcBorders>
            <w:shd w:val="clear" w:color="auto" w:fill="C9DED4"/>
            <w:noWrap/>
          </w:tcPr>
          <w:p w14:paraId="58A8B989" w14:textId="77777777" w:rsidR="00DE4516" w:rsidRPr="00A46ADC" w:rsidRDefault="00DE4516" w:rsidP="00DE4516">
            <w:pPr>
              <w:pStyle w:val="TableBody"/>
              <w:autoSpaceDE w:val="0"/>
              <w:autoSpaceDN w:val="0"/>
              <w:adjustRightInd w:val="0"/>
              <w:ind w:right="113"/>
              <w:jc w:val="right"/>
              <w:rPr>
                <w:szCs w:val="16"/>
              </w:rPr>
            </w:pPr>
            <w:r w:rsidRPr="00A46ADC">
              <w:t>4,326</w:t>
            </w:r>
          </w:p>
        </w:tc>
        <w:tc>
          <w:tcPr>
            <w:tcW w:w="990" w:type="dxa"/>
            <w:tcBorders>
              <w:bottom w:val="single" w:sz="4" w:space="0" w:color="auto"/>
            </w:tcBorders>
            <w:shd w:val="clear" w:color="auto" w:fill="C9DED4"/>
            <w:noWrap/>
          </w:tcPr>
          <w:p w14:paraId="5BE2B268" w14:textId="77777777" w:rsidR="00DE4516" w:rsidRPr="00A46ADC" w:rsidRDefault="00DE4516" w:rsidP="00DE4516">
            <w:pPr>
              <w:pStyle w:val="TableBody"/>
              <w:autoSpaceDE w:val="0"/>
              <w:autoSpaceDN w:val="0"/>
              <w:adjustRightInd w:val="0"/>
              <w:ind w:right="227"/>
              <w:jc w:val="right"/>
              <w:rPr>
                <w:szCs w:val="16"/>
              </w:rPr>
            </w:pPr>
            <w:r w:rsidRPr="00A46ADC">
              <w:t>6.1</w:t>
            </w:r>
          </w:p>
        </w:tc>
        <w:tc>
          <w:tcPr>
            <w:tcW w:w="994" w:type="dxa"/>
            <w:tcBorders>
              <w:bottom w:val="single" w:sz="4" w:space="0" w:color="auto"/>
            </w:tcBorders>
            <w:shd w:val="clear" w:color="auto" w:fill="C9DED4"/>
            <w:noWrap/>
          </w:tcPr>
          <w:p w14:paraId="22E3205E" w14:textId="77777777" w:rsidR="00DE4516" w:rsidRPr="00A46ADC" w:rsidRDefault="00DE4516" w:rsidP="00DE4516">
            <w:pPr>
              <w:pStyle w:val="TableBody"/>
              <w:autoSpaceDE w:val="0"/>
              <w:autoSpaceDN w:val="0"/>
              <w:adjustRightInd w:val="0"/>
              <w:ind w:right="113"/>
              <w:jc w:val="right"/>
              <w:rPr>
                <w:szCs w:val="16"/>
              </w:rPr>
            </w:pPr>
            <w:r w:rsidRPr="00A46ADC">
              <w:t>0-100</w:t>
            </w:r>
          </w:p>
        </w:tc>
        <w:tc>
          <w:tcPr>
            <w:tcW w:w="850" w:type="dxa"/>
            <w:tcBorders>
              <w:bottom w:val="single" w:sz="4" w:space="0" w:color="auto"/>
            </w:tcBorders>
            <w:shd w:val="clear" w:color="auto" w:fill="C9DED4"/>
            <w:noWrap/>
          </w:tcPr>
          <w:p w14:paraId="7E5D6ECA" w14:textId="77777777" w:rsidR="00DE4516" w:rsidRPr="00A46ADC" w:rsidRDefault="00DE4516" w:rsidP="00DE4516">
            <w:pPr>
              <w:pStyle w:val="TableBody"/>
              <w:autoSpaceDE w:val="0"/>
              <w:autoSpaceDN w:val="0"/>
              <w:adjustRightInd w:val="0"/>
              <w:ind w:right="170"/>
              <w:jc w:val="right"/>
              <w:rPr>
                <w:szCs w:val="16"/>
              </w:rPr>
            </w:pPr>
            <w:r w:rsidRPr="00A46ADC">
              <w:t>12.4</w:t>
            </w:r>
          </w:p>
        </w:tc>
        <w:tc>
          <w:tcPr>
            <w:tcW w:w="1133" w:type="dxa"/>
            <w:tcBorders>
              <w:bottom w:val="single" w:sz="4" w:space="0" w:color="auto"/>
            </w:tcBorders>
            <w:shd w:val="clear" w:color="auto" w:fill="C9DED4"/>
          </w:tcPr>
          <w:p w14:paraId="617047DF" w14:textId="77777777" w:rsidR="00DE4516" w:rsidRPr="00A46ADC" w:rsidRDefault="00DE4516" w:rsidP="00DE4516">
            <w:pPr>
              <w:pStyle w:val="TableBody"/>
              <w:autoSpaceDE w:val="0"/>
              <w:autoSpaceDN w:val="0"/>
              <w:adjustRightInd w:val="0"/>
              <w:ind w:right="284"/>
              <w:jc w:val="right"/>
              <w:rPr>
                <w:szCs w:val="16"/>
              </w:rPr>
            </w:pPr>
            <w:r w:rsidRPr="00A46ADC">
              <w:t>10.5</w:t>
            </w:r>
          </w:p>
        </w:tc>
        <w:tc>
          <w:tcPr>
            <w:tcW w:w="992" w:type="dxa"/>
            <w:tcBorders>
              <w:bottom w:val="single" w:sz="4" w:space="0" w:color="auto"/>
            </w:tcBorders>
            <w:shd w:val="clear" w:color="auto" w:fill="C9DED4"/>
            <w:noWrap/>
          </w:tcPr>
          <w:p w14:paraId="2B822608" w14:textId="77777777" w:rsidR="00DE4516" w:rsidRPr="00A46ADC" w:rsidRDefault="00DE4516" w:rsidP="00DE4516">
            <w:pPr>
              <w:pStyle w:val="TableBody"/>
              <w:autoSpaceDE w:val="0"/>
              <w:autoSpaceDN w:val="0"/>
              <w:adjustRightInd w:val="0"/>
              <w:ind w:right="227"/>
              <w:jc w:val="right"/>
              <w:rPr>
                <w:szCs w:val="16"/>
              </w:rPr>
            </w:pPr>
            <w:r w:rsidRPr="00A46ADC">
              <w:t>0.8</w:t>
            </w:r>
          </w:p>
        </w:tc>
      </w:tr>
    </w:tbl>
    <w:p w14:paraId="650496E0" w14:textId="7EB9A324" w:rsidR="00DE4516" w:rsidRDefault="00DE4516">
      <w:pPr>
        <w:pStyle w:val="TableNote"/>
        <w:autoSpaceDE w:val="0"/>
        <w:autoSpaceDN w:val="0"/>
        <w:adjustRightInd w:val="0"/>
        <w:contextualSpacing w:val="0"/>
      </w:pPr>
      <w:r>
        <w:t>a</w:t>
      </w:r>
      <w:r>
        <w:tab/>
        <w:t>Standard deviation.</w:t>
      </w:r>
    </w:p>
    <w:p w14:paraId="7C1CFAE5" w14:textId="77777777" w:rsidR="00DE4516" w:rsidRDefault="00DE4516">
      <w:pPr>
        <w:pStyle w:val="TableNote"/>
        <w:autoSpaceDE w:val="0"/>
        <w:autoSpaceDN w:val="0"/>
        <w:adjustRightInd w:val="0"/>
        <w:contextualSpacing w:val="0"/>
      </w:pPr>
      <w:r>
        <w:t>b</w:t>
      </w:r>
      <w:r>
        <w:tab/>
        <w:t>International Standard Industrial Classification (Rev.2). Electricity, gas, and water are excluded (1 tariff line).</w:t>
      </w:r>
    </w:p>
    <w:p w14:paraId="7ED21621" w14:textId="77777777" w:rsidR="00DE4516" w:rsidRDefault="00DE4516">
      <w:pPr>
        <w:pStyle w:val="TableNote"/>
        <w:autoSpaceDE w:val="0"/>
        <w:autoSpaceDN w:val="0"/>
        <w:adjustRightInd w:val="0"/>
        <w:contextualSpacing w:val="0"/>
      </w:pPr>
      <w:r>
        <w:t>Note:</w:t>
      </w:r>
      <w:r>
        <w:tab/>
        <w:t>Calculations for averages are based on the national tariff line level (8-digit). Tariff schedule is based on HS17. In case of non</w:t>
      </w:r>
      <w:r>
        <w:noBreakHyphen/>
      </w:r>
      <w:r>
        <w:rPr>
          <w:i/>
        </w:rPr>
        <w:t>ad valorem</w:t>
      </w:r>
      <w:r>
        <w:t xml:space="preserve"> rates, the </w:t>
      </w:r>
      <w:r>
        <w:rPr>
          <w:i/>
        </w:rPr>
        <w:t>ad valorem</w:t>
      </w:r>
      <w:r>
        <w:t xml:space="preserve"> part is used for mixed rates.</w:t>
      </w:r>
    </w:p>
    <w:p w14:paraId="5CA7E267" w14:textId="77777777" w:rsidR="00DE4516" w:rsidRDefault="00DE4516">
      <w:pPr>
        <w:pStyle w:val="TableSource"/>
        <w:autoSpaceDE w:val="0"/>
        <w:autoSpaceDN w:val="0"/>
        <w:adjustRightInd w:val="0"/>
        <w:rPr>
          <w:szCs w:val="24"/>
        </w:rPr>
      </w:pPr>
      <w:r>
        <w:rPr>
          <w:szCs w:val="24"/>
        </w:rPr>
        <w:t>Source:</w:t>
      </w:r>
      <w:r>
        <w:rPr>
          <w:szCs w:val="24"/>
        </w:rPr>
        <w:tab/>
        <w:t>WTO Secretariat calculations, based on data provided by the authorities.</w:t>
      </w:r>
    </w:p>
    <w:p w14:paraId="2FA57158" w14:textId="77777777" w:rsidR="00DE4516" w:rsidRDefault="00DE4516">
      <w:pPr>
        <w:pStyle w:val="BodyText0"/>
        <w:autoSpaceDE w:val="0"/>
        <w:autoSpaceDN w:val="0"/>
        <w:adjustRightInd w:val="0"/>
        <w:rPr>
          <w:szCs w:val="24"/>
        </w:rPr>
      </w:pPr>
      <w:r>
        <w:rPr>
          <w:szCs w:val="24"/>
        </w:rPr>
        <w:t>Fiscal income generated by customs increased continuously between 2014 and 2019 (</w:t>
      </w:r>
      <w:r>
        <w:rPr>
          <w:rStyle w:val="citetbl"/>
          <w:szCs w:val="24"/>
        </w:rPr>
        <w:t>Table 3.3</w:t>
      </w:r>
      <w:r>
        <w:rPr>
          <w:szCs w:val="24"/>
        </w:rPr>
        <w:t>).</w:t>
      </w:r>
    </w:p>
    <w:p w14:paraId="78FA1455" w14:textId="77777777" w:rsidR="00DE4516" w:rsidRDefault="00DE4516">
      <w:pPr>
        <w:pStyle w:val="TableTitle"/>
        <w:autoSpaceDE w:val="0"/>
        <w:autoSpaceDN w:val="0"/>
        <w:adjustRightInd w:val="0"/>
      </w:pPr>
      <w:r>
        <w:lastRenderedPageBreak/>
        <w:t>Table 3.3 Customs revenue, 2014-20</w:t>
      </w:r>
    </w:p>
    <w:p w14:paraId="2CEAF924" w14:textId="77777777" w:rsidR="00DE4516" w:rsidRDefault="00DE4516">
      <w:pPr>
        <w:pStyle w:val="TableTitleCont"/>
        <w:autoSpaceDE w:val="0"/>
        <w:autoSpaceDN w:val="0"/>
        <w:adjustRightInd w:val="0"/>
        <w:rPr>
          <w:b/>
          <w:color w:val="006283"/>
        </w:rPr>
      </w:pPr>
      <w:r>
        <w:rPr>
          <w:b/>
          <w:color w:val="006283"/>
        </w:rPr>
        <w:t>('000 OMR)</w:t>
      </w:r>
    </w:p>
    <w:tbl>
      <w:tblPr>
        <w:tblStyle w:val="WTOTable1"/>
        <w:tblW w:w="5000" w:type="pct"/>
        <w:tblLook w:val="05E0" w:firstRow="1" w:lastRow="1" w:firstColumn="1" w:lastColumn="1" w:noHBand="0" w:noVBand="1"/>
      </w:tblPr>
      <w:tblGrid>
        <w:gridCol w:w="2972"/>
        <w:gridCol w:w="6044"/>
      </w:tblGrid>
      <w:tr w:rsidR="00DE4516" w:rsidRPr="007F015E" w14:paraId="4372C6EF" w14:textId="77777777" w:rsidTr="002C718D">
        <w:trPr>
          <w:cnfStyle w:val="100000000000" w:firstRow="1" w:lastRow="0" w:firstColumn="0" w:lastColumn="0" w:oddVBand="0" w:evenVBand="0" w:oddHBand="0" w:evenHBand="0" w:firstRowFirstColumn="0" w:firstRowLastColumn="0" w:lastRowFirstColumn="0" w:lastRowLastColumn="0"/>
          <w:cantSplit/>
        </w:trPr>
        <w:tc>
          <w:tcPr>
            <w:tcW w:w="1648" w:type="pct"/>
            <w:tcBorders>
              <w:top w:val="single" w:sz="4" w:space="0" w:color="auto"/>
              <w:bottom w:val="nil"/>
            </w:tcBorders>
            <w:hideMark/>
          </w:tcPr>
          <w:p w14:paraId="28AAEED3" w14:textId="77777777" w:rsidR="00DE4516" w:rsidRPr="007F015E" w:rsidRDefault="00DE4516" w:rsidP="00DE4516">
            <w:pPr>
              <w:pStyle w:val="TableHead"/>
              <w:autoSpaceDE w:val="0"/>
              <w:autoSpaceDN w:val="0"/>
              <w:adjustRightInd w:val="0"/>
              <w:jc w:val="both"/>
              <w:rPr>
                <w:b/>
                <w:szCs w:val="16"/>
              </w:rPr>
            </w:pPr>
            <w:r w:rsidRPr="007F015E">
              <w:rPr>
                <w:b/>
              </w:rPr>
              <w:t>Year</w:t>
            </w:r>
          </w:p>
        </w:tc>
        <w:tc>
          <w:tcPr>
            <w:tcW w:w="3352" w:type="pct"/>
            <w:tcBorders>
              <w:top w:val="single" w:sz="4" w:space="0" w:color="auto"/>
              <w:bottom w:val="nil"/>
            </w:tcBorders>
            <w:hideMark/>
          </w:tcPr>
          <w:p w14:paraId="4098DD68" w14:textId="77777777" w:rsidR="00DE4516" w:rsidRPr="007F015E" w:rsidRDefault="00DE4516" w:rsidP="00DE4516">
            <w:pPr>
              <w:pStyle w:val="TableHead"/>
              <w:autoSpaceDE w:val="0"/>
              <w:autoSpaceDN w:val="0"/>
              <w:adjustRightInd w:val="0"/>
              <w:rPr>
                <w:b/>
                <w:szCs w:val="16"/>
              </w:rPr>
            </w:pPr>
            <w:r w:rsidRPr="007F015E">
              <w:rPr>
                <w:b/>
              </w:rPr>
              <w:t>Tariff revenue</w:t>
            </w:r>
          </w:p>
        </w:tc>
      </w:tr>
      <w:tr w:rsidR="00DE4516" w:rsidRPr="00225231" w14:paraId="5CA3E56F" w14:textId="77777777" w:rsidTr="002C718D">
        <w:trPr>
          <w:cantSplit/>
        </w:trPr>
        <w:tc>
          <w:tcPr>
            <w:tcW w:w="1648" w:type="pct"/>
            <w:tcBorders>
              <w:top w:val="nil"/>
              <w:bottom w:val="nil"/>
            </w:tcBorders>
            <w:hideMark/>
          </w:tcPr>
          <w:p w14:paraId="254684BC" w14:textId="77777777" w:rsidR="00DE4516" w:rsidRPr="00A46ADC" w:rsidRDefault="00DE4516" w:rsidP="00DE4516">
            <w:pPr>
              <w:pStyle w:val="TableBody"/>
              <w:autoSpaceDE w:val="0"/>
              <w:autoSpaceDN w:val="0"/>
              <w:adjustRightInd w:val="0"/>
              <w:jc w:val="both"/>
              <w:rPr>
                <w:szCs w:val="16"/>
              </w:rPr>
            </w:pPr>
            <w:r w:rsidRPr="00A46ADC">
              <w:t>2014</w:t>
            </w:r>
          </w:p>
        </w:tc>
        <w:tc>
          <w:tcPr>
            <w:tcW w:w="3352" w:type="pct"/>
            <w:tcBorders>
              <w:top w:val="nil"/>
              <w:bottom w:val="nil"/>
            </w:tcBorders>
            <w:hideMark/>
          </w:tcPr>
          <w:p w14:paraId="1D5EE5D5" w14:textId="77777777" w:rsidR="00DE4516" w:rsidRPr="00A46ADC" w:rsidRDefault="00DE4516" w:rsidP="00DE4516">
            <w:pPr>
              <w:pStyle w:val="TableBody"/>
              <w:autoSpaceDE w:val="0"/>
              <w:autoSpaceDN w:val="0"/>
              <w:adjustRightInd w:val="0"/>
              <w:jc w:val="center"/>
              <w:rPr>
                <w:szCs w:val="16"/>
              </w:rPr>
            </w:pPr>
            <w:r w:rsidRPr="00A46ADC">
              <w:t>1,082,875.7</w:t>
            </w:r>
          </w:p>
        </w:tc>
      </w:tr>
      <w:tr w:rsidR="00DE4516" w:rsidRPr="00225231" w14:paraId="6B1E9D4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648" w:type="pct"/>
            <w:tcBorders>
              <w:top w:val="nil"/>
              <w:bottom w:val="nil"/>
            </w:tcBorders>
            <w:hideMark/>
          </w:tcPr>
          <w:p w14:paraId="16A5B0FD" w14:textId="77777777" w:rsidR="00DE4516" w:rsidRPr="00A46ADC" w:rsidRDefault="00DE4516" w:rsidP="00DE4516">
            <w:pPr>
              <w:pStyle w:val="TableBody"/>
              <w:autoSpaceDE w:val="0"/>
              <w:autoSpaceDN w:val="0"/>
              <w:adjustRightInd w:val="0"/>
              <w:jc w:val="both"/>
              <w:rPr>
                <w:szCs w:val="16"/>
              </w:rPr>
            </w:pPr>
            <w:r w:rsidRPr="00A46ADC">
              <w:t>2015</w:t>
            </w:r>
          </w:p>
        </w:tc>
        <w:tc>
          <w:tcPr>
            <w:tcW w:w="3352" w:type="pct"/>
            <w:tcBorders>
              <w:top w:val="nil"/>
              <w:bottom w:val="nil"/>
            </w:tcBorders>
            <w:hideMark/>
          </w:tcPr>
          <w:p w14:paraId="6D838F55" w14:textId="77777777" w:rsidR="00DE4516" w:rsidRPr="00A46ADC" w:rsidRDefault="00DE4516" w:rsidP="00DE4516">
            <w:pPr>
              <w:pStyle w:val="TableBody"/>
              <w:autoSpaceDE w:val="0"/>
              <w:autoSpaceDN w:val="0"/>
              <w:adjustRightInd w:val="0"/>
              <w:jc w:val="center"/>
              <w:rPr>
                <w:szCs w:val="16"/>
              </w:rPr>
            </w:pPr>
            <w:r w:rsidRPr="00A46ADC">
              <w:t>1,099,098.2</w:t>
            </w:r>
          </w:p>
        </w:tc>
      </w:tr>
      <w:tr w:rsidR="00DE4516" w:rsidRPr="00225231" w14:paraId="48D650FD" w14:textId="77777777" w:rsidTr="002C718D">
        <w:trPr>
          <w:cantSplit/>
        </w:trPr>
        <w:tc>
          <w:tcPr>
            <w:tcW w:w="1648" w:type="pct"/>
            <w:tcBorders>
              <w:top w:val="nil"/>
              <w:bottom w:val="nil"/>
            </w:tcBorders>
            <w:hideMark/>
          </w:tcPr>
          <w:p w14:paraId="108467C4" w14:textId="77777777" w:rsidR="00DE4516" w:rsidRPr="00A46ADC" w:rsidRDefault="00DE4516" w:rsidP="00DE4516">
            <w:pPr>
              <w:pStyle w:val="TableBody"/>
              <w:autoSpaceDE w:val="0"/>
              <w:autoSpaceDN w:val="0"/>
              <w:adjustRightInd w:val="0"/>
              <w:jc w:val="both"/>
              <w:rPr>
                <w:szCs w:val="16"/>
              </w:rPr>
            </w:pPr>
            <w:r w:rsidRPr="00A46ADC">
              <w:t>2016</w:t>
            </w:r>
          </w:p>
        </w:tc>
        <w:tc>
          <w:tcPr>
            <w:tcW w:w="3352" w:type="pct"/>
            <w:tcBorders>
              <w:top w:val="nil"/>
              <w:bottom w:val="nil"/>
            </w:tcBorders>
            <w:hideMark/>
          </w:tcPr>
          <w:p w14:paraId="428D7BE1" w14:textId="77777777" w:rsidR="00DE4516" w:rsidRPr="00A46ADC" w:rsidRDefault="00DE4516" w:rsidP="00DE4516">
            <w:pPr>
              <w:pStyle w:val="TableBody"/>
              <w:autoSpaceDE w:val="0"/>
              <w:autoSpaceDN w:val="0"/>
              <w:adjustRightInd w:val="0"/>
              <w:jc w:val="center"/>
              <w:rPr>
                <w:szCs w:val="16"/>
              </w:rPr>
            </w:pPr>
            <w:r w:rsidRPr="00A46ADC">
              <w:t>1,141,046.7</w:t>
            </w:r>
          </w:p>
        </w:tc>
      </w:tr>
      <w:tr w:rsidR="00DE4516" w:rsidRPr="00225231" w14:paraId="2114BAE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648" w:type="pct"/>
            <w:tcBorders>
              <w:top w:val="nil"/>
              <w:bottom w:val="nil"/>
            </w:tcBorders>
            <w:hideMark/>
          </w:tcPr>
          <w:p w14:paraId="60EDC31D" w14:textId="77777777" w:rsidR="00DE4516" w:rsidRPr="00A46ADC" w:rsidRDefault="00DE4516" w:rsidP="00DE4516">
            <w:pPr>
              <w:pStyle w:val="TableBody"/>
              <w:autoSpaceDE w:val="0"/>
              <w:autoSpaceDN w:val="0"/>
              <w:adjustRightInd w:val="0"/>
              <w:jc w:val="both"/>
              <w:rPr>
                <w:szCs w:val="16"/>
              </w:rPr>
            </w:pPr>
            <w:r w:rsidRPr="00A46ADC">
              <w:t>2017</w:t>
            </w:r>
          </w:p>
        </w:tc>
        <w:tc>
          <w:tcPr>
            <w:tcW w:w="3352" w:type="pct"/>
            <w:tcBorders>
              <w:top w:val="nil"/>
              <w:bottom w:val="nil"/>
            </w:tcBorders>
            <w:hideMark/>
          </w:tcPr>
          <w:p w14:paraId="1C631B22" w14:textId="77777777" w:rsidR="00DE4516" w:rsidRPr="00A46ADC" w:rsidRDefault="00DE4516" w:rsidP="00DE4516">
            <w:pPr>
              <w:pStyle w:val="TableBody"/>
              <w:autoSpaceDE w:val="0"/>
              <w:autoSpaceDN w:val="0"/>
              <w:adjustRightInd w:val="0"/>
              <w:jc w:val="center"/>
              <w:rPr>
                <w:szCs w:val="16"/>
              </w:rPr>
            </w:pPr>
            <w:r w:rsidRPr="00A46ADC">
              <w:t>1,141,997.3</w:t>
            </w:r>
          </w:p>
        </w:tc>
      </w:tr>
      <w:tr w:rsidR="00DE4516" w:rsidRPr="00225231" w14:paraId="24DBF887" w14:textId="77777777" w:rsidTr="002C718D">
        <w:trPr>
          <w:cantSplit/>
        </w:trPr>
        <w:tc>
          <w:tcPr>
            <w:tcW w:w="1648" w:type="pct"/>
            <w:tcBorders>
              <w:top w:val="nil"/>
              <w:bottom w:val="nil"/>
            </w:tcBorders>
            <w:hideMark/>
          </w:tcPr>
          <w:p w14:paraId="3352D156" w14:textId="77777777" w:rsidR="00DE4516" w:rsidRPr="00A46ADC" w:rsidRDefault="00DE4516" w:rsidP="00DE4516">
            <w:pPr>
              <w:pStyle w:val="TableBody"/>
              <w:autoSpaceDE w:val="0"/>
              <w:autoSpaceDN w:val="0"/>
              <w:adjustRightInd w:val="0"/>
              <w:jc w:val="both"/>
              <w:rPr>
                <w:szCs w:val="16"/>
              </w:rPr>
            </w:pPr>
            <w:r w:rsidRPr="00A46ADC">
              <w:t>2018</w:t>
            </w:r>
          </w:p>
        </w:tc>
        <w:tc>
          <w:tcPr>
            <w:tcW w:w="3352" w:type="pct"/>
            <w:tcBorders>
              <w:top w:val="nil"/>
              <w:bottom w:val="nil"/>
            </w:tcBorders>
            <w:hideMark/>
          </w:tcPr>
          <w:p w14:paraId="0B35AA89" w14:textId="77777777" w:rsidR="00DE4516" w:rsidRPr="00A46ADC" w:rsidRDefault="00DE4516" w:rsidP="00DE4516">
            <w:pPr>
              <w:pStyle w:val="TableBody"/>
              <w:autoSpaceDE w:val="0"/>
              <w:autoSpaceDN w:val="0"/>
              <w:adjustRightInd w:val="0"/>
              <w:jc w:val="center"/>
              <w:rPr>
                <w:szCs w:val="16"/>
              </w:rPr>
            </w:pPr>
            <w:r w:rsidRPr="00A46ADC">
              <w:t>1,263,875.8</w:t>
            </w:r>
          </w:p>
        </w:tc>
      </w:tr>
      <w:tr w:rsidR="00DE4516" w:rsidRPr="00225231" w14:paraId="4B77A90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648" w:type="pct"/>
            <w:tcBorders>
              <w:top w:val="nil"/>
              <w:bottom w:val="nil"/>
            </w:tcBorders>
            <w:hideMark/>
          </w:tcPr>
          <w:p w14:paraId="25DA13B5" w14:textId="77777777" w:rsidR="00DE4516" w:rsidRPr="00A46ADC" w:rsidRDefault="00DE4516" w:rsidP="00DE4516">
            <w:pPr>
              <w:pStyle w:val="TableBody"/>
              <w:autoSpaceDE w:val="0"/>
              <w:autoSpaceDN w:val="0"/>
              <w:adjustRightInd w:val="0"/>
              <w:jc w:val="both"/>
              <w:rPr>
                <w:szCs w:val="16"/>
              </w:rPr>
            </w:pPr>
            <w:r w:rsidRPr="00A46ADC">
              <w:t>2019</w:t>
            </w:r>
          </w:p>
        </w:tc>
        <w:tc>
          <w:tcPr>
            <w:tcW w:w="3352" w:type="pct"/>
            <w:tcBorders>
              <w:top w:val="nil"/>
              <w:bottom w:val="nil"/>
            </w:tcBorders>
            <w:hideMark/>
          </w:tcPr>
          <w:p w14:paraId="3A32D73A" w14:textId="77777777" w:rsidR="00DE4516" w:rsidRPr="00A46ADC" w:rsidRDefault="00DE4516" w:rsidP="00DE4516">
            <w:pPr>
              <w:pStyle w:val="TableBody"/>
              <w:autoSpaceDE w:val="0"/>
              <w:autoSpaceDN w:val="0"/>
              <w:adjustRightInd w:val="0"/>
              <w:jc w:val="center"/>
              <w:rPr>
                <w:szCs w:val="16"/>
              </w:rPr>
            </w:pPr>
            <w:r w:rsidRPr="00A46ADC">
              <w:t>1,442,749.7</w:t>
            </w:r>
          </w:p>
        </w:tc>
      </w:tr>
      <w:tr w:rsidR="00DE4516" w:rsidRPr="00225231" w14:paraId="7EB1A9AA" w14:textId="77777777" w:rsidTr="002C718D">
        <w:trPr>
          <w:cantSplit/>
        </w:trPr>
        <w:tc>
          <w:tcPr>
            <w:tcW w:w="1648" w:type="pct"/>
            <w:tcBorders>
              <w:top w:val="nil"/>
              <w:bottom w:val="single" w:sz="4" w:space="0" w:color="auto"/>
            </w:tcBorders>
            <w:hideMark/>
          </w:tcPr>
          <w:p w14:paraId="489D67E2" w14:textId="77777777" w:rsidR="00DE4516" w:rsidRPr="00A46ADC" w:rsidRDefault="00DE4516" w:rsidP="00DE4516">
            <w:pPr>
              <w:pStyle w:val="TableBody"/>
              <w:autoSpaceDE w:val="0"/>
              <w:autoSpaceDN w:val="0"/>
              <w:adjustRightInd w:val="0"/>
              <w:jc w:val="both"/>
              <w:rPr>
                <w:szCs w:val="16"/>
              </w:rPr>
            </w:pPr>
            <w:r w:rsidRPr="00A46ADC">
              <w:t>2020</w:t>
            </w:r>
          </w:p>
        </w:tc>
        <w:tc>
          <w:tcPr>
            <w:tcW w:w="3352" w:type="pct"/>
            <w:tcBorders>
              <w:top w:val="nil"/>
              <w:bottom w:val="single" w:sz="4" w:space="0" w:color="auto"/>
            </w:tcBorders>
            <w:hideMark/>
          </w:tcPr>
          <w:p w14:paraId="59A73539" w14:textId="77777777" w:rsidR="00DE4516" w:rsidRPr="00A46ADC" w:rsidRDefault="00DE4516" w:rsidP="00DE4516">
            <w:pPr>
              <w:pStyle w:val="TableBody"/>
              <w:autoSpaceDE w:val="0"/>
              <w:autoSpaceDN w:val="0"/>
              <w:adjustRightInd w:val="0"/>
              <w:jc w:val="center"/>
              <w:rPr>
                <w:szCs w:val="16"/>
              </w:rPr>
            </w:pPr>
            <w:r w:rsidRPr="00A46ADC">
              <w:t>..</w:t>
            </w:r>
          </w:p>
        </w:tc>
      </w:tr>
    </w:tbl>
    <w:p w14:paraId="671CA3DB" w14:textId="6E05CB62" w:rsidR="00DE4516" w:rsidRDefault="00DE4516">
      <w:pPr>
        <w:pStyle w:val="TableNote"/>
        <w:autoSpaceDE w:val="0"/>
        <w:autoSpaceDN w:val="0"/>
        <w:adjustRightInd w:val="0"/>
        <w:contextualSpacing w:val="0"/>
      </w:pPr>
      <w:r>
        <w:t>..</w:t>
      </w:r>
      <w:r>
        <w:tab/>
        <w:t>Not available.</w:t>
      </w:r>
    </w:p>
    <w:p w14:paraId="50C6F25C" w14:textId="77777777" w:rsidR="00DE4516" w:rsidRDefault="00DE4516">
      <w:pPr>
        <w:pStyle w:val="TableSource"/>
        <w:autoSpaceDE w:val="0"/>
        <w:autoSpaceDN w:val="0"/>
        <w:adjustRightInd w:val="0"/>
        <w:rPr>
          <w:szCs w:val="24"/>
        </w:rPr>
      </w:pPr>
      <w:r>
        <w:rPr>
          <w:szCs w:val="24"/>
        </w:rPr>
        <w:t>Source:</w:t>
      </w:r>
      <w:r>
        <w:rPr>
          <w:szCs w:val="24"/>
        </w:rPr>
        <w:tab/>
        <w:t>Ministry of Finance.</w:t>
      </w:r>
    </w:p>
    <w:p w14:paraId="7B4C84A4" w14:textId="77777777" w:rsidR="00DE4516" w:rsidRDefault="00DE4516">
      <w:pPr>
        <w:pStyle w:val="Heading40"/>
        <w:autoSpaceDE w:val="0"/>
        <w:autoSpaceDN w:val="0"/>
        <w:adjustRightInd w:val="0"/>
        <w:rPr>
          <w:szCs w:val="24"/>
        </w:rPr>
      </w:pPr>
      <w:r>
        <w:rPr>
          <w:szCs w:val="24"/>
        </w:rPr>
        <w:t>Tariff bindings</w:t>
      </w:r>
    </w:p>
    <w:p w14:paraId="418983E2" w14:textId="77777777" w:rsidR="00DE4516" w:rsidRDefault="00DE4516">
      <w:pPr>
        <w:pStyle w:val="BodyText0"/>
        <w:autoSpaceDE w:val="0"/>
        <w:autoSpaceDN w:val="0"/>
        <w:adjustRightInd w:val="0"/>
        <w:rPr>
          <w:szCs w:val="24"/>
        </w:rPr>
      </w:pPr>
      <w:r>
        <w:rPr>
          <w:szCs w:val="24"/>
        </w:rPr>
        <w:t>Upon its accession to the WTO, Oman bound 100% of its tariffs at rates averaging 13.8% and ranging up to 200% (on animal products, and beverages and tobacco). Average bound rates are 28% on agricultural products and 11.6% on non</w:t>
      </w:r>
      <w:r>
        <w:rPr>
          <w:szCs w:val="24"/>
        </w:rPr>
        <w:noBreakHyphen/>
        <w:t>agricultural goods.</w:t>
      </w:r>
    </w:p>
    <w:p w14:paraId="53955C21" w14:textId="77777777" w:rsidR="00DE4516" w:rsidRDefault="00DE4516">
      <w:pPr>
        <w:pStyle w:val="BodyText0"/>
        <w:autoSpaceDE w:val="0"/>
        <w:autoSpaceDN w:val="0"/>
        <w:adjustRightInd w:val="0"/>
        <w:rPr>
          <w:szCs w:val="24"/>
        </w:rPr>
      </w:pPr>
      <w:r>
        <w:rPr>
          <w:szCs w:val="24"/>
        </w:rPr>
        <w:t>For 26 tariff lines, applied rates are higher than bound rates (</w:t>
      </w:r>
      <w:r>
        <w:rPr>
          <w:rStyle w:val="citetbl"/>
          <w:szCs w:val="24"/>
        </w:rPr>
        <w:t>Table 3.4</w:t>
      </w:r>
      <w:r>
        <w:rPr>
          <w:szCs w:val="24"/>
        </w:rPr>
        <w:t xml:space="preserve">). </w:t>
      </w:r>
      <w:proofErr w:type="gramStart"/>
      <w:r>
        <w:rPr>
          <w:szCs w:val="24"/>
        </w:rPr>
        <w:t>All of</w:t>
      </w:r>
      <w:proofErr w:type="gramEnd"/>
      <w:r>
        <w:rPr>
          <w:szCs w:val="24"/>
        </w:rPr>
        <w:t xml:space="preserve"> these lines carry higher tariffs in 2021 than at the time of the previous Review.</w:t>
      </w:r>
    </w:p>
    <w:p w14:paraId="23FC2E77" w14:textId="77777777" w:rsidR="00DE4516" w:rsidRDefault="00DE4516">
      <w:pPr>
        <w:pStyle w:val="TableTitle"/>
        <w:autoSpaceDE w:val="0"/>
        <w:autoSpaceDN w:val="0"/>
        <w:adjustRightInd w:val="0"/>
      </w:pPr>
      <w:r>
        <w:t>Table 3.4 Tariff lines where applied rate exceeds bound tariff rate</w:t>
      </w:r>
    </w:p>
    <w:tbl>
      <w:tblPr>
        <w:tblStyle w:val="WTOTable1"/>
        <w:tblW w:w="5000" w:type="pct"/>
        <w:tblLook w:val="05E0" w:firstRow="1" w:lastRow="1" w:firstColumn="1" w:lastColumn="1" w:noHBand="0" w:noVBand="1"/>
      </w:tblPr>
      <w:tblGrid>
        <w:gridCol w:w="520"/>
        <w:gridCol w:w="1115"/>
        <w:gridCol w:w="5011"/>
        <w:gridCol w:w="1384"/>
        <w:gridCol w:w="986"/>
      </w:tblGrid>
      <w:tr w:rsidR="00DE4516" w:rsidRPr="007F015E" w14:paraId="36C09231"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312" w:type="pct"/>
            <w:tcBorders>
              <w:top w:val="single" w:sz="4" w:space="0" w:color="auto"/>
              <w:bottom w:val="nil"/>
            </w:tcBorders>
            <w:vAlign w:val="center"/>
            <w:hideMark/>
          </w:tcPr>
          <w:p w14:paraId="3EDE31FF" w14:textId="77777777" w:rsidR="00DE4516" w:rsidRPr="007F015E" w:rsidRDefault="00DE4516" w:rsidP="00DE4516">
            <w:pPr>
              <w:pStyle w:val="TableHead"/>
              <w:autoSpaceDE w:val="0"/>
              <w:autoSpaceDN w:val="0"/>
              <w:adjustRightInd w:val="0"/>
              <w:jc w:val="both"/>
              <w:rPr>
                <w:rFonts w:cs="Calibri"/>
                <w:b/>
                <w:szCs w:val="16"/>
              </w:rPr>
            </w:pPr>
            <w:r w:rsidRPr="007F015E">
              <w:rPr>
                <w:b/>
              </w:rPr>
              <w:t>No.</w:t>
            </w:r>
          </w:p>
        </w:tc>
        <w:tc>
          <w:tcPr>
            <w:tcW w:w="629" w:type="pct"/>
            <w:tcBorders>
              <w:top w:val="single" w:sz="4" w:space="0" w:color="auto"/>
              <w:bottom w:val="nil"/>
            </w:tcBorders>
            <w:vAlign w:val="center"/>
            <w:hideMark/>
          </w:tcPr>
          <w:p w14:paraId="6D30C964" w14:textId="77777777" w:rsidR="00DE4516" w:rsidRPr="007F015E" w:rsidRDefault="00DE4516" w:rsidP="00DE4516">
            <w:pPr>
              <w:pStyle w:val="TableHead"/>
              <w:autoSpaceDE w:val="0"/>
              <w:autoSpaceDN w:val="0"/>
              <w:adjustRightInd w:val="0"/>
              <w:jc w:val="both"/>
              <w:rPr>
                <w:rFonts w:cs="Calibri"/>
                <w:b/>
                <w:szCs w:val="16"/>
              </w:rPr>
            </w:pPr>
            <w:r w:rsidRPr="007F015E">
              <w:rPr>
                <w:b/>
              </w:rPr>
              <w:t>HS code</w:t>
            </w:r>
          </w:p>
        </w:tc>
        <w:tc>
          <w:tcPr>
            <w:tcW w:w="2908" w:type="pct"/>
            <w:tcBorders>
              <w:top w:val="single" w:sz="4" w:space="0" w:color="auto"/>
              <w:bottom w:val="nil"/>
            </w:tcBorders>
            <w:vAlign w:val="center"/>
            <w:hideMark/>
          </w:tcPr>
          <w:p w14:paraId="03AB05A8" w14:textId="77777777" w:rsidR="00DE4516" w:rsidRPr="007F015E" w:rsidRDefault="00DE4516" w:rsidP="00DE4516">
            <w:pPr>
              <w:pStyle w:val="TableHead"/>
              <w:autoSpaceDE w:val="0"/>
              <w:autoSpaceDN w:val="0"/>
              <w:adjustRightInd w:val="0"/>
              <w:jc w:val="both"/>
              <w:rPr>
                <w:rFonts w:cs="Calibri"/>
                <w:b/>
                <w:szCs w:val="16"/>
              </w:rPr>
            </w:pPr>
            <w:r w:rsidRPr="007F015E">
              <w:rPr>
                <w:b/>
              </w:rPr>
              <w:t>Product description</w:t>
            </w:r>
          </w:p>
        </w:tc>
        <w:tc>
          <w:tcPr>
            <w:tcW w:w="550" w:type="pct"/>
            <w:tcBorders>
              <w:top w:val="single" w:sz="4" w:space="0" w:color="auto"/>
              <w:bottom w:val="nil"/>
            </w:tcBorders>
            <w:hideMark/>
          </w:tcPr>
          <w:p w14:paraId="5304A91D" w14:textId="77777777" w:rsidR="00DE4516" w:rsidRPr="007F015E" w:rsidRDefault="00DE4516" w:rsidP="00DE4516">
            <w:pPr>
              <w:pStyle w:val="TableHead"/>
              <w:autoSpaceDE w:val="0"/>
              <w:autoSpaceDN w:val="0"/>
              <w:adjustRightInd w:val="0"/>
              <w:rPr>
                <w:rFonts w:cs="Calibri"/>
                <w:b/>
                <w:szCs w:val="16"/>
              </w:rPr>
            </w:pPr>
            <w:r w:rsidRPr="007F015E">
              <w:rPr>
                <w:b/>
              </w:rPr>
              <w:t>2021 applied tariff</w:t>
            </w:r>
          </w:p>
        </w:tc>
        <w:tc>
          <w:tcPr>
            <w:tcW w:w="601" w:type="pct"/>
            <w:tcBorders>
              <w:top w:val="single" w:sz="4" w:space="0" w:color="auto"/>
              <w:bottom w:val="nil"/>
            </w:tcBorders>
            <w:vAlign w:val="center"/>
            <w:hideMark/>
          </w:tcPr>
          <w:p w14:paraId="74D8A861" w14:textId="77777777" w:rsidR="00DE4516" w:rsidRPr="007F015E" w:rsidRDefault="00DE4516" w:rsidP="00DE4516">
            <w:pPr>
              <w:pStyle w:val="TableHead"/>
              <w:autoSpaceDE w:val="0"/>
              <w:autoSpaceDN w:val="0"/>
              <w:adjustRightInd w:val="0"/>
              <w:rPr>
                <w:rFonts w:cs="Calibri"/>
                <w:b/>
                <w:szCs w:val="16"/>
              </w:rPr>
            </w:pPr>
            <w:r w:rsidRPr="007F015E">
              <w:rPr>
                <w:b/>
              </w:rPr>
              <w:t>Bound tariff</w:t>
            </w:r>
          </w:p>
        </w:tc>
      </w:tr>
      <w:tr w:rsidR="00DE4516" w:rsidRPr="00225231" w14:paraId="2DB7D0BC" w14:textId="77777777" w:rsidTr="002C718D">
        <w:trPr>
          <w:cantSplit/>
        </w:trPr>
        <w:tc>
          <w:tcPr>
            <w:tcW w:w="312" w:type="pct"/>
            <w:tcBorders>
              <w:top w:val="nil"/>
              <w:bottom w:val="nil"/>
            </w:tcBorders>
            <w:noWrap/>
            <w:hideMark/>
          </w:tcPr>
          <w:p w14:paraId="14B52C82" w14:textId="77777777" w:rsidR="00DE4516" w:rsidRPr="00A46ADC" w:rsidRDefault="00DE4516" w:rsidP="00DE4516">
            <w:pPr>
              <w:pStyle w:val="TableBody"/>
              <w:autoSpaceDE w:val="0"/>
              <w:autoSpaceDN w:val="0"/>
              <w:adjustRightInd w:val="0"/>
              <w:jc w:val="both"/>
              <w:rPr>
                <w:rFonts w:cs="Calibri"/>
                <w:szCs w:val="16"/>
              </w:rPr>
            </w:pPr>
            <w:r w:rsidRPr="00A46ADC">
              <w:t>1.</w:t>
            </w:r>
          </w:p>
        </w:tc>
        <w:tc>
          <w:tcPr>
            <w:tcW w:w="629" w:type="pct"/>
            <w:tcBorders>
              <w:top w:val="nil"/>
              <w:bottom w:val="nil"/>
            </w:tcBorders>
            <w:hideMark/>
          </w:tcPr>
          <w:p w14:paraId="05792E61" w14:textId="77777777" w:rsidR="00DE4516" w:rsidRPr="00A46ADC" w:rsidRDefault="00DE4516" w:rsidP="00DE4516">
            <w:pPr>
              <w:pStyle w:val="TableBody"/>
              <w:autoSpaceDE w:val="0"/>
              <w:autoSpaceDN w:val="0"/>
              <w:adjustRightInd w:val="0"/>
              <w:jc w:val="both"/>
              <w:rPr>
                <w:rFonts w:cs="Calibri"/>
                <w:szCs w:val="16"/>
              </w:rPr>
            </w:pPr>
            <w:r w:rsidRPr="00A46ADC">
              <w:t>02050090</w:t>
            </w:r>
          </w:p>
        </w:tc>
        <w:tc>
          <w:tcPr>
            <w:tcW w:w="2908" w:type="pct"/>
            <w:tcBorders>
              <w:top w:val="nil"/>
              <w:bottom w:val="nil"/>
            </w:tcBorders>
            <w:hideMark/>
          </w:tcPr>
          <w:p w14:paraId="14F4E6BA" w14:textId="77777777" w:rsidR="00DE4516" w:rsidRPr="00A46ADC" w:rsidRDefault="00DE4516" w:rsidP="00DE4516">
            <w:pPr>
              <w:pStyle w:val="TableBody"/>
              <w:autoSpaceDE w:val="0"/>
              <w:autoSpaceDN w:val="0"/>
              <w:adjustRightInd w:val="0"/>
              <w:jc w:val="both"/>
              <w:rPr>
                <w:rFonts w:cs="Calibri"/>
                <w:szCs w:val="16"/>
              </w:rPr>
            </w:pPr>
            <w:r w:rsidRPr="00A46ADC">
              <w:t xml:space="preserve">Meat of horses, asses, </w:t>
            </w:r>
            <w:proofErr w:type="gramStart"/>
            <w:r w:rsidRPr="00A46ADC">
              <w:t>mules</w:t>
            </w:r>
            <w:proofErr w:type="gramEnd"/>
            <w:r w:rsidRPr="00A46ADC">
              <w:t xml:space="preserve"> or hinnies, fresh, chilled or frozen, excluding meat of horses</w:t>
            </w:r>
          </w:p>
        </w:tc>
        <w:tc>
          <w:tcPr>
            <w:tcW w:w="550" w:type="pct"/>
            <w:tcBorders>
              <w:top w:val="nil"/>
              <w:bottom w:val="nil"/>
            </w:tcBorders>
            <w:hideMark/>
          </w:tcPr>
          <w:p w14:paraId="12443CD9"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5EDF0B0D"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2D2B545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7FCF7C0F" w14:textId="77777777" w:rsidR="00DE4516" w:rsidRPr="00A46ADC" w:rsidRDefault="00DE4516" w:rsidP="00DE4516">
            <w:pPr>
              <w:pStyle w:val="TableBody"/>
              <w:autoSpaceDE w:val="0"/>
              <w:autoSpaceDN w:val="0"/>
              <w:adjustRightInd w:val="0"/>
              <w:jc w:val="both"/>
              <w:rPr>
                <w:rFonts w:cs="Calibri"/>
                <w:szCs w:val="16"/>
              </w:rPr>
            </w:pPr>
            <w:r w:rsidRPr="00A46ADC">
              <w:t>2.</w:t>
            </w:r>
          </w:p>
        </w:tc>
        <w:tc>
          <w:tcPr>
            <w:tcW w:w="629" w:type="pct"/>
            <w:tcBorders>
              <w:top w:val="nil"/>
              <w:bottom w:val="nil"/>
            </w:tcBorders>
            <w:hideMark/>
          </w:tcPr>
          <w:p w14:paraId="55D73B64" w14:textId="77777777" w:rsidR="00DE4516" w:rsidRPr="00A46ADC" w:rsidRDefault="00DE4516" w:rsidP="00DE4516">
            <w:pPr>
              <w:pStyle w:val="TableBody"/>
              <w:autoSpaceDE w:val="0"/>
              <w:autoSpaceDN w:val="0"/>
              <w:adjustRightInd w:val="0"/>
              <w:jc w:val="both"/>
              <w:rPr>
                <w:rFonts w:cs="Calibri"/>
                <w:szCs w:val="16"/>
              </w:rPr>
            </w:pPr>
            <w:r w:rsidRPr="00A46ADC">
              <w:t>05021000</w:t>
            </w:r>
          </w:p>
        </w:tc>
        <w:tc>
          <w:tcPr>
            <w:tcW w:w="2908" w:type="pct"/>
            <w:tcBorders>
              <w:top w:val="nil"/>
              <w:bottom w:val="nil"/>
            </w:tcBorders>
            <w:hideMark/>
          </w:tcPr>
          <w:p w14:paraId="3D0E538E" w14:textId="77777777" w:rsidR="00DE4516" w:rsidRPr="00A46ADC" w:rsidRDefault="00DE4516" w:rsidP="00DE4516">
            <w:pPr>
              <w:pStyle w:val="TableBody"/>
              <w:autoSpaceDE w:val="0"/>
              <w:autoSpaceDN w:val="0"/>
              <w:adjustRightInd w:val="0"/>
              <w:jc w:val="both"/>
              <w:rPr>
                <w:rFonts w:cs="Calibri"/>
                <w:szCs w:val="16"/>
              </w:rPr>
            </w:pPr>
            <w:r w:rsidRPr="00A46ADC">
              <w:t>Pigs', hogs' or boars' bristles and hair and waste thereof</w:t>
            </w:r>
          </w:p>
        </w:tc>
        <w:tc>
          <w:tcPr>
            <w:tcW w:w="550" w:type="pct"/>
            <w:tcBorders>
              <w:top w:val="nil"/>
              <w:bottom w:val="nil"/>
            </w:tcBorders>
            <w:hideMark/>
          </w:tcPr>
          <w:p w14:paraId="69A83B76"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75FE05A4"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4EB29E5B" w14:textId="77777777" w:rsidTr="002C718D">
        <w:trPr>
          <w:cantSplit/>
        </w:trPr>
        <w:tc>
          <w:tcPr>
            <w:tcW w:w="312" w:type="pct"/>
            <w:tcBorders>
              <w:top w:val="nil"/>
              <w:bottom w:val="nil"/>
            </w:tcBorders>
            <w:noWrap/>
            <w:hideMark/>
          </w:tcPr>
          <w:p w14:paraId="72509AA6" w14:textId="77777777" w:rsidR="00DE4516" w:rsidRPr="00A46ADC" w:rsidRDefault="00DE4516" w:rsidP="00DE4516">
            <w:pPr>
              <w:pStyle w:val="TableBody"/>
              <w:autoSpaceDE w:val="0"/>
              <w:autoSpaceDN w:val="0"/>
              <w:adjustRightInd w:val="0"/>
              <w:jc w:val="both"/>
              <w:rPr>
                <w:rFonts w:cs="Calibri"/>
                <w:szCs w:val="16"/>
              </w:rPr>
            </w:pPr>
            <w:r w:rsidRPr="00A46ADC">
              <w:t>3.</w:t>
            </w:r>
          </w:p>
        </w:tc>
        <w:tc>
          <w:tcPr>
            <w:tcW w:w="629" w:type="pct"/>
            <w:tcBorders>
              <w:top w:val="nil"/>
              <w:bottom w:val="nil"/>
            </w:tcBorders>
            <w:hideMark/>
          </w:tcPr>
          <w:p w14:paraId="1949BFDA" w14:textId="77777777" w:rsidR="00DE4516" w:rsidRPr="00A46ADC" w:rsidRDefault="00DE4516" w:rsidP="00DE4516">
            <w:pPr>
              <w:pStyle w:val="TableBody"/>
              <w:autoSpaceDE w:val="0"/>
              <w:autoSpaceDN w:val="0"/>
              <w:adjustRightInd w:val="0"/>
              <w:jc w:val="both"/>
              <w:rPr>
                <w:rFonts w:cs="Calibri"/>
                <w:szCs w:val="16"/>
              </w:rPr>
            </w:pPr>
            <w:r w:rsidRPr="00A46ADC">
              <w:t>08055020</w:t>
            </w:r>
          </w:p>
        </w:tc>
        <w:tc>
          <w:tcPr>
            <w:tcW w:w="2908" w:type="pct"/>
            <w:tcBorders>
              <w:top w:val="nil"/>
              <w:bottom w:val="nil"/>
            </w:tcBorders>
            <w:hideMark/>
          </w:tcPr>
          <w:p w14:paraId="3D51D740" w14:textId="77777777" w:rsidR="00DE4516" w:rsidRPr="00A46ADC" w:rsidRDefault="00DE4516" w:rsidP="00DE4516">
            <w:pPr>
              <w:pStyle w:val="TableBody"/>
              <w:autoSpaceDE w:val="0"/>
              <w:autoSpaceDN w:val="0"/>
              <w:adjustRightInd w:val="0"/>
              <w:jc w:val="both"/>
              <w:rPr>
                <w:rFonts w:cs="Calibri"/>
                <w:szCs w:val="16"/>
              </w:rPr>
            </w:pPr>
            <w:r w:rsidRPr="00A46ADC">
              <w:t xml:space="preserve">Lemons </w:t>
            </w:r>
            <w:r w:rsidRPr="00A46ADC">
              <w:rPr>
                <w:i/>
              </w:rPr>
              <w:t>a</w:t>
            </w:r>
            <w:r w:rsidRPr="00A46ADC">
              <w:t>nd limes, dried</w:t>
            </w:r>
          </w:p>
        </w:tc>
        <w:tc>
          <w:tcPr>
            <w:tcW w:w="550" w:type="pct"/>
            <w:tcBorders>
              <w:top w:val="nil"/>
              <w:bottom w:val="nil"/>
            </w:tcBorders>
            <w:hideMark/>
          </w:tcPr>
          <w:p w14:paraId="07BB8FEA"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418CB96F" w14:textId="77777777" w:rsidR="00DE4516" w:rsidRPr="00A46ADC" w:rsidRDefault="00DE4516" w:rsidP="00DE4516">
            <w:pPr>
              <w:pStyle w:val="TableBody"/>
              <w:autoSpaceDE w:val="0"/>
              <w:autoSpaceDN w:val="0"/>
              <w:adjustRightInd w:val="0"/>
              <w:jc w:val="right"/>
              <w:rPr>
                <w:rFonts w:cs="Calibri"/>
                <w:szCs w:val="16"/>
              </w:rPr>
            </w:pPr>
            <w:r w:rsidRPr="00A46ADC">
              <w:t>15, 30, 80</w:t>
            </w:r>
          </w:p>
        </w:tc>
      </w:tr>
      <w:tr w:rsidR="00DE4516" w:rsidRPr="00225231" w14:paraId="4EF8787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3571EA64" w14:textId="77777777" w:rsidR="00DE4516" w:rsidRPr="00A46ADC" w:rsidRDefault="00DE4516" w:rsidP="00DE4516">
            <w:pPr>
              <w:pStyle w:val="TableBody"/>
              <w:autoSpaceDE w:val="0"/>
              <w:autoSpaceDN w:val="0"/>
              <w:adjustRightInd w:val="0"/>
              <w:jc w:val="both"/>
              <w:rPr>
                <w:rFonts w:cs="Calibri"/>
                <w:szCs w:val="16"/>
              </w:rPr>
            </w:pPr>
            <w:r w:rsidRPr="00A46ADC">
              <w:t>4.</w:t>
            </w:r>
          </w:p>
        </w:tc>
        <w:tc>
          <w:tcPr>
            <w:tcW w:w="629" w:type="pct"/>
            <w:tcBorders>
              <w:top w:val="nil"/>
              <w:bottom w:val="nil"/>
            </w:tcBorders>
            <w:hideMark/>
          </w:tcPr>
          <w:p w14:paraId="6E39D64B" w14:textId="77777777" w:rsidR="00DE4516" w:rsidRPr="00A46ADC" w:rsidRDefault="00DE4516" w:rsidP="00DE4516">
            <w:pPr>
              <w:pStyle w:val="TableBody"/>
              <w:autoSpaceDE w:val="0"/>
              <w:autoSpaceDN w:val="0"/>
              <w:adjustRightInd w:val="0"/>
              <w:jc w:val="both"/>
              <w:rPr>
                <w:rFonts w:cs="Calibri"/>
                <w:szCs w:val="16"/>
              </w:rPr>
            </w:pPr>
            <w:r w:rsidRPr="00A46ADC">
              <w:t>15180011</w:t>
            </w:r>
          </w:p>
        </w:tc>
        <w:tc>
          <w:tcPr>
            <w:tcW w:w="2908" w:type="pct"/>
            <w:tcBorders>
              <w:top w:val="nil"/>
              <w:bottom w:val="nil"/>
            </w:tcBorders>
            <w:hideMark/>
          </w:tcPr>
          <w:p w14:paraId="3BDEDE87" w14:textId="77777777" w:rsidR="00DE4516" w:rsidRPr="00A46ADC" w:rsidRDefault="00DE4516" w:rsidP="00DE4516">
            <w:pPr>
              <w:pStyle w:val="TableBody"/>
              <w:autoSpaceDE w:val="0"/>
              <w:autoSpaceDN w:val="0"/>
              <w:adjustRightInd w:val="0"/>
              <w:jc w:val="both"/>
              <w:rPr>
                <w:rFonts w:cs="Calibri"/>
                <w:szCs w:val="16"/>
              </w:rPr>
            </w:pPr>
            <w:r w:rsidRPr="00A46ADC">
              <w:t>Animal or vegetable fats and oils and their fractions of pig</w:t>
            </w:r>
          </w:p>
        </w:tc>
        <w:tc>
          <w:tcPr>
            <w:tcW w:w="550" w:type="pct"/>
            <w:tcBorders>
              <w:top w:val="nil"/>
              <w:bottom w:val="nil"/>
            </w:tcBorders>
            <w:hideMark/>
          </w:tcPr>
          <w:p w14:paraId="700BAE71"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0B30173F"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58E1726A" w14:textId="77777777" w:rsidTr="002C718D">
        <w:trPr>
          <w:cantSplit/>
        </w:trPr>
        <w:tc>
          <w:tcPr>
            <w:tcW w:w="312" w:type="pct"/>
            <w:tcBorders>
              <w:top w:val="nil"/>
              <w:bottom w:val="nil"/>
            </w:tcBorders>
            <w:noWrap/>
            <w:hideMark/>
          </w:tcPr>
          <w:p w14:paraId="2D32705B" w14:textId="77777777" w:rsidR="00DE4516" w:rsidRPr="00A46ADC" w:rsidRDefault="00DE4516" w:rsidP="00DE4516">
            <w:pPr>
              <w:pStyle w:val="TableBody"/>
              <w:autoSpaceDE w:val="0"/>
              <w:autoSpaceDN w:val="0"/>
              <w:adjustRightInd w:val="0"/>
              <w:jc w:val="both"/>
              <w:rPr>
                <w:rFonts w:cs="Calibri"/>
                <w:szCs w:val="16"/>
              </w:rPr>
            </w:pPr>
            <w:r w:rsidRPr="00A46ADC">
              <w:t>5.</w:t>
            </w:r>
          </w:p>
        </w:tc>
        <w:tc>
          <w:tcPr>
            <w:tcW w:w="629" w:type="pct"/>
            <w:tcBorders>
              <w:top w:val="nil"/>
              <w:bottom w:val="nil"/>
            </w:tcBorders>
            <w:noWrap/>
            <w:hideMark/>
          </w:tcPr>
          <w:p w14:paraId="030D27F5" w14:textId="77777777" w:rsidR="00DE4516" w:rsidRPr="00A46ADC" w:rsidRDefault="00DE4516" w:rsidP="00DE4516">
            <w:pPr>
              <w:pStyle w:val="TableBody"/>
              <w:autoSpaceDE w:val="0"/>
              <w:autoSpaceDN w:val="0"/>
              <w:adjustRightInd w:val="0"/>
              <w:jc w:val="both"/>
              <w:rPr>
                <w:rFonts w:cs="Calibri"/>
                <w:szCs w:val="16"/>
              </w:rPr>
            </w:pPr>
            <w:r w:rsidRPr="00A46ADC">
              <w:t>16029030</w:t>
            </w:r>
          </w:p>
        </w:tc>
        <w:tc>
          <w:tcPr>
            <w:tcW w:w="2908" w:type="pct"/>
            <w:tcBorders>
              <w:top w:val="nil"/>
              <w:bottom w:val="nil"/>
            </w:tcBorders>
            <w:hideMark/>
          </w:tcPr>
          <w:p w14:paraId="2AC28DC3" w14:textId="77777777" w:rsidR="00DE4516" w:rsidRPr="00A46ADC" w:rsidRDefault="00DE4516" w:rsidP="00DE4516">
            <w:pPr>
              <w:pStyle w:val="TableBody"/>
              <w:autoSpaceDE w:val="0"/>
              <w:autoSpaceDN w:val="0"/>
              <w:adjustRightInd w:val="0"/>
              <w:jc w:val="both"/>
              <w:rPr>
                <w:rFonts w:cs="Calibri"/>
                <w:szCs w:val="16"/>
              </w:rPr>
            </w:pPr>
            <w:r w:rsidRPr="00A46ADC">
              <w:t>Preparations of animal blood</w:t>
            </w:r>
          </w:p>
        </w:tc>
        <w:tc>
          <w:tcPr>
            <w:tcW w:w="550" w:type="pct"/>
            <w:tcBorders>
              <w:top w:val="nil"/>
              <w:bottom w:val="nil"/>
            </w:tcBorders>
            <w:noWrap/>
            <w:hideMark/>
          </w:tcPr>
          <w:p w14:paraId="04C54EAF"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noWrap/>
            <w:hideMark/>
          </w:tcPr>
          <w:p w14:paraId="206835B7"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1B81B06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5BEF2A8B" w14:textId="77777777" w:rsidR="00DE4516" w:rsidRPr="00A46ADC" w:rsidRDefault="00DE4516" w:rsidP="00DE4516">
            <w:pPr>
              <w:pStyle w:val="TableBody"/>
              <w:autoSpaceDE w:val="0"/>
              <w:autoSpaceDN w:val="0"/>
              <w:adjustRightInd w:val="0"/>
              <w:jc w:val="both"/>
              <w:rPr>
                <w:rFonts w:cs="Calibri"/>
                <w:szCs w:val="16"/>
              </w:rPr>
            </w:pPr>
            <w:r w:rsidRPr="00A46ADC">
              <w:t>6.</w:t>
            </w:r>
          </w:p>
        </w:tc>
        <w:tc>
          <w:tcPr>
            <w:tcW w:w="629" w:type="pct"/>
            <w:tcBorders>
              <w:top w:val="nil"/>
              <w:bottom w:val="nil"/>
            </w:tcBorders>
            <w:noWrap/>
            <w:hideMark/>
          </w:tcPr>
          <w:p w14:paraId="013FEEC4" w14:textId="77777777" w:rsidR="00DE4516" w:rsidRPr="00A46ADC" w:rsidRDefault="00DE4516" w:rsidP="00DE4516">
            <w:pPr>
              <w:pStyle w:val="TableBody"/>
              <w:autoSpaceDE w:val="0"/>
              <w:autoSpaceDN w:val="0"/>
              <w:adjustRightInd w:val="0"/>
              <w:jc w:val="both"/>
              <w:rPr>
                <w:rFonts w:cs="Calibri"/>
                <w:szCs w:val="16"/>
              </w:rPr>
            </w:pPr>
            <w:r w:rsidRPr="00A46ADC">
              <w:t>17049080</w:t>
            </w:r>
          </w:p>
        </w:tc>
        <w:tc>
          <w:tcPr>
            <w:tcW w:w="2908" w:type="pct"/>
            <w:tcBorders>
              <w:top w:val="nil"/>
              <w:bottom w:val="nil"/>
            </w:tcBorders>
            <w:hideMark/>
          </w:tcPr>
          <w:p w14:paraId="0CB787A2" w14:textId="77777777" w:rsidR="00DE4516" w:rsidRPr="00A46ADC" w:rsidRDefault="00DE4516" w:rsidP="00DE4516">
            <w:pPr>
              <w:pStyle w:val="TableBody"/>
              <w:autoSpaceDE w:val="0"/>
              <w:autoSpaceDN w:val="0"/>
              <w:adjustRightInd w:val="0"/>
              <w:jc w:val="both"/>
              <w:rPr>
                <w:rFonts w:cs="Calibri"/>
                <w:szCs w:val="16"/>
              </w:rPr>
            </w:pPr>
            <w:r w:rsidRPr="00A46ADC">
              <w:t>White chocolate containing alcohol</w:t>
            </w:r>
          </w:p>
        </w:tc>
        <w:tc>
          <w:tcPr>
            <w:tcW w:w="550" w:type="pct"/>
            <w:tcBorders>
              <w:top w:val="nil"/>
              <w:bottom w:val="nil"/>
            </w:tcBorders>
            <w:noWrap/>
            <w:hideMark/>
          </w:tcPr>
          <w:p w14:paraId="77DB0EB1"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29CF9486"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015D82EA" w14:textId="77777777" w:rsidTr="002C718D">
        <w:trPr>
          <w:cantSplit/>
        </w:trPr>
        <w:tc>
          <w:tcPr>
            <w:tcW w:w="312" w:type="pct"/>
            <w:tcBorders>
              <w:top w:val="nil"/>
              <w:bottom w:val="nil"/>
            </w:tcBorders>
            <w:noWrap/>
            <w:hideMark/>
          </w:tcPr>
          <w:p w14:paraId="5959ED9C" w14:textId="77777777" w:rsidR="00DE4516" w:rsidRPr="00A46ADC" w:rsidRDefault="00DE4516" w:rsidP="00DE4516">
            <w:pPr>
              <w:pStyle w:val="TableBody"/>
              <w:autoSpaceDE w:val="0"/>
              <w:autoSpaceDN w:val="0"/>
              <w:adjustRightInd w:val="0"/>
              <w:jc w:val="both"/>
              <w:rPr>
                <w:rFonts w:cs="Calibri"/>
                <w:szCs w:val="16"/>
              </w:rPr>
            </w:pPr>
            <w:r w:rsidRPr="00A46ADC">
              <w:t>7.</w:t>
            </w:r>
          </w:p>
        </w:tc>
        <w:tc>
          <w:tcPr>
            <w:tcW w:w="629" w:type="pct"/>
            <w:tcBorders>
              <w:top w:val="nil"/>
              <w:bottom w:val="nil"/>
            </w:tcBorders>
            <w:noWrap/>
            <w:hideMark/>
          </w:tcPr>
          <w:p w14:paraId="69FD535C" w14:textId="77777777" w:rsidR="00DE4516" w:rsidRPr="00A46ADC" w:rsidRDefault="00DE4516" w:rsidP="00DE4516">
            <w:pPr>
              <w:pStyle w:val="TableBody"/>
              <w:autoSpaceDE w:val="0"/>
              <w:autoSpaceDN w:val="0"/>
              <w:adjustRightInd w:val="0"/>
              <w:jc w:val="both"/>
              <w:rPr>
                <w:rFonts w:cs="Calibri"/>
                <w:szCs w:val="16"/>
              </w:rPr>
            </w:pPr>
            <w:r w:rsidRPr="00A46ADC">
              <w:t>18063110</w:t>
            </w:r>
          </w:p>
        </w:tc>
        <w:tc>
          <w:tcPr>
            <w:tcW w:w="2908" w:type="pct"/>
            <w:tcBorders>
              <w:top w:val="nil"/>
              <w:bottom w:val="nil"/>
            </w:tcBorders>
            <w:hideMark/>
          </w:tcPr>
          <w:p w14:paraId="3673DA85" w14:textId="77777777" w:rsidR="00DE4516" w:rsidRPr="00A46ADC" w:rsidRDefault="00DE4516" w:rsidP="00DE4516">
            <w:pPr>
              <w:pStyle w:val="TableBody"/>
              <w:autoSpaceDE w:val="0"/>
              <w:autoSpaceDN w:val="0"/>
              <w:adjustRightInd w:val="0"/>
              <w:jc w:val="both"/>
              <w:rPr>
                <w:rFonts w:cs="Calibri"/>
                <w:szCs w:val="16"/>
              </w:rPr>
            </w:pPr>
            <w:r w:rsidRPr="00A46ADC">
              <w:t>Chocolate and other preparations containing cocoa, in blocks, slabs or bars, filled, containing alcohol</w:t>
            </w:r>
          </w:p>
        </w:tc>
        <w:tc>
          <w:tcPr>
            <w:tcW w:w="550" w:type="pct"/>
            <w:tcBorders>
              <w:top w:val="nil"/>
              <w:bottom w:val="nil"/>
            </w:tcBorders>
            <w:noWrap/>
            <w:hideMark/>
          </w:tcPr>
          <w:p w14:paraId="159301F3"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43BE94C1"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3765C1F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7B73F377" w14:textId="77777777" w:rsidR="00DE4516" w:rsidRPr="00A46ADC" w:rsidRDefault="00DE4516" w:rsidP="00DE4516">
            <w:pPr>
              <w:pStyle w:val="TableBody"/>
              <w:autoSpaceDE w:val="0"/>
              <w:autoSpaceDN w:val="0"/>
              <w:adjustRightInd w:val="0"/>
              <w:jc w:val="both"/>
              <w:rPr>
                <w:rFonts w:cs="Calibri"/>
                <w:szCs w:val="16"/>
              </w:rPr>
            </w:pPr>
            <w:r w:rsidRPr="00A46ADC">
              <w:t>8.</w:t>
            </w:r>
          </w:p>
        </w:tc>
        <w:tc>
          <w:tcPr>
            <w:tcW w:w="629" w:type="pct"/>
            <w:tcBorders>
              <w:top w:val="nil"/>
              <w:bottom w:val="nil"/>
            </w:tcBorders>
            <w:noWrap/>
            <w:hideMark/>
          </w:tcPr>
          <w:p w14:paraId="2A501FBC" w14:textId="77777777" w:rsidR="00DE4516" w:rsidRPr="00A46ADC" w:rsidRDefault="00DE4516" w:rsidP="00DE4516">
            <w:pPr>
              <w:pStyle w:val="TableBody"/>
              <w:autoSpaceDE w:val="0"/>
              <w:autoSpaceDN w:val="0"/>
              <w:adjustRightInd w:val="0"/>
              <w:jc w:val="both"/>
              <w:rPr>
                <w:rFonts w:cs="Calibri"/>
                <w:szCs w:val="16"/>
              </w:rPr>
            </w:pPr>
            <w:r w:rsidRPr="00A46ADC">
              <w:t>18063210</w:t>
            </w:r>
          </w:p>
        </w:tc>
        <w:tc>
          <w:tcPr>
            <w:tcW w:w="2908" w:type="pct"/>
            <w:tcBorders>
              <w:top w:val="nil"/>
              <w:bottom w:val="nil"/>
            </w:tcBorders>
            <w:hideMark/>
          </w:tcPr>
          <w:p w14:paraId="5EDE25EB" w14:textId="77777777" w:rsidR="00DE4516" w:rsidRPr="00A46ADC" w:rsidRDefault="00DE4516" w:rsidP="00DE4516">
            <w:pPr>
              <w:pStyle w:val="TableBody"/>
              <w:autoSpaceDE w:val="0"/>
              <w:autoSpaceDN w:val="0"/>
              <w:adjustRightInd w:val="0"/>
              <w:jc w:val="both"/>
              <w:rPr>
                <w:rFonts w:cs="Calibri"/>
                <w:szCs w:val="16"/>
              </w:rPr>
            </w:pPr>
            <w:r w:rsidRPr="00A46ADC">
              <w:t>Chocolate and other preparations containing cocoa, in blocks, slabs or bars (excl. filled), containing alcohol</w:t>
            </w:r>
          </w:p>
        </w:tc>
        <w:tc>
          <w:tcPr>
            <w:tcW w:w="550" w:type="pct"/>
            <w:tcBorders>
              <w:top w:val="nil"/>
              <w:bottom w:val="nil"/>
            </w:tcBorders>
            <w:noWrap/>
            <w:hideMark/>
          </w:tcPr>
          <w:p w14:paraId="0B61922C"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393167BE"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1529669C" w14:textId="77777777" w:rsidTr="00064F6F">
        <w:trPr>
          <w:cantSplit/>
        </w:trPr>
        <w:tc>
          <w:tcPr>
            <w:tcW w:w="312" w:type="pct"/>
            <w:tcBorders>
              <w:top w:val="nil"/>
              <w:bottom w:val="nil"/>
            </w:tcBorders>
            <w:noWrap/>
            <w:hideMark/>
          </w:tcPr>
          <w:p w14:paraId="55CFB1D8" w14:textId="77777777" w:rsidR="00DE4516" w:rsidRPr="00A46ADC" w:rsidRDefault="00DE4516" w:rsidP="00DE4516">
            <w:pPr>
              <w:pStyle w:val="TableBody"/>
              <w:autoSpaceDE w:val="0"/>
              <w:autoSpaceDN w:val="0"/>
              <w:adjustRightInd w:val="0"/>
              <w:jc w:val="both"/>
            </w:pPr>
          </w:p>
        </w:tc>
        <w:tc>
          <w:tcPr>
            <w:tcW w:w="629" w:type="pct"/>
            <w:tcBorders>
              <w:top w:val="nil"/>
              <w:bottom w:val="nil"/>
            </w:tcBorders>
            <w:noWrap/>
            <w:hideMark/>
          </w:tcPr>
          <w:p w14:paraId="1BE68862" w14:textId="77777777" w:rsidR="00DE4516" w:rsidRPr="00A46ADC" w:rsidRDefault="00DE4516" w:rsidP="00DE4516">
            <w:pPr>
              <w:pStyle w:val="TableBody"/>
              <w:autoSpaceDE w:val="0"/>
              <w:autoSpaceDN w:val="0"/>
              <w:adjustRightInd w:val="0"/>
              <w:jc w:val="both"/>
              <w:rPr>
                <w:rFonts w:cs="Calibri"/>
                <w:szCs w:val="16"/>
              </w:rPr>
            </w:pPr>
            <w:r w:rsidRPr="00A46ADC">
              <w:t>2008</w:t>
            </w:r>
          </w:p>
        </w:tc>
        <w:tc>
          <w:tcPr>
            <w:tcW w:w="3458" w:type="pct"/>
            <w:gridSpan w:val="2"/>
            <w:tcBorders>
              <w:top w:val="nil"/>
              <w:bottom w:val="nil"/>
            </w:tcBorders>
            <w:hideMark/>
          </w:tcPr>
          <w:p w14:paraId="760AD411" w14:textId="77777777" w:rsidR="00DE4516" w:rsidRPr="00A46ADC" w:rsidRDefault="00DE4516" w:rsidP="00DE4516">
            <w:pPr>
              <w:pStyle w:val="TableBody"/>
              <w:autoSpaceDE w:val="0"/>
              <w:autoSpaceDN w:val="0"/>
              <w:adjustRightInd w:val="0"/>
              <w:ind w:right="113"/>
              <w:jc w:val="both"/>
              <w:rPr>
                <w:rFonts w:cs="Calibri"/>
                <w:szCs w:val="16"/>
              </w:rPr>
            </w:pPr>
            <w:r w:rsidRPr="00A46ADC">
              <w:t xml:space="preserve">Fruits, </w:t>
            </w:r>
            <w:proofErr w:type="gramStart"/>
            <w:r w:rsidRPr="00A46ADC">
              <w:t>nuts</w:t>
            </w:r>
            <w:proofErr w:type="gramEnd"/>
            <w:r w:rsidRPr="00A46ADC">
              <w:t xml:space="preserve"> and other edible parts of plants, prepared or preserved:</w:t>
            </w:r>
          </w:p>
        </w:tc>
        <w:tc>
          <w:tcPr>
            <w:tcW w:w="601" w:type="pct"/>
            <w:tcBorders>
              <w:top w:val="nil"/>
              <w:bottom w:val="nil"/>
            </w:tcBorders>
            <w:hideMark/>
          </w:tcPr>
          <w:p w14:paraId="1876806C" w14:textId="77777777" w:rsidR="00DE4516" w:rsidRPr="00A46ADC" w:rsidRDefault="00DE4516" w:rsidP="00DE4516">
            <w:pPr>
              <w:pStyle w:val="TableBody"/>
              <w:autoSpaceDE w:val="0"/>
              <w:autoSpaceDN w:val="0"/>
              <w:adjustRightInd w:val="0"/>
            </w:pPr>
          </w:p>
        </w:tc>
      </w:tr>
      <w:tr w:rsidR="00DE4516" w:rsidRPr="00225231" w14:paraId="3122E441" w14:textId="77777777" w:rsidTr="00064F6F">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single" w:sz="4" w:space="0" w:color="auto"/>
            </w:tcBorders>
            <w:noWrap/>
            <w:hideMark/>
          </w:tcPr>
          <w:p w14:paraId="70522B10" w14:textId="77777777" w:rsidR="00DE4516" w:rsidRPr="00A46ADC" w:rsidRDefault="00DE4516" w:rsidP="00DE4516">
            <w:pPr>
              <w:pStyle w:val="TableBody"/>
              <w:autoSpaceDE w:val="0"/>
              <w:autoSpaceDN w:val="0"/>
              <w:adjustRightInd w:val="0"/>
              <w:jc w:val="both"/>
              <w:rPr>
                <w:rFonts w:cs="Calibri"/>
                <w:szCs w:val="16"/>
              </w:rPr>
            </w:pPr>
            <w:r w:rsidRPr="00A46ADC">
              <w:t>9.</w:t>
            </w:r>
          </w:p>
        </w:tc>
        <w:tc>
          <w:tcPr>
            <w:tcW w:w="629" w:type="pct"/>
            <w:tcBorders>
              <w:top w:val="nil"/>
              <w:bottom w:val="single" w:sz="4" w:space="0" w:color="auto"/>
            </w:tcBorders>
            <w:noWrap/>
            <w:hideMark/>
          </w:tcPr>
          <w:p w14:paraId="1B4AEE17" w14:textId="77777777" w:rsidR="00DE4516" w:rsidRPr="00A46ADC" w:rsidRDefault="00DE4516" w:rsidP="00DE4516">
            <w:pPr>
              <w:pStyle w:val="TableBody"/>
              <w:autoSpaceDE w:val="0"/>
              <w:autoSpaceDN w:val="0"/>
              <w:adjustRightInd w:val="0"/>
              <w:ind w:left="85"/>
              <w:jc w:val="both"/>
              <w:rPr>
                <w:rFonts w:cs="Calibri"/>
                <w:szCs w:val="16"/>
              </w:rPr>
            </w:pPr>
            <w:r w:rsidRPr="00A46ADC">
              <w:t>20082010</w:t>
            </w:r>
          </w:p>
        </w:tc>
        <w:tc>
          <w:tcPr>
            <w:tcW w:w="2908" w:type="pct"/>
            <w:tcBorders>
              <w:top w:val="nil"/>
              <w:bottom w:val="single" w:sz="4" w:space="0" w:color="auto"/>
            </w:tcBorders>
            <w:hideMark/>
          </w:tcPr>
          <w:p w14:paraId="249CA3C7" w14:textId="77777777" w:rsidR="00DE4516" w:rsidRPr="00A46ADC" w:rsidRDefault="00DE4516" w:rsidP="00DE4516">
            <w:pPr>
              <w:pStyle w:val="TableBody"/>
              <w:autoSpaceDE w:val="0"/>
              <w:autoSpaceDN w:val="0"/>
              <w:adjustRightInd w:val="0"/>
              <w:ind w:left="113"/>
              <w:jc w:val="both"/>
              <w:rPr>
                <w:rFonts w:cs="Calibri"/>
                <w:szCs w:val="16"/>
              </w:rPr>
            </w:pPr>
            <w:r w:rsidRPr="00A46ADC">
              <w:t>Pineapples, containing added spirit</w:t>
            </w:r>
          </w:p>
        </w:tc>
        <w:tc>
          <w:tcPr>
            <w:tcW w:w="550" w:type="pct"/>
            <w:tcBorders>
              <w:top w:val="nil"/>
              <w:bottom w:val="single" w:sz="4" w:space="0" w:color="auto"/>
            </w:tcBorders>
            <w:noWrap/>
            <w:hideMark/>
          </w:tcPr>
          <w:p w14:paraId="2843BE58"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single" w:sz="4" w:space="0" w:color="auto"/>
            </w:tcBorders>
            <w:hideMark/>
          </w:tcPr>
          <w:p w14:paraId="49EA0086"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63068E12" w14:textId="77777777" w:rsidTr="00064F6F">
        <w:trPr>
          <w:cantSplit/>
        </w:trPr>
        <w:tc>
          <w:tcPr>
            <w:tcW w:w="312" w:type="pct"/>
            <w:tcBorders>
              <w:top w:val="single" w:sz="4" w:space="0" w:color="auto"/>
              <w:bottom w:val="nil"/>
            </w:tcBorders>
            <w:noWrap/>
            <w:hideMark/>
          </w:tcPr>
          <w:p w14:paraId="229B67B5" w14:textId="77777777" w:rsidR="00DE4516" w:rsidRPr="00A46ADC" w:rsidRDefault="00DE4516" w:rsidP="00DE4516">
            <w:pPr>
              <w:pStyle w:val="TableBody"/>
              <w:autoSpaceDE w:val="0"/>
              <w:autoSpaceDN w:val="0"/>
              <w:adjustRightInd w:val="0"/>
              <w:jc w:val="both"/>
              <w:rPr>
                <w:rFonts w:cs="Calibri"/>
                <w:szCs w:val="16"/>
              </w:rPr>
            </w:pPr>
            <w:r w:rsidRPr="00A46ADC">
              <w:t>10.</w:t>
            </w:r>
          </w:p>
        </w:tc>
        <w:tc>
          <w:tcPr>
            <w:tcW w:w="629" w:type="pct"/>
            <w:tcBorders>
              <w:top w:val="single" w:sz="4" w:space="0" w:color="auto"/>
              <w:bottom w:val="nil"/>
            </w:tcBorders>
            <w:noWrap/>
            <w:hideMark/>
          </w:tcPr>
          <w:p w14:paraId="3EE65947" w14:textId="77777777" w:rsidR="00DE4516" w:rsidRPr="00A46ADC" w:rsidRDefault="00DE4516" w:rsidP="00DE4516">
            <w:pPr>
              <w:pStyle w:val="TableBody"/>
              <w:autoSpaceDE w:val="0"/>
              <w:autoSpaceDN w:val="0"/>
              <w:adjustRightInd w:val="0"/>
              <w:ind w:left="85"/>
              <w:jc w:val="both"/>
              <w:rPr>
                <w:rFonts w:cs="Calibri"/>
                <w:szCs w:val="16"/>
              </w:rPr>
            </w:pPr>
            <w:r w:rsidRPr="00A46ADC">
              <w:t>20083010</w:t>
            </w:r>
          </w:p>
        </w:tc>
        <w:tc>
          <w:tcPr>
            <w:tcW w:w="2908" w:type="pct"/>
            <w:tcBorders>
              <w:top w:val="single" w:sz="4" w:space="0" w:color="auto"/>
              <w:bottom w:val="nil"/>
            </w:tcBorders>
            <w:hideMark/>
          </w:tcPr>
          <w:p w14:paraId="25FBE06C" w14:textId="77777777" w:rsidR="00DE4516" w:rsidRPr="00A46ADC" w:rsidRDefault="00DE4516" w:rsidP="00DE4516">
            <w:pPr>
              <w:pStyle w:val="TableBody"/>
              <w:autoSpaceDE w:val="0"/>
              <w:autoSpaceDN w:val="0"/>
              <w:adjustRightInd w:val="0"/>
              <w:ind w:left="113"/>
              <w:jc w:val="both"/>
              <w:rPr>
                <w:rFonts w:cs="Calibri"/>
                <w:szCs w:val="16"/>
              </w:rPr>
            </w:pPr>
            <w:r w:rsidRPr="00A46ADC">
              <w:t>Citrus fruit, containing added spirit</w:t>
            </w:r>
          </w:p>
        </w:tc>
        <w:tc>
          <w:tcPr>
            <w:tcW w:w="550" w:type="pct"/>
            <w:tcBorders>
              <w:top w:val="single" w:sz="4" w:space="0" w:color="auto"/>
              <w:bottom w:val="nil"/>
            </w:tcBorders>
            <w:noWrap/>
            <w:hideMark/>
          </w:tcPr>
          <w:p w14:paraId="4ADD4ABA"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single" w:sz="4" w:space="0" w:color="auto"/>
              <w:bottom w:val="nil"/>
            </w:tcBorders>
            <w:hideMark/>
          </w:tcPr>
          <w:p w14:paraId="2688A3F4"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1D955541"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0D853EDB" w14:textId="77777777" w:rsidR="00DE4516" w:rsidRPr="00A46ADC" w:rsidRDefault="00DE4516" w:rsidP="00DE4516">
            <w:pPr>
              <w:pStyle w:val="TableBody"/>
              <w:autoSpaceDE w:val="0"/>
              <w:autoSpaceDN w:val="0"/>
              <w:adjustRightInd w:val="0"/>
              <w:jc w:val="both"/>
              <w:rPr>
                <w:rFonts w:cs="Calibri"/>
                <w:szCs w:val="16"/>
              </w:rPr>
            </w:pPr>
            <w:r w:rsidRPr="00A46ADC">
              <w:t>11.</w:t>
            </w:r>
          </w:p>
        </w:tc>
        <w:tc>
          <w:tcPr>
            <w:tcW w:w="629" w:type="pct"/>
            <w:tcBorders>
              <w:top w:val="nil"/>
              <w:bottom w:val="nil"/>
            </w:tcBorders>
            <w:noWrap/>
            <w:hideMark/>
          </w:tcPr>
          <w:p w14:paraId="4BC903C4" w14:textId="77777777" w:rsidR="00DE4516" w:rsidRPr="00A46ADC" w:rsidRDefault="00DE4516" w:rsidP="00DE4516">
            <w:pPr>
              <w:pStyle w:val="TableBody"/>
              <w:autoSpaceDE w:val="0"/>
              <w:autoSpaceDN w:val="0"/>
              <w:adjustRightInd w:val="0"/>
              <w:ind w:left="85"/>
              <w:jc w:val="both"/>
              <w:rPr>
                <w:rFonts w:cs="Calibri"/>
                <w:szCs w:val="16"/>
              </w:rPr>
            </w:pPr>
            <w:r w:rsidRPr="00A46ADC">
              <w:t>20084010</w:t>
            </w:r>
          </w:p>
        </w:tc>
        <w:tc>
          <w:tcPr>
            <w:tcW w:w="2908" w:type="pct"/>
            <w:tcBorders>
              <w:top w:val="nil"/>
              <w:bottom w:val="nil"/>
            </w:tcBorders>
            <w:hideMark/>
          </w:tcPr>
          <w:p w14:paraId="79A2567C" w14:textId="77777777" w:rsidR="00DE4516" w:rsidRPr="00A46ADC" w:rsidRDefault="00DE4516" w:rsidP="00DE4516">
            <w:pPr>
              <w:pStyle w:val="TableBody"/>
              <w:autoSpaceDE w:val="0"/>
              <w:autoSpaceDN w:val="0"/>
              <w:adjustRightInd w:val="0"/>
              <w:ind w:left="113"/>
              <w:jc w:val="both"/>
              <w:rPr>
                <w:rFonts w:cs="Calibri"/>
                <w:szCs w:val="16"/>
              </w:rPr>
            </w:pPr>
            <w:r w:rsidRPr="00A46ADC">
              <w:t>Pears, containing added spirit</w:t>
            </w:r>
          </w:p>
        </w:tc>
        <w:tc>
          <w:tcPr>
            <w:tcW w:w="550" w:type="pct"/>
            <w:tcBorders>
              <w:top w:val="nil"/>
              <w:bottom w:val="nil"/>
            </w:tcBorders>
            <w:noWrap/>
            <w:hideMark/>
          </w:tcPr>
          <w:p w14:paraId="63DCBC8B"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263A171C"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6975A2EE" w14:textId="77777777" w:rsidTr="002C718D">
        <w:trPr>
          <w:cantSplit/>
        </w:trPr>
        <w:tc>
          <w:tcPr>
            <w:tcW w:w="312" w:type="pct"/>
            <w:tcBorders>
              <w:top w:val="nil"/>
              <w:bottom w:val="nil"/>
            </w:tcBorders>
            <w:noWrap/>
            <w:hideMark/>
          </w:tcPr>
          <w:p w14:paraId="04F46E6A" w14:textId="77777777" w:rsidR="00DE4516" w:rsidRPr="00A46ADC" w:rsidRDefault="00DE4516" w:rsidP="00DE4516">
            <w:pPr>
              <w:pStyle w:val="TableBody"/>
              <w:autoSpaceDE w:val="0"/>
              <w:autoSpaceDN w:val="0"/>
              <w:adjustRightInd w:val="0"/>
              <w:jc w:val="both"/>
              <w:rPr>
                <w:rFonts w:cs="Calibri"/>
                <w:szCs w:val="16"/>
              </w:rPr>
            </w:pPr>
            <w:r w:rsidRPr="00A46ADC">
              <w:lastRenderedPageBreak/>
              <w:t>12.</w:t>
            </w:r>
          </w:p>
        </w:tc>
        <w:tc>
          <w:tcPr>
            <w:tcW w:w="629" w:type="pct"/>
            <w:tcBorders>
              <w:top w:val="nil"/>
              <w:bottom w:val="nil"/>
            </w:tcBorders>
            <w:noWrap/>
            <w:hideMark/>
          </w:tcPr>
          <w:p w14:paraId="303C9D25" w14:textId="77777777" w:rsidR="00DE4516" w:rsidRPr="00A46ADC" w:rsidRDefault="00DE4516" w:rsidP="00DE4516">
            <w:pPr>
              <w:pStyle w:val="TableBody"/>
              <w:autoSpaceDE w:val="0"/>
              <w:autoSpaceDN w:val="0"/>
              <w:adjustRightInd w:val="0"/>
              <w:ind w:left="85"/>
              <w:jc w:val="both"/>
              <w:rPr>
                <w:rFonts w:cs="Calibri"/>
                <w:szCs w:val="16"/>
              </w:rPr>
            </w:pPr>
            <w:r w:rsidRPr="00A46ADC">
              <w:t>20085010</w:t>
            </w:r>
          </w:p>
        </w:tc>
        <w:tc>
          <w:tcPr>
            <w:tcW w:w="2908" w:type="pct"/>
            <w:tcBorders>
              <w:top w:val="nil"/>
              <w:bottom w:val="nil"/>
            </w:tcBorders>
            <w:hideMark/>
          </w:tcPr>
          <w:p w14:paraId="2065569B" w14:textId="77777777" w:rsidR="00DE4516" w:rsidRPr="00A46ADC" w:rsidRDefault="00DE4516" w:rsidP="00DE4516">
            <w:pPr>
              <w:pStyle w:val="TableBody"/>
              <w:autoSpaceDE w:val="0"/>
              <w:autoSpaceDN w:val="0"/>
              <w:adjustRightInd w:val="0"/>
              <w:ind w:left="113"/>
              <w:jc w:val="both"/>
              <w:rPr>
                <w:rFonts w:cs="Calibri"/>
                <w:szCs w:val="16"/>
              </w:rPr>
            </w:pPr>
            <w:r w:rsidRPr="00A46ADC">
              <w:t>Apricots, containing added spirit</w:t>
            </w:r>
          </w:p>
        </w:tc>
        <w:tc>
          <w:tcPr>
            <w:tcW w:w="550" w:type="pct"/>
            <w:tcBorders>
              <w:top w:val="nil"/>
              <w:bottom w:val="nil"/>
            </w:tcBorders>
            <w:noWrap/>
            <w:hideMark/>
          </w:tcPr>
          <w:p w14:paraId="6AB83AB1"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38B095F5"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70E7879A"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60F876E0" w14:textId="77777777" w:rsidR="00DE4516" w:rsidRPr="00A46ADC" w:rsidRDefault="00DE4516" w:rsidP="00DE4516">
            <w:pPr>
              <w:pStyle w:val="TableBody"/>
              <w:autoSpaceDE w:val="0"/>
              <w:autoSpaceDN w:val="0"/>
              <w:adjustRightInd w:val="0"/>
              <w:jc w:val="both"/>
              <w:rPr>
                <w:rFonts w:cs="Calibri"/>
                <w:szCs w:val="16"/>
              </w:rPr>
            </w:pPr>
            <w:r w:rsidRPr="00A46ADC">
              <w:t>13.</w:t>
            </w:r>
          </w:p>
        </w:tc>
        <w:tc>
          <w:tcPr>
            <w:tcW w:w="629" w:type="pct"/>
            <w:tcBorders>
              <w:top w:val="nil"/>
              <w:bottom w:val="nil"/>
            </w:tcBorders>
            <w:noWrap/>
            <w:hideMark/>
          </w:tcPr>
          <w:p w14:paraId="36F5573A" w14:textId="77777777" w:rsidR="00DE4516" w:rsidRPr="00A46ADC" w:rsidRDefault="00DE4516" w:rsidP="00DE4516">
            <w:pPr>
              <w:pStyle w:val="TableBody"/>
              <w:autoSpaceDE w:val="0"/>
              <w:autoSpaceDN w:val="0"/>
              <w:adjustRightInd w:val="0"/>
              <w:ind w:left="85"/>
              <w:jc w:val="both"/>
              <w:rPr>
                <w:rFonts w:cs="Calibri"/>
                <w:szCs w:val="16"/>
              </w:rPr>
            </w:pPr>
            <w:r w:rsidRPr="00A46ADC">
              <w:t>20086010</w:t>
            </w:r>
          </w:p>
        </w:tc>
        <w:tc>
          <w:tcPr>
            <w:tcW w:w="2908" w:type="pct"/>
            <w:tcBorders>
              <w:top w:val="nil"/>
              <w:bottom w:val="nil"/>
            </w:tcBorders>
            <w:hideMark/>
          </w:tcPr>
          <w:p w14:paraId="7D201C77" w14:textId="77777777" w:rsidR="00DE4516" w:rsidRPr="00A46ADC" w:rsidRDefault="00DE4516" w:rsidP="00DE4516">
            <w:pPr>
              <w:pStyle w:val="TableBody"/>
              <w:autoSpaceDE w:val="0"/>
              <w:autoSpaceDN w:val="0"/>
              <w:adjustRightInd w:val="0"/>
              <w:ind w:left="113"/>
              <w:jc w:val="both"/>
              <w:rPr>
                <w:rFonts w:cs="Calibri"/>
                <w:szCs w:val="16"/>
              </w:rPr>
            </w:pPr>
            <w:r w:rsidRPr="00A46ADC">
              <w:t>Cherries, containing added spirit</w:t>
            </w:r>
          </w:p>
        </w:tc>
        <w:tc>
          <w:tcPr>
            <w:tcW w:w="550" w:type="pct"/>
            <w:tcBorders>
              <w:top w:val="nil"/>
              <w:bottom w:val="nil"/>
            </w:tcBorders>
            <w:noWrap/>
            <w:hideMark/>
          </w:tcPr>
          <w:p w14:paraId="53F0FD9C"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5F3E3797"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31D4B31E" w14:textId="77777777" w:rsidTr="002C718D">
        <w:trPr>
          <w:cantSplit/>
        </w:trPr>
        <w:tc>
          <w:tcPr>
            <w:tcW w:w="312" w:type="pct"/>
            <w:tcBorders>
              <w:top w:val="nil"/>
              <w:bottom w:val="nil"/>
            </w:tcBorders>
            <w:noWrap/>
            <w:hideMark/>
          </w:tcPr>
          <w:p w14:paraId="7D4A006C" w14:textId="77777777" w:rsidR="00DE4516" w:rsidRPr="00A46ADC" w:rsidRDefault="00DE4516" w:rsidP="00DE4516">
            <w:pPr>
              <w:pStyle w:val="TableBody"/>
              <w:autoSpaceDE w:val="0"/>
              <w:autoSpaceDN w:val="0"/>
              <w:adjustRightInd w:val="0"/>
              <w:jc w:val="both"/>
              <w:rPr>
                <w:rFonts w:cs="Calibri"/>
                <w:szCs w:val="16"/>
              </w:rPr>
            </w:pPr>
            <w:r w:rsidRPr="00A46ADC">
              <w:t>14.</w:t>
            </w:r>
          </w:p>
        </w:tc>
        <w:tc>
          <w:tcPr>
            <w:tcW w:w="629" w:type="pct"/>
            <w:tcBorders>
              <w:top w:val="nil"/>
              <w:bottom w:val="nil"/>
            </w:tcBorders>
            <w:noWrap/>
            <w:hideMark/>
          </w:tcPr>
          <w:p w14:paraId="1AFF3B94" w14:textId="77777777" w:rsidR="00DE4516" w:rsidRPr="00A46ADC" w:rsidRDefault="00DE4516" w:rsidP="00DE4516">
            <w:pPr>
              <w:pStyle w:val="TableBody"/>
              <w:autoSpaceDE w:val="0"/>
              <w:autoSpaceDN w:val="0"/>
              <w:adjustRightInd w:val="0"/>
              <w:ind w:left="85"/>
              <w:jc w:val="both"/>
              <w:rPr>
                <w:rFonts w:cs="Calibri"/>
                <w:szCs w:val="16"/>
              </w:rPr>
            </w:pPr>
            <w:r w:rsidRPr="00A46ADC">
              <w:t>20087010</w:t>
            </w:r>
          </w:p>
        </w:tc>
        <w:tc>
          <w:tcPr>
            <w:tcW w:w="2908" w:type="pct"/>
            <w:tcBorders>
              <w:top w:val="nil"/>
              <w:bottom w:val="nil"/>
            </w:tcBorders>
            <w:hideMark/>
          </w:tcPr>
          <w:p w14:paraId="4C9D587C" w14:textId="77777777" w:rsidR="00DE4516" w:rsidRPr="00A46ADC" w:rsidRDefault="00DE4516" w:rsidP="00DE4516">
            <w:pPr>
              <w:pStyle w:val="TableBody"/>
              <w:autoSpaceDE w:val="0"/>
              <w:autoSpaceDN w:val="0"/>
              <w:adjustRightInd w:val="0"/>
              <w:ind w:left="113"/>
              <w:jc w:val="both"/>
              <w:rPr>
                <w:rFonts w:cs="Calibri"/>
                <w:szCs w:val="16"/>
              </w:rPr>
            </w:pPr>
            <w:r w:rsidRPr="00A46ADC">
              <w:t>Peaches, containing added spirit</w:t>
            </w:r>
          </w:p>
        </w:tc>
        <w:tc>
          <w:tcPr>
            <w:tcW w:w="550" w:type="pct"/>
            <w:tcBorders>
              <w:top w:val="nil"/>
              <w:bottom w:val="nil"/>
            </w:tcBorders>
            <w:noWrap/>
            <w:hideMark/>
          </w:tcPr>
          <w:p w14:paraId="4B585DF8"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1819D387"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5634EF0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47E84DE8" w14:textId="77777777" w:rsidR="00DE4516" w:rsidRPr="00A46ADC" w:rsidRDefault="00DE4516" w:rsidP="00DE4516">
            <w:pPr>
              <w:pStyle w:val="TableBody"/>
              <w:autoSpaceDE w:val="0"/>
              <w:autoSpaceDN w:val="0"/>
              <w:adjustRightInd w:val="0"/>
              <w:jc w:val="both"/>
              <w:rPr>
                <w:rFonts w:cs="Calibri"/>
                <w:szCs w:val="16"/>
              </w:rPr>
            </w:pPr>
            <w:r w:rsidRPr="00A46ADC">
              <w:t>15.</w:t>
            </w:r>
          </w:p>
        </w:tc>
        <w:tc>
          <w:tcPr>
            <w:tcW w:w="629" w:type="pct"/>
            <w:tcBorders>
              <w:top w:val="nil"/>
              <w:bottom w:val="nil"/>
            </w:tcBorders>
            <w:noWrap/>
            <w:hideMark/>
          </w:tcPr>
          <w:p w14:paraId="3601861D" w14:textId="77777777" w:rsidR="00DE4516" w:rsidRPr="00A46ADC" w:rsidRDefault="00DE4516" w:rsidP="00DE4516">
            <w:pPr>
              <w:pStyle w:val="TableBody"/>
              <w:autoSpaceDE w:val="0"/>
              <w:autoSpaceDN w:val="0"/>
              <w:adjustRightInd w:val="0"/>
              <w:ind w:left="85"/>
              <w:jc w:val="both"/>
              <w:rPr>
                <w:rFonts w:cs="Calibri"/>
                <w:szCs w:val="16"/>
              </w:rPr>
            </w:pPr>
            <w:r w:rsidRPr="00A46ADC">
              <w:t>20088010</w:t>
            </w:r>
          </w:p>
        </w:tc>
        <w:tc>
          <w:tcPr>
            <w:tcW w:w="2908" w:type="pct"/>
            <w:tcBorders>
              <w:top w:val="nil"/>
              <w:bottom w:val="nil"/>
            </w:tcBorders>
            <w:hideMark/>
          </w:tcPr>
          <w:p w14:paraId="7382CF4A" w14:textId="77777777" w:rsidR="00DE4516" w:rsidRPr="00A46ADC" w:rsidRDefault="00DE4516" w:rsidP="00DE4516">
            <w:pPr>
              <w:pStyle w:val="TableBody"/>
              <w:autoSpaceDE w:val="0"/>
              <w:autoSpaceDN w:val="0"/>
              <w:adjustRightInd w:val="0"/>
              <w:ind w:left="113"/>
              <w:jc w:val="both"/>
              <w:rPr>
                <w:rFonts w:cs="Calibri"/>
                <w:szCs w:val="16"/>
              </w:rPr>
            </w:pPr>
            <w:r w:rsidRPr="00A46ADC">
              <w:t>Strawberries, containing added spirit</w:t>
            </w:r>
          </w:p>
        </w:tc>
        <w:tc>
          <w:tcPr>
            <w:tcW w:w="550" w:type="pct"/>
            <w:tcBorders>
              <w:top w:val="nil"/>
              <w:bottom w:val="nil"/>
            </w:tcBorders>
            <w:noWrap/>
            <w:hideMark/>
          </w:tcPr>
          <w:p w14:paraId="7C573208"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38274954"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37D0E129" w14:textId="77777777" w:rsidTr="002C718D">
        <w:trPr>
          <w:cantSplit/>
        </w:trPr>
        <w:tc>
          <w:tcPr>
            <w:tcW w:w="312" w:type="pct"/>
            <w:tcBorders>
              <w:top w:val="nil"/>
              <w:bottom w:val="nil"/>
            </w:tcBorders>
            <w:noWrap/>
            <w:hideMark/>
          </w:tcPr>
          <w:p w14:paraId="47C40098" w14:textId="77777777" w:rsidR="00DE4516" w:rsidRPr="00A46ADC" w:rsidRDefault="00DE4516" w:rsidP="00DE4516">
            <w:pPr>
              <w:pStyle w:val="TableBody"/>
              <w:autoSpaceDE w:val="0"/>
              <w:autoSpaceDN w:val="0"/>
              <w:adjustRightInd w:val="0"/>
              <w:jc w:val="both"/>
              <w:rPr>
                <w:rFonts w:cs="Calibri"/>
                <w:szCs w:val="16"/>
              </w:rPr>
            </w:pPr>
            <w:r w:rsidRPr="00A46ADC">
              <w:t>16.</w:t>
            </w:r>
          </w:p>
        </w:tc>
        <w:tc>
          <w:tcPr>
            <w:tcW w:w="629" w:type="pct"/>
            <w:tcBorders>
              <w:top w:val="nil"/>
              <w:bottom w:val="nil"/>
            </w:tcBorders>
            <w:noWrap/>
            <w:hideMark/>
          </w:tcPr>
          <w:p w14:paraId="4557A182" w14:textId="77777777" w:rsidR="00DE4516" w:rsidRPr="00A46ADC" w:rsidRDefault="00DE4516" w:rsidP="00DE4516">
            <w:pPr>
              <w:pStyle w:val="TableBody"/>
              <w:autoSpaceDE w:val="0"/>
              <w:autoSpaceDN w:val="0"/>
              <w:adjustRightInd w:val="0"/>
              <w:ind w:left="85"/>
              <w:jc w:val="both"/>
              <w:rPr>
                <w:rFonts w:cs="Calibri"/>
                <w:szCs w:val="16"/>
              </w:rPr>
            </w:pPr>
            <w:r w:rsidRPr="00A46ADC">
              <w:t>20089310</w:t>
            </w:r>
          </w:p>
        </w:tc>
        <w:tc>
          <w:tcPr>
            <w:tcW w:w="2908" w:type="pct"/>
            <w:tcBorders>
              <w:top w:val="nil"/>
              <w:bottom w:val="nil"/>
            </w:tcBorders>
            <w:hideMark/>
          </w:tcPr>
          <w:p w14:paraId="4DDBCD58" w14:textId="77777777" w:rsidR="00DE4516" w:rsidRPr="00A46ADC" w:rsidRDefault="00DE4516" w:rsidP="00DE4516">
            <w:pPr>
              <w:pStyle w:val="TableBody"/>
              <w:autoSpaceDE w:val="0"/>
              <w:autoSpaceDN w:val="0"/>
              <w:adjustRightInd w:val="0"/>
              <w:ind w:left="113"/>
              <w:jc w:val="both"/>
              <w:rPr>
                <w:rFonts w:cs="Calibri"/>
                <w:szCs w:val="16"/>
              </w:rPr>
            </w:pPr>
            <w:r w:rsidRPr="00A46ADC">
              <w:t>Cranberries, containing added spirit</w:t>
            </w:r>
          </w:p>
        </w:tc>
        <w:tc>
          <w:tcPr>
            <w:tcW w:w="550" w:type="pct"/>
            <w:tcBorders>
              <w:top w:val="nil"/>
              <w:bottom w:val="nil"/>
            </w:tcBorders>
            <w:noWrap/>
            <w:hideMark/>
          </w:tcPr>
          <w:p w14:paraId="04619000"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2DDDFA1C"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4091AD0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635AA554" w14:textId="77777777" w:rsidR="00DE4516" w:rsidRPr="00A46ADC" w:rsidRDefault="00DE4516" w:rsidP="00DE4516">
            <w:pPr>
              <w:pStyle w:val="TableBody"/>
              <w:autoSpaceDE w:val="0"/>
              <w:autoSpaceDN w:val="0"/>
              <w:adjustRightInd w:val="0"/>
              <w:jc w:val="both"/>
              <w:rPr>
                <w:rFonts w:cs="Calibri"/>
                <w:szCs w:val="16"/>
              </w:rPr>
            </w:pPr>
            <w:r w:rsidRPr="00A46ADC">
              <w:t>17.</w:t>
            </w:r>
          </w:p>
        </w:tc>
        <w:tc>
          <w:tcPr>
            <w:tcW w:w="629" w:type="pct"/>
            <w:tcBorders>
              <w:top w:val="nil"/>
              <w:bottom w:val="nil"/>
            </w:tcBorders>
            <w:noWrap/>
            <w:hideMark/>
          </w:tcPr>
          <w:p w14:paraId="278573A4" w14:textId="77777777" w:rsidR="00DE4516" w:rsidRPr="00A46ADC" w:rsidRDefault="00DE4516" w:rsidP="00DE4516">
            <w:pPr>
              <w:pStyle w:val="TableBody"/>
              <w:autoSpaceDE w:val="0"/>
              <w:autoSpaceDN w:val="0"/>
              <w:adjustRightInd w:val="0"/>
              <w:ind w:left="85"/>
              <w:jc w:val="both"/>
              <w:rPr>
                <w:rFonts w:cs="Calibri"/>
                <w:szCs w:val="16"/>
              </w:rPr>
            </w:pPr>
            <w:r w:rsidRPr="00A46ADC">
              <w:t>20089710</w:t>
            </w:r>
          </w:p>
        </w:tc>
        <w:tc>
          <w:tcPr>
            <w:tcW w:w="2908" w:type="pct"/>
            <w:tcBorders>
              <w:top w:val="nil"/>
              <w:bottom w:val="nil"/>
            </w:tcBorders>
            <w:hideMark/>
          </w:tcPr>
          <w:p w14:paraId="45B2122D" w14:textId="77777777" w:rsidR="00DE4516" w:rsidRPr="00A46ADC" w:rsidRDefault="00DE4516" w:rsidP="00DE4516">
            <w:pPr>
              <w:pStyle w:val="TableBody"/>
              <w:autoSpaceDE w:val="0"/>
              <w:autoSpaceDN w:val="0"/>
              <w:adjustRightInd w:val="0"/>
              <w:ind w:left="113"/>
              <w:jc w:val="both"/>
              <w:rPr>
                <w:rFonts w:cs="Calibri"/>
                <w:szCs w:val="16"/>
              </w:rPr>
            </w:pPr>
            <w:r w:rsidRPr="00A46ADC">
              <w:t>Mixtures, containing added spirit</w:t>
            </w:r>
          </w:p>
        </w:tc>
        <w:tc>
          <w:tcPr>
            <w:tcW w:w="550" w:type="pct"/>
            <w:tcBorders>
              <w:top w:val="nil"/>
              <w:bottom w:val="nil"/>
            </w:tcBorders>
            <w:noWrap/>
            <w:hideMark/>
          </w:tcPr>
          <w:p w14:paraId="5B7019A5"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7694ABD9"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2E20B2A4" w14:textId="77777777" w:rsidTr="002C718D">
        <w:trPr>
          <w:cantSplit/>
        </w:trPr>
        <w:tc>
          <w:tcPr>
            <w:tcW w:w="312" w:type="pct"/>
            <w:tcBorders>
              <w:top w:val="nil"/>
              <w:bottom w:val="nil"/>
            </w:tcBorders>
            <w:noWrap/>
            <w:hideMark/>
          </w:tcPr>
          <w:p w14:paraId="2FA7AF80" w14:textId="77777777" w:rsidR="00DE4516" w:rsidRPr="00A46ADC" w:rsidRDefault="00DE4516" w:rsidP="00DE4516">
            <w:pPr>
              <w:pStyle w:val="TableBody"/>
              <w:autoSpaceDE w:val="0"/>
              <w:autoSpaceDN w:val="0"/>
              <w:adjustRightInd w:val="0"/>
              <w:jc w:val="both"/>
              <w:rPr>
                <w:rFonts w:cs="Calibri"/>
                <w:szCs w:val="16"/>
              </w:rPr>
            </w:pPr>
            <w:r w:rsidRPr="00A46ADC">
              <w:t>18.</w:t>
            </w:r>
          </w:p>
        </w:tc>
        <w:tc>
          <w:tcPr>
            <w:tcW w:w="629" w:type="pct"/>
            <w:tcBorders>
              <w:top w:val="nil"/>
              <w:bottom w:val="nil"/>
            </w:tcBorders>
            <w:noWrap/>
            <w:hideMark/>
          </w:tcPr>
          <w:p w14:paraId="4F047FB1" w14:textId="77777777" w:rsidR="00DE4516" w:rsidRPr="00A46ADC" w:rsidRDefault="00DE4516" w:rsidP="00DE4516">
            <w:pPr>
              <w:pStyle w:val="TableBody"/>
              <w:autoSpaceDE w:val="0"/>
              <w:autoSpaceDN w:val="0"/>
              <w:adjustRightInd w:val="0"/>
              <w:ind w:left="85"/>
              <w:jc w:val="both"/>
              <w:rPr>
                <w:rFonts w:cs="Calibri"/>
                <w:szCs w:val="16"/>
              </w:rPr>
            </w:pPr>
            <w:r w:rsidRPr="00A46ADC">
              <w:t>20089910</w:t>
            </w:r>
          </w:p>
        </w:tc>
        <w:tc>
          <w:tcPr>
            <w:tcW w:w="2908" w:type="pct"/>
            <w:tcBorders>
              <w:top w:val="nil"/>
              <w:bottom w:val="nil"/>
            </w:tcBorders>
            <w:hideMark/>
          </w:tcPr>
          <w:p w14:paraId="7AA379FF" w14:textId="77777777" w:rsidR="00DE4516" w:rsidRPr="00A46ADC" w:rsidRDefault="00DE4516" w:rsidP="00DE4516">
            <w:pPr>
              <w:pStyle w:val="TableBody"/>
              <w:autoSpaceDE w:val="0"/>
              <w:autoSpaceDN w:val="0"/>
              <w:adjustRightInd w:val="0"/>
              <w:ind w:left="113"/>
              <w:jc w:val="both"/>
              <w:rPr>
                <w:rFonts w:cs="Calibri"/>
                <w:szCs w:val="16"/>
              </w:rPr>
            </w:pPr>
            <w:r w:rsidRPr="00A46ADC">
              <w:t>Other, containing added spirit</w:t>
            </w:r>
          </w:p>
        </w:tc>
        <w:tc>
          <w:tcPr>
            <w:tcW w:w="550" w:type="pct"/>
            <w:tcBorders>
              <w:top w:val="nil"/>
              <w:bottom w:val="nil"/>
            </w:tcBorders>
            <w:noWrap/>
            <w:hideMark/>
          </w:tcPr>
          <w:p w14:paraId="6C8C1D86"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5655A17A"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0BB40B9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377217F1" w14:textId="77777777" w:rsidR="00DE4516" w:rsidRPr="00A46ADC" w:rsidRDefault="00DE4516" w:rsidP="00DE4516">
            <w:pPr>
              <w:pStyle w:val="TableBody"/>
              <w:autoSpaceDE w:val="0"/>
              <w:autoSpaceDN w:val="0"/>
              <w:adjustRightInd w:val="0"/>
              <w:jc w:val="both"/>
              <w:rPr>
                <w:rFonts w:cs="Calibri"/>
                <w:szCs w:val="16"/>
              </w:rPr>
            </w:pPr>
            <w:r w:rsidRPr="00A46ADC">
              <w:t>19.</w:t>
            </w:r>
          </w:p>
        </w:tc>
        <w:tc>
          <w:tcPr>
            <w:tcW w:w="629" w:type="pct"/>
            <w:tcBorders>
              <w:top w:val="nil"/>
              <w:bottom w:val="nil"/>
            </w:tcBorders>
            <w:noWrap/>
            <w:hideMark/>
          </w:tcPr>
          <w:p w14:paraId="2F0D54A4" w14:textId="77777777" w:rsidR="00DE4516" w:rsidRPr="00A46ADC" w:rsidRDefault="00DE4516" w:rsidP="00DE4516">
            <w:pPr>
              <w:pStyle w:val="TableBody"/>
              <w:autoSpaceDE w:val="0"/>
              <w:autoSpaceDN w:val="0"/>
              <w:adjustRightInd w:val="0"/>
              <w:jc w:val="both"/>
              <w:rPr>
                <w:rFonts w:cs="Calibri"/>
                <w:szCs w:val="16"/>
              </w:rPr>
            </w:pPr>
            <w:r w:rsidRPr="00A46ADC">
              <w:t>22072090</w:t>
            </w:r>
          </w:p>
        </w:tc>
        <w:tc>
          <w:tcPr>
            <w:tcW w:w="2908" w:type="pct"/>
            <w:tcBorders>
              <w:top w:val="nil"/>
              <w:bottom w:val="nil"/>
            </w:tcBorders>
            <w:hideMark/>
          </w:tcPr>
          <w:p w14:paraId="2D74D41F" w14:textId="77777777" w:rsidR="00DE4516" w:rsidRPr="00A46ADC" w:rsidRDefault="00DE4516" w:rsidP="00DE4516">
            <w:pPr>
              <w:pStyle w:val="TableBody"/>
              <w:autoSpaceDE w:val="0"/>
              <w:autoSpaceDN w:val="0"/>
              <w:adjustRightInd w:val="0"/>
              <w:jc w:val="both"/>
              <w:rPr>
                <w:rFonts w:cs="Calibri"/>
                <w:szCs w:val="16"/>
              </w:rPr>
            </w:pPr>
            <w:r w:rsidRPr="00A46ADC">
              <w:t>Inactive ethyl alcohol</w:t>
            </w:r>
          </w:p>
        </w:tc>
        <w:tc>
          <w:tcPr>
            <w:tcW w:w="550" w:type="pct"/>
            <w:tcBorders>
              <w:top w:val="nil"/>
              <w:bottom w:val="nil"/>
            </w:tcBorders>
            <w:noWrap/>
            <w:hideMark/>
          </w:tcPr>
          <w:p w14:paraId="75FA7A1B"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252B5DA3"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43DCF07F" w14:textId="77777777" w:rsidTr="002C718D">
        <w:trPr>
          <w:cantSplit/>
        </w:trPr>
        <w:tc>
          <w:tcPr>
            <w:tcW w:w="312" w:type="pct"/>
            <w:tcBorders>
              <w:top w:val="nil"/>
              <w:bottom w:val="nil"/>
            </w:tcBorders>
            <w:noWrap/>
            <w:hideMark/>
          </w:tcPr>
          <w:p w14:paraId="152C4285" w14:textId="77777777" w:rsidR="00DE4516" w:rsidRPr="00A46ADC" w:rsidRDefault="00DE4516" w:rsidP="00DE4516">
            <w:pPr>
              <w:pStyle w:val="TableBody"/>
              <w:autoSpaceDE w:val="0"/>
              <w:autoSpaceDN w:val="0"/>
              <w:adjustRightInd w:val="0"/>
              <w:jc w:val="both"/>
              <w:rPr>
                <w:rFonts w:cs="Calibri"/>
                <w:szCs w:val="16"/>
              </w:rPr>
            </w:pPr>
            <w:r w:rsidRPr="00A46ADC">
              <w:t>20.</w:t>
            </w:r>
          </w:p>
        </w:tc>
        <w:tc>
          <w:tcPr>
            <w:tcW w:w="629" w:type="pct"/>
            <w:tcBorders>
              <w:top w:val="nil"/>
              <w:bottom w:val="nil"/>
            </w:tcBorders>
            <w:noWrap/>
            <w:hideMark/>
          </w:tcPr>
          <w:p w14:paraId="5E00AC6D" w14:textId="77777777" w:rsidR="00DE4516" w:rsidRPr="00A46ADC" w:rsidRDefault="00DE4516" w:rsidP="00DE4516">
            <w:pPr>
              <w:pStyle w:val="TableBody"/>
              <w:autoSpaceDE w:val="0"/>
              <w:autoSpaceDN w:val="0"/>
              <w:adjustRightInd w:val="0"/>
              <w:jc w:val="both"/>
              <w:rPr>
                <w:rFonts w:cs="Calibri"/>
                <w:szCs w:val="16"/>
              </w:rPr>
            </w:pPr>
            <w:r w:rsidRPr="00A46ADC">
              <w:t>23070010</w:t>
            </w:r>
          </w:p>
        </w:tc>
        <w:tc>
          <w:tcPr>
            <w:tcW w:w="2908" w:type="pct"/>
            <w:tcBorders>
              <w:top w:val="nil"/>
              <w:bottom w:val="nil"/>
            </w:tcBorders>
            <w:hideMark/>
          </w:tcPr>
          <w:p w14:paraId="5AE3AFB5" w14:textId="77777777" w:rsidR="00DE4516" w:rsidRPr="00A46ADC" w:rsidRDefault="00DE4516" w:rsidP="00DE4516">
            <w:pPr>
              <w:pStyle w:val="TableBody"/>
              <w:autoSpaceDE w:val="0"/>
              <w:autoSpaceDN w:val="0"/>
              <w:adjustRightInd w:val="0"/>
              <w:jc w:val="both"/>
              <w:rPr>
                <w:rFonts w:cs="Calibri"/>
                <w:szCs w:val="16"/>
              </w:rPr>
            </w:pPr>
            <w:r w:rsidRPr="00A46ADC">
              <w:t>Wine lees</w:t>
            </w:r>
          </w:p>
        </w:tc>
        <w:tc>
          <w:tcPr>
            <w:tcW w:w="550" w:type="pct"/>
            <w:tcBorders>
              <w:top w:val="nil"/>
              <w:bottom w:val="nil"/>
            </w:tcBorders>
            <w:noWrap/>
            <w:hideMark/>
          </w:tcPr>
          <w:p w14:paraId="6BD891FC"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6E656B94"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5963D4C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0E0308FD" w14:textId="77777777" w:rsidR="00DE4516" w:rsidRPr="00A46ADC" w:rsidRDefault="00DE4516" w:rsidP="00DE4516">
            <w:pPr>
              <w:pStyle w:val="TableBody"/>
              <w:autoSpaceDE w:val="0"/>
              <w:autoSpaceDN w:val="0"/>
              <w:adjustRightInd w:val="0"/>
              <w:jc w:val="both"/>
              <w:rPr>
                <w:rFonts w:cs="Calibri"/>
                <w:szCs w:val="16"/>
              </w:rPr>
            </w:pPr>
            <w:r w:rsidRPr="00A46ADC">
              <w:t>21.</w:t>
            </w:r>
          </w:p>
        </w:tc>
        <w:tc>
          <w:tcPr>
            <w:tcW w:w="629" w:type="pct"/>
            <w:tcBorders>
              <w:top w:val="nil"/>
              <w:bottom w:val="nil"/>
            </w:tcBorders>
            <w:hideMark/>
          </w:tcPr>
          <w:p w14:paraId="257C8503" w14:textId="77777777" w:rsidR="00DE4516" w:rsidRPr="00A46ADC" w:rsidRDefault="00DE4516" w:rsidP="00DE4516">
            <w:pPr>
              <w:pStyle w:val="TableBody"/>
              <w:autoSpaceDE w:val="0"/>
              <w:autoSpaceDN w:val="0"/>
              <w:adjustRightInd w:val="0"/>
              <w:jc w:val="both"/>
              <w:rPr>
                <w:rFonts w:cs="Calibri"/>
                <w:szCs w:val="16"/>
              </w:rPr>
            </w:pPr>
            <w:r w:rsidRPr="00A46ADC">
              <w:t>41033000</w:t>
            </w:r>
          </w:p>
        </w:tc>
        <w:tc>
          <w:tcPr>
            <w:tcW w:w="2908" w:type="pct"/>
            <w:tcBorders>
              <w:top w:val="nil"/>
              <w:bottom w:val="nil"/>
            </w:tcBorders>
            <w:hideMark/>
          </w:tcPr>
          <w:p w14:paraId="35079949" w14:textId="77777777" w:rsidR="00DE4516" w:rsidRPr="00A46ADC" w:rsidRDefault="00DE4516" w:rsidP="00DE4516">
            <w:pPr>
              <w:pStyle w:val="TableBody"/>
              <w:autoSpaceDE w:val="0"/>
              <w:autoSpaceDN w:val="0"/>
              <w:adjustRightInd w:val="0"/>
              <w:jc w:val="both"/>
              <w:rPr>
                <w:rFonts w:cs="Calibri"/>
                <w:szCs w:val="16"/>
              </w:rPr>
            </w:pPr>
            <w:r w:rsidRPr="00A46ADC">
              <w:t>Other raw hides and skins of swine</w:t>
            </w:r>
          </w:p>
        </w:tc>
        <w:tc>
          <w:tcPr>
            <w:tcW w:w="550" w:type="pct"/>
            <w:tcBorders>
              <w:top w:val="nil"/>
              <w:bottom w:val="nil"/>
            </w:tcBorders>
            <w:hideMark/>
          </w:tcPr>
          <w:p w14:paraId="7F904D26"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5DEC9D85"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1E31DC84" w14:textId="77777777" w:rsidTr="002C718D">
        <w:trPr>
          <w:cantSplit/>
        </w:trPr>
        <w:tc>
          <w:tcPr>
            <w:tcW w:w="312" w:type="pct"/>
            <w:tcBorders>
              <w:top w:val="nil"/>
              <w:bottom w:val="nil"/>
            </w:tcBorders>
            <w:noWrap/>
            <w:hideMark/>
          </w:tcPr>
          <w:p w14:paraId="65E5B6FE" w14:textId="77777777" w:rsidR="00DE4516" w:rsidRPr="00A46ADC" w:rsidRDefault="00DE4516" w:rsidP="00DE4516">
            <w:pPr>
              <w:pStyle w:val="TableBody"/>
              <w:autoSpaceDE w:val="0"/>
              <w:autoSpaceDN w:val="0"/>
              <w:adjustRightInd w:val="0"/>
              <w:jc w:val="both"/>
              <w:rPr>
                <w:rFonts w:cs="Calibri"/>
                <w:szCs w:val="16"/>
              </w:rPr>
            </w:pPr>
            <w:r w:rsidRPr="00A46ADC">
              <w:t>22.</w:t>
            </w:r>
          </w:p>
        </w:tc>
        <w:tc>
          <w:tcPr>
            <w:tcW w:w="629" w:type="pct"/>
            <w:tcBorders>
              <w:top w:val="nil"/>
              <w:bottom w:val="nil"/>
            </w:tcBorders>
            <w:hideMark/>
          </w:tcPr>
          <w:p w14:paraId="38AA2808" w14:textId="77777777" w:rsidR="00DE4516" w:rsidRPr="00A46ADC" w:rsidRDefault="00DE4516" w:rsidP="00DE4516">
            <w:pPr>
              <w:pStyle w:val="TableBody"/>
              <w:autoSpaceDE w:val="0"/>
              <w:autoSpaceDN w:val="0"/>
              <w:adjustRightInd w:val="0"/>
              <w:jc w:val="both"/>
              <w:rPr>
                <w:rFonts w:cs="Calibri"/>
                <w:szCs w:val="16"/>
              </w:rPr>
            </w:pPr>
            <w:r w:rsidRPr="00A46ADC">
              <w:t>41063100</w:t>
            </w:r>
          </w:p>
        </w:tc>
        <w:tc>
          <w:tcPr>
            <w:tcW w:w="2908" w:type="pct"/>
            <w:tcBorders>
              <w:top w:val="nil"/>
              <w:bottom w:val="nil"/>
            </w:tcBorders>
            <w:hideMark/>
          </w:tcPr>
          <w:p w14:paraId="72CE9B1D" w14:textId="77777777" w:rsidR="00DE4516" w:rsidRPr="00A46ADC" w:rsidRDefault="00DE4516" w:rsidP="00DE4516">
            <w:pPr>
              <w:pStyle w:val="TableBody"/>
              <w:autoSpaceDE w:val="0"/>
              <w:autoSpaceDN w:val="0"/>
              <w:adjustRightInd w:val="0"/>
              <w:jc w:val="both"/>
              <w:rPr>
                <w:rFonts w:cs="Calibri"/>
                <w:szCs w:val="16"/>
              </w:rPr>
            </w:pPr>
            <w:r w:rsidRPr="00A46ADC">
              <w:t>Tanned or crust hides and skins of swine in the wet state</w:t>
            </w:r>
          </w:p>
        </w:tc>
        <w:tc>
          <w:tcPr>
            <w:tcW w:w="550" w:type="pct"/>
            <w:tcBorders>
              <w:top w:val="nil"/>
              <w:bottom w:val="nil"/>
            </w:tcBorders>
            <w:hideMark/>
          </w:tcPr>
          <w:p w14:paraId="7B218A10"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50BA829F"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7F756984"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79E563C1" w14:textId="77777777" w:rsidR="00DE4516" w:rsidRPr="00A46ADC" w:rsidRDefault="00DE4516" w:rsidP="00DE4516">
            <w:pPr>
              <w:pStyle w:val="TableBody"/>
              <w:autoSpaceDE w:val="0"/>
              <w:autoSpaceDN w:val="0"/>
              <w:adjustRightInd w:val="0"/>
              <w:jc w:val="both"/>
              <w:rPr>
                <w:rFonts w:cs="Calibri"/>
                <w:szCs w:val="16"/>
              </w:rPr>
            </w:pPr>
            <w:r w:rsidRPr="00A46ADC">
              <w:t>23.</w:t>
            </w:r>
          </w:p>
        </w:tc>
        <w:tc>
          <w:tcPr>
            <w:tcW w:w="629" w:type="pct"/>
            <w:tcBorders>
              <w:top w:val="nil"/>
              <w:bottom w:val="nil"/>
            </w:tcBorders>
            <w:hideMark/>
          </w:tcPr>
          <w:p w14:paraId="7030DEF8" w14:textId="77777777" w:rsidR="00DE4516" w:rsidRPr="00A46ADC" w:rsidRDefault="00DE4516" w:rsidP="00DE4516">
            <w:pPr>
              <w:pStyle w:val="TableBody"/>
              <w:autoSpaceDE w:val="0"/>
              <w:autoSpaceDN w:val="0"/>
              <w:adjustRightInd w:val="0"/>
              <w:jc w:val="both"/>
              <w:rPr>
                <w:rFonts w:cs="Calibri"/>
                <w:szCs w:val="16"/>
              </w:rPr>
            </w:pPr>
            <w:r w:rsidRPr="00A46ADC">
              <w:t>41063200</w:t>
            </w:r>
          </w:p>
        </w:tc>
        <w:tc>
          <w:tcPr>
            <w:tcW w:w="2908" w:type="pct"/>
            <w:tcBorders>
              <w:top w:val="nil"/>
              <w:bottom w:val="nil"/>
            </w:tcBorders>
            <w:hideMark/>
          </w:tcPr>
          <w:p w14:paraId="1DE6B3AD" w14:textId="77777777" w:rsidR="00DE4516" w:rsidRPr="00A46ADC" w:rsidRDefault="00DE4516" w:rsidP="00DE4516">
            <w:pPr>
              <w:pStyle w:val="TableBody"/>
              <w:autoSpaceDE w:val="0"/>
              <w:autoSpaceDN w:val="0"/>
              <w:adjustRightInd w:val="0"/>
              <w:jc w:val="both"/>
              <w:rPr>
                <w:rFonts w:cs="Calibri"/>
                <w:szCs w:val="16"/>
              </w:rPr>
            </w:pPr>
            <w:r w:rsidRPr="00A46ADC">
              <w:t>Tanned or crust hides and skins of swine in the dry state</w:t>
            </w:r>
          </w:p>
        </w:tc>
        <w:tc>
          <w:tcPr>
            <w:tcW w:w="550" w:type="pct"/>
            <w:tcBorders>
              <w:top w:val="nil"/>
              <w:bottom w:val="nil"/>
            </w:tcBorders>
            <w:hideMark/>
          </w:tcPr>
          <w:p w14:paraId="3687B6C2"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0F7B1230"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0F66A0B8" w14:textId="77777777" w:rsidTr="002C718D">
        <w:trPr>
          <w:cantSplit/>
        </w:trPr>
        <w:tc>
          <w:tcPr>
            <w:tcW w:w="312" w:type="pct"/>
            <w:tcBorders>
              <w:top w:val="nil"/>
              <w:bottom w:val="nil"/>
            </w:tcBorders>
            <w:noWrap/>
            <w:hideMark/>
          </w:tcPr>
          <w:p w14:paraId="565DE1FD" w14:textId="77777777" w:rsidR="00DE4516" w:rsidRPr="00A46ADC" w:rsidRDefault="00DE4516" w:rsidP="00DE4516">
            <w:pPr>
              <w:pStyle w:val="TableBody"/>
              <w:autoSpaceDE w:val="0"/>
              <w:autoSpaceDN w:val="0"/>
              <w:adjustRightInd w:val="0"/>
              <w:jc w:val="both"/>
              <w:rPr>
                <w:rFonts w:cs="Calibri"/>
                <w:szCs w:val="16"/>
              </w:rPr>
            </w:pPr>
            <w:r w:rsidRPr="00A46ADC">
              <w:t>24.</w:t>
            </w:r>
          </w:p>
        </w:tc>
        <w:tc>
          <w:tcPr>
            <w:tcW w:w="629" w:type="pct"/>
            <w:tcBorders>
              <w:top w:val="nil"/>
              <w:bottom w:val="nil"/>
            </w:tcBorders>
            <w:hideMark/>
          </w:tcPr>
          <w:p w14:paraId="6AB39C9F" w14:textId="77777777" w:rsidR="00DE4516" w:rsidRPr="00A46ADC" w:rsidRDefault="00DE4516" w:rsidP="00DE4516">
            <w:pPr>
              <w:pStyle w:val="TableBody"/>
              <w:autoSpaceDE w:val="0"/>
              <w:autoSpaceDN w:val="0"/>
              <w:adjustRightInd w:val="0"/>
              <w:jc w:val="both"/>
              <w:rPr>
                <w:rFonts w:cs="Calibri"/>
                <w:szCs w:val="16"/>
              </w:rPr>
            </w:pPr>
            <w:r w:rsidRPr="00A46ADC">
              <w:t>41132000</w:t>
            </w:r>
          </w:p>
        </w:tc>
        <w:tc>
          <w:tcPr>
            <w:tcW w:w="2908" w:type="pct"/>
            <w:tcBorders>
              <w:top w:val="nil"/>
              <w:bottom w:val="nil"/>
            </w:tcBorders>
            <w:hideMark/>
          </w:tcPr>
          <w:p w14:paraId="078C6751" w14:textId="77777777" w:rsidR="00DE4516" w:rsidRPr="00A46ADC" w:rsidRDefault="00DE4516" w:rsidP="00DE4516">
            <w:pPr>
              <w:pStyle w:val="TableBody"/>
              <w:autoSpaceDE w:val="0"/>
              <w:autoSpaceDN w:val="0"/>
              <w:adjustRightInd w:val="0"/>
              <w:jc w:val="both"/>
              <w:rPr>
                <w:rFonts w:cs="Calibri"/>
                <w:szCs w:val="16"/>
              </w:rPr>
            </w:pPr>
            <w:r w:rsidRPr="00A46ADC">
              <w:t>Leather further prepared after tanning or crusting of swine</w:t>
            </w:r>
          </w:p>
        </w:tc>
        <w:tc>
          <w:tcPr>
            <w:tcW w:w="550" w:type="pct"/>
            <w:tcBorders>
              <w:top w:val="nil"/>
              <w:bottom w:val="nil"/>
            </w:tcBorders>
            <w:hideMark/>
          </w:tcPr>
          <w:p w14:paraId="306442F4" w14:textId="77777777" w:rsidR="00DE4516" w:rsidRPr="00A46ADC" w:rsidRDefault="00DE4516" w:rsidP="00DE4516">
            <w:pPr>
              <w:pStyle w:val="TableBody"/>
              <w:autoSpaceDE w:val="0"/>
              <w:autoSpaceDN w:val="0"/>
              <w:adjustRightInd w:val="0"/>
              <w:ind w:right="227"/>
              <w:jc w:val="right"/>
              <w:rPr>
                <w:rFonts w:cs="Calibri"/>
                <w:szCs w:val="16"/>
              </w:rPr>
            </w:pPr>
            <w:r w:rsidRPr="00A46ADC">
              <w:t>100</w:t>
            </w:r>
          </w:p>
        </w:tc>
        <w:tc>
          <w:tcPr>
            <w:tcW w:w="601" w:type="pct"/>
            <w:tcBorders>
              <w:top w:val="nil"/>
              <w:bottom w:val="nil"/>
            </w:tcBorders>
            <w:hideMark/>
          </w:tcPr>
          <w:p w14:paraId="11694AC8" w14:textId="77777777" w:rsidR="00DE4516" w:rsidRPr="00A46ADC" w:rsidRDefault="00DE4516" w:rsidP="00DE4516">
            <w:pPr>
              <w:pStyle w:val="TableBody"/>
              <w:autoSpaceDE w:val="0"/>
              <w:autoSpaceDN w:val="0"/>
              <w:adjustRightInd w:val="0"/>
              <w:ind w:right="284"/>
              <w:jc w:val="right"/>
              <w:rPr>
                <w:rFonts w:cs="Calibri"/>
                <w:szCs w:val="16"/>
              </w:rPr>
            </w:pPr>
            <w:r w:rsidRPr="00A46ADC">
              <w:t>15</w:t>
            </w:r>
          </w:p>
        </w:tc>
      </w:tr>
      <w:tr w:rsidR="00DE4516" w:rsidRPr="00225231" w14:paraId="2F630013"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12" w:type="pct"/>
            <w:tcBorders>
              <w:top w:val="nil"/>
              <w:bottom w:val="nil"/>
            </w:tcBorders>
            <w:noWrap/>
            <w:hideMark/>
          </w:tcPr>
          <w:p w14:paraId="6F305FF3" w14:textId="77777777" w:rsidR="00DE4516" w:rsidRPr="00A46ADC" w:rsidRDefault="00DE4516" w:rsidP="00DE4516">
            <w:pPr>
              <w:pStyle w:val="TableBody"/>
              <w:autoSpaceDE w:val="0"/>
              <w:autoSpaceDN w:val="0"/>
              <w:adjustRightInd w:val="0"/>
              <w:jc w:val="both"/>
              <w:rPr>
                <w:rFonts w:cs="Calibri"/>
                <w:szCs w:val="16"/>
              </w:rPr>
            </w:pPr>
            <w:r w:rsidRPr="00A46ADC">
              <w:t>25.</w:t>
            </w:r>
          </w:p>
        </w:tc>
        <w:tc>
          <w:tcPr>
            <w:tcW w:w="629" w:type="pct"/>
            <w:tcBorders>
              <w:top w:val="nil"/>
              <w:bottom w:val="nil"/>
            </w:tcBorders>
            <w:hideMark/>
          </w:tcPr>
          <w:p w14:paraId="2DDDD474" w14:textId="77777777" w:rsidR="00DE4516" w:rsidRPr="00A46ADC" w:rsidRDefault="00DE4516" w:rsidP="00DE4516">
            <w:pPr>
              <w:pStyle w:val="TableBody"/>
              <w:autoSpaceDE w:val="0"/>
              <w:autoSpaceDN w:val="0"/>
              <w:adjustRightInd w:val="0"/>
              <w:jc w:val="both"/>
              <w:rPr>
                <w:rFonts w:cs="Calibri"/>
                <w:szCs w:val="16"/>
              </w:rPr>
            </w:pPr>
            <w:r w:rsidRPr="00A46ADC">
              <w:t>84797100</w:t>
            </w:r>
          </w:p>
        </w:tc>
        <w:tc>
          <w:tcPr>
            <w:tcW w:w="2908" w:type="pct"/>
            <w:tcBorders>
              <w:top w:val="nil"/>
              <w:bottom w:val="nil"/>
            </w:tcBorders>
            <w:hideMark/>
          </w:tcPr>
          <w:p w14:paraId="322C44A0" w14:textId="77777777" w:rsidR="00DE4516" w:rsidRPr="00A46ADC" w:rsidRDefault="00DE4516" w:rsidP="00DE4516">
            <w:pPr>
              <w:pStyle w:val="TableBody"/>
              <w:autoSpaceDE w:val="0"/>
              <w:autoSpaceDN w:val="0"/>
              <w:adjustRightInd w:val="0"/>
              <w:jc w:val="both"/>
              <w:rPr>
                <w:rFonts w:cs="Calibri"/>
                <w:szCs w:val="16"/>
              </w:rPr>
            </w:pPr>
            <w:r w:rsidRPr="00A46ADC">
              <w:t>Passenger boarding bridges: of a kind used in airports</w:t>
            </w:r>
          </w:p>
        </w:tc>
        <w:tc>
          <w:tcPr>
            <w:tcW w:w="550" w:type="pct"/>
            <w:tcBorders>
              <w:top w:val="nil"/>
              <w:bottom w:val="nil"/>
            </w:tcBorders>
            <w:hideMark/>
          </w:tcPr>
          <w:p w14:paraId="675189D6" w14:textId="77777777" w:rsidR="00DE4516" w:rsidRPr="00A46ADC" w:rsidRDefault="00DE4516" w:rsidP="00DE4516">
            <w:pPr>
              <w:pStyle w:val="TableBody"/>
              <w:autoSpaceDE w:val="0"/>
              <w:autoSpaceDN w:val="0"/>
              <w:adjustRightInd w:val="0"/>
              <w:ind w:right="227"/>
              <w:jc w:val="right"/>
              <w:rPr>
                <w:rFonts w:cs="Calibri"/>
                <w:szCs w:val="16"/>
              </w:rPr>
            </w:pPr>
            <w:r w:rsidRPr="00A46ADC">
              <w:t>5</w:t>
            </w:r>
          </w:p>
        </w:tc>
        <w:tc>
          <w:tcPr>
            <w:tcW w:w="601" w:type="pct"/>
            <w:tcBorders>
              <w:top w:val="nil"/>
              <w:bottom w:val="nil"/>
            </w:tcBorders>
            <w:hideMark/>
          </w:tcPr>
          <w:p w14:paraId="3E21BD2B" w14:textId="77777777" w:rsidR="00DE4516" w:rsidRPr="00A46ADC" w:rsidRDefault="00DE4516" w:rsidP="00DE4516">
            <w:pPr>
              <w:pStyle w:val="TableBody"/>
              <w:autoSpaceDE w:val="0"/>
              <w:autoSpaceDN w:val="0"/>
              <w:adjustRightInd w:val="0"/>
              <w:ind w:right="284"/>
              <w:jc w:val="right"/>
              <w:rPr>
                <w:rFonts w:cs="Calibri"/>
                <w:szCs w:val="16"/>
              </w:rPr>
            </w:pPr>
            <w:r w:rsidRPr="00A46ADC">
              <w:t>0</w:t>
            </w:r>
          </w:p>
        </w:tc>
      </w:tr>
      <w:tr w:rsidR="00DE4516" w:rsidRPr="00225231" w14:paraId="41FB1FC9" w14:textId="77777777" w:rsidTr="002C718D">
        <w:trPr>
          <w:cantSplit/>
        </w:trPr>
        <w:tc>
          <w:tcPr>
            <w:tcW w:w="312" w:type="pct"/>
            <w:tcBorders>
              <w:top w:val="nil"/>
              <w:bottom w:val="single" w:sz="4" w:space="0" w:color="auto"/>
            </w:tcBorders>
            <w:noWrap/>
            <w:hideMark/>
          </w:tcPr>
          <w:p w14:paraId="0406B07F" w14:textId="77777777" w:rsidR="00DE4516" w:rsidRPr="00A46ADC" w:rsidRDefault="00DE4516" w:rsidP="00DE4516">
            <w:pPr>
              <w:pStyle w:val="TableBody"/>
              <w:autoSpaceDE w:val="0"/>
              <w:autoSpaceDN w:val="0"/>
              <w:adjustRightInd w:val="0"/>
              <w:jc w:val="both"/>
              <w:rPr>
                <w:rFonts w:cs="Calibri"/>
                <w:szCs w:val="16"/>
              </w:rPr>
            </w:pPr>
            <w:r w:rsidRPr="00A46ADC">
              <w:t>26.</w:t>
            </w:r>
          </w:p>
        </w:tc>
        <w:tc>
          <w:tcPr>
            <w:tcW w:w="629" w:type="pct"/>
            <w:tcBorders>
              <w:top w:val="nil"/>
              <w:bottom w:val="single" w:sz="4" w:space="0" w:color="auto"/>
            </w:tcBorders>
            <w:hideMark/>
          </w:tcPr>
          <w:p w14:paraId="0FADB894" w14:textId="77777777" w:rsidR="00DE4516" w:rsidRPr="00A46ADC" w:rsidRDefault="00DE4516" w:rsidP="00DE4516">
            <w:pPr>
              <w:pStyle w:val="TableBody"/>
              <w:autoSpaceDE w:val="0"/>
              <w:autoSpaceDN w:val="0"/>
              <w:adjustRightInd w:val="0"/>
              <w:jc w:val="both"/>
              <w:rPr>
                <w:rFonts w:cs="Calibri"/>
                <w:szCs w:val="16"/>
              </w:rPr>
            </w:pPr>
            <w:r w:rsidRPr="00A46ADC">
              <w:t>85489000</w:t>
            </w:r>
          </w:p>
        </w:tc>
        <w:tc>
          <w:tcPr>
            <w:tcW w:w="2908" w:type="pct"/>
            <w:tcBorders>
              <w:top w:val="nil"/>
              <w:bottom w:val="single" w:sz="4" w:space="0" w:color="auto"/>
            </w:tcBorders>
            <w:hideMark/>
          </w:tcPr>
          <w:p w14:paraId="168EC156" w14:textId="77777777" w:rsidR="00DE4516" w:rsidRPr="00A46ADC" w:rsidRDefault="00DE4516" w:rsidP="00DE4516">
            <w:pPr>
              <w:pStyle w:val="TableBody"/>
              <w:autoSpaceDE w:val="0"/>
              <w:autoSpaceDN w:val="0"/>
              <w:adjustRightInd w:val="0"/>
              <w:jc w:val="both"/>
              <w:rPr>
                <w:rFonts w:cs="Calibri"/>
                <w:szCs w:val="16"/>
              </w:rPr>
            </w:pPr>
            <w:r w:rsidRPr="00A46ADC">
              <w:t>Electrical parts of machinery or apparatus, not specified or included elsewhere in Chapter 85</w:t>
            </w:r>
          </w:p>
        </w:tc>
        <w:tc>
          <w:tcPr>
            <w:tcW w:w="550" w:type="pct"/>
            <w:tcBorders>
              <w:top w:val="nil"/>
              <w:bottom w:val="single" w:sz="4" w:space="0" w:color="auto"/>
            </w:tcBorders>
            <w:hideMark/>
          </w:tcPr>
          <w:p w14:paraId="7D9BC33A" w14:textId="77777777" w:rsidR="00DE4516" w:rsidRPr="00A46ADC" w:rsidRDefault="00DE4516" w:rsidP="00DE4516">
            <w:pPr>
              <w:pStyle w:val="TableBody"/>
              <w:autoSpaceDE w:val="0"/>
              <w:autoSpaceDN w:val="0"/>
              <w:adjustRightInd w:val="0"/>
              <w:ind w:right="227"/>
              <w:jc w:val="right"/>
              <w:rPr>
                <w:rFonts w:cs="Calibri"/>
                <w:szCs w:val="16"/>
              </w:rPr>
            </w:pPr>
            <w:r w:rsidRPr="00A46ADC">
              <w:t>5</w:t>
            </w:r>
          </w:p>
        </w:tc>
        <w:tc>
          <w:tcPr>
            <w:tcW w:w="601" w:type="pct"/>
            <w:tcBorders>
              <w:top w:val="nil"/>
              <w:bottom w:val="single" w:sz="4" w:space="0" w:color="auto"/>
            </w:tcBorders>
            <w:hideMark/>
          </w:tcPr>
          <w:p w14:paraId="5B9D70BE" w14:textId="77777777" w:rsidR="00DE4516" w:rsidRPr="00A46ADC" w:rsidRDefault="00DE4516" w:rsidP="00DE4516">
            <w:pPr>
              <w:pStyle w:val="TableBody"/>
              <w:autoSpaceDE w:val="0"/>
              <w:autoSpaceDN w:val="0"/>
              <w:adjustRightInd w:val="0"/>
              <w:ind w:right="113"/>
              <w:jc w:val="right"/>
              <w:rPr>
                <w:rFonts w:cs="Calibri"/>
                <w:szCs w:val="16"/>
              </w:rPr>
            </w:pPr>
            <w:r w:rsidRPr="00A46ADC">
              <w:t>0, 15</w:t>
            </w:r>
          </w:p>
        </w:tc>
      </w:tr>
    </w:tbl>
    <w:p w14:paraId="2F159F31" w14:textId="4179A0D9" w:rsidR="00DE4516" w:rsidRDefault="00DE4516">
      <w:pPr>
        <w:pStyle w:val="TableSource"/>
        <w:autoSpaceDE w:val="0"/>
        <w:autoSpaceDN w:val="0"/>
        <w:adjustRightInd w:val="0"/>
        <w:rPr>
          <w:szCs w:val="24"/>
        </w:rPr>
      </w:pPr>
      <w:r>
        <w:rPr>
          <w:szCs w:val="24"/>
        </w:rPr>
        <w:t>Source:</w:t>
      </w:r>
      <w:r>
        <w:rPr>
          <w:szCs w:val="24"/>
        </w:rPr>
        <w:tab/>
        <w:t>WTO Secretariat calculations, based on data provided by the authorities and the CTS database.</w:t>
      </w:r>
    </w:p>
    <w:p w14:paraId="6B88E02F" w14:textId="77777777" w:rsidR="00DE4516" w:rsidRDefault="00DE4516">
      <w:pPr>
        <w:pStyle w:val="Heading40"/>
        <w:autoSpaceDE w:val="0"/>
        <w:autoSpaceDN w:val="0"/>
        <w:adjustRightInd w:val="0"/>
        <w:rPr>
          <w:szCs w:val="24"/>
        </w:rPr>
      </w:pPr>
      <w:r>
        <w:rPr>
          <w:szCs w:val="24"/>
        </w:rPr>
        <w:t>Tariff preferences</w:t>
      </w:r>
    </w:p>
    <w:p w14:paraId="7D0D4C8D" w14:textId="77777777" w:rsidR="00DE4516" w:rsidRDefault="00DE4516">
      <w:pPr>
        <w:pStyle w:val="BodyText0"/>
        <w:autoSpaceDE w:val="0"/>
        <w:autoSpaceDN w:val="0"/>
        <w:adjustRightInd w:val="0"/>
        <w:rPr>
          <w:szCs w:val="24"/>
        </w:rPr>
      </w:pPr>
      <w:r>
        <w:rPr>
          <w:szCs w:val="24"/>
        </w:rPr>
        <w:t xml:space="preserve">Products from GCC member States circulate free of duty across the customs union. </w:t>
      </w:r>
      <w:proofErr w:type="gramStart"/>
      <w:r>
        <w:rPr>
          <w:szCs w:val="24"/>
        </w:rPr>
        <w:t>With the exception of</w:t>
      </w:r>
      <w:proofErr w:type="gramEnd"/>
      <w:r>
        <w:rPr>
          <w:szCs w:val="24"/>
        </w:rPr>
        <w:t xml:space="preserve"> tobacco and alcohol products, imports originating from the other members of PAFTA enter Oman duty-free. Products from EFTA members, Singapore, and the United States receive preferential treatment (</w:t>
      </w:r>
      <w:r>
        <w:rPr>
          <w:rStyle w:val="citetbl"/>
          <w:szCs w:val="24"/>
        </w:rPr>
        <w:t>Table 3.5</w:t>
      </w:r>
      <w:r>
        <w:rPr>
          <w:szCs w:val="24"/>
        </w:rPr>
        <w:t>).</w:t>
      </w:r>
    </w:p>
    <w:p w14:paraId="023EC991" w14:textId="77777777" w:rsidR="00DE4516" w:rsidRDefault="00DE4516">
      <w:pPr>
        <w:pStyle w:val="TableTitle"/>
        <w:autoSpaceDE w:val="0"/>
        <w:autoSpaceDN w:val="0"/>
        <w:adjustRightInd w:val="0"/>
      </w:pPr>
      <w:r>
        <w:t>Table 3.5 Tariffs under preferential agreements, 2021</w:t>
      </w:r>
    </w:p>
    <w:tbl>
      <w:tblPr>
        <w:tblStyle w:val="WTOTable1"/>
        <w:tblW w:w="5000" w:type="pct"/>
        <w:tblLook w:val="05E0" w:firstRow="1" w:lastRow="1" w:firstColumn="1" w:lastColumn="1" w:noHBand="0" w:noVBand="1"/>
      </w:tblPr>
      <w:tblGrid>
        <w:gridCol w:w="2133"/>
        <w:gridCol w:w="2294"/>
        <w:gridCol w:w="2294"/>
        <w:gridCol w:w="2295"/>
      </w:tblGrid>
      <w:tr w:rsidR="00DE4516" w:rsidRPr="007F015E" w14:paraId="086AE1F8" w14:textId="77777777" w:rsidTr="005A1A92">
        <w:trPr>
          <w:cnfStyle w:val="100000000000" w:firstRow="1" w:lastRow="0" w:firstColumn="0" w:lastColumn="0" w:oddVBand="0" w:evenVBand="0" w:oddHBand="0" w:evenHBand="0" w:firstRowFirstColumn="0" w:firstRowLastColumn="0" w:lastRowFirstColumn="0" w:lastRowLastColumn="0"/>
          <w:tblHeader/>
        </w:trPr>
        <w:tc>
          <w:tcPr>
            <w:tcW w:w="1183" w:type="pct"/>
            <w:vMerge w:val="restart"/>
            <w:tcBorders>
              <w:top w:val="single" w:sz="4" w:space="0" w:color="auto"/>
              <w:bottom w:val="nil"/>
            </w:tcBorders>
            <w:vAlign w:val="center"/>
            <w:hideMark/>
          </w:tcPr>
          <w:p w14:paraId="28D5A29E" w14:textId="77777777" w:rsidR="00DE4516" w:rsidRPr="007F015E" w:rsidRDefault="00DE4516" w:rsidP="00DE4516">
            <w:pPr>
              <w:pStyle w:val="TableHead"/>
              <w:autoSpaceDE w:val="0"/>
              <w:autoSpaceDN w:val="0"/>
              <w:adjustRightInd w:val="0"/>
              <w:jc w:val="both"/>
              <w:rPr>
                <w:rFonts w:cs="Calibri"/>
                <w:b/>
                <w:bCs/>
                <w:szCs w:val="16"/>
              </w:rPr>
            </w:pPr>
            <w:r w:rsidRPr="007F015E">
              <w:rPr>
                <w:b/>
              </w:rPr>
              <w:t>Tariff regime</w:t>
            </w:r>
          </w:p>
        </w:tc>
        <w:tc>
          <w:tcPr>
            <w:tcW w:w="3817" w:type="pct"/>
            <w:gridSpan w:val="3"/>
            <w:tcBorders>
              <w:top w:val="single" w:sz="4" w:space="0" w:color="auto"/>
              <w:bottom w:val="single" w:sz="4" w:space="0" w:color="auto"/>
            </w:tcBorders>
            <w:noWrap/>
            <w:hideMark/>
          </w:tcPr>
          <w:p w14:paraId="26CC5879" w14:textId="77777777" w:rsidR="00DE4516" w:rsidRPr="007F015E" w:rsidRDefault="00DE4516" w:rsidP="00DE4516">
            <w:pPr>
              <w:pStyle w:val="TableHead"/>
              <w:autoSpaceDE w:val="0"/>
              <w:autoSpaceDN w:val="0"/>
              <w:adjustRightInd w:val="0"/>
              <w:rPr>
                <w:rFonts w:cs="Calibri"/>
                <w:b/>
                <w:bCs/>
                <w:szCs w:val="16"/>
              </w:rPr>
            </w:pPr>
            <w:r w:rsidRPr="007F015E">
              <w:rPr>
                <w:b/>
              </w:rPr>
              <w:t>Simple average (%)</w:t>
            </w:r>
          </w:p>
        </w:tc>
      </w:tr>
      <w:tr w:rsidR="00DE4516" w:rsidRPr="00225231" w14:paraId="64FF4534" w14:textId="77777777" w:rsidTr="005A1A92">
        <w:trPr>
          <w:cnfStyle w:val="100000000000" w:firstRow="1" w:lastRow="0" w:firstColumn="0" w:lastColumn="0" w:oddVBand="0" w:evenVBand="0" w:oddHBand="0" w:evenHBand="0" w:firstRowFirstColumn="0" w:firstRowLastColumn="0" w:lastRowFirstColumn="0" w:lastRowLastColumn="0"/>
          <w:tblHeader/>
        </w:trPr>
        <w:tc>
          <w:tcPr>
            <w:tcW w:w="0" w:type="auto"/>
            <w:vMerge/>
            <w:tcBorders>
              <w:top w:val="single" w:sz="4" w:space="0" w:color="auto"/>
              <w:bottom w:val="nil"/>
            </w:tcBorders>
            <w:vAlign w:val="center"/>
            <w:hideMark/>
          </w:tcPr>
          <w:p w14:paraId="076B8991" w14:textId="77777777" w:rsidR="00DE4516" w:rsidRPr="00225231" w:rsidRDefault="00DE4516" w:rsidP="00DE4516">
            <w:pPr>
              <w:pStyle w:val="TableHead"/>
              <w:jc w:val="left"/>
            </w:pPr>
          </w:p>
        </w:tc>
        <w:tc>
          <w:tcPr>
            <w:tcW w:w="1272" w:type="pct"/>
            <w:tcBorders>
              <w:top w:val="single" w:sz="4" w:space="0" w:color="auto"/>
              <w:bottom w:val="nil"/>
            </w:tcBorders>
            <w:hideMark/>
          </w:tcPr>
          <w:p w14:paraId="43892211" w14:textId="77777777" w:rsidR="00DE4516" w:rsidRPr="00A46ADC" w:rsidRDefault="00DE4516" w:rsidP="00DE4516">
            <w:pPr>
              <w:pStyle w:val="TableHead"/>
              <w:autoSpaceDE w:val="0"/>
              <w:autoSpaceDN w:val="0"/>
              <w:adjustRightInd w:val="0"/>
              <w:rPr>
                <w:rFonts w:cs="Calibri"/>
                <w:b/>
                <w:bCs/>
                <w:szCs w:val="16"/>
              </w:rPr>
            </w:pPr>
            <w:r w:rsidRPr="00A46ADC">
              <w:rPr>
                <w:b/>
              </w:rPr>
              <w:t>Overall</w:t>
            </w:r>
          </w:p>
        </w:tc>
        <w:tc>
          <w:tcPr>
            <w:tcW w:w="1272" w:type="pct"/>
            <w:tcBorders>
              <w:top w:val="single" w:sz="4" w:space="0" w:color="auto"/>
              <w:bottom w:val="nil"/>
            </w:tcBorders>
            <w:hideMark/>
          </w:tcPr>
          <w:p w14:paraId="7EECCE53" w14:textId="77777777" w:rsidR="00DE4516" w:rsidRPr="00A46ADC" w:rsidRDefault="00DE4516" w:rsidP="00DE4516">
            <w:pPr>
              <w:pStyle w:val="TableHead"/>
              <w:autoSpaceDE w:val="0"/>
              <w:autoSpaceDN w:val="0"/>
              <w:adjustRightInd w:val="0"/>
              <w:rPr>
                <w:rFonts w:cs="Calibri"/>
                <w:b/>
                <w:bCs/>
                <w:szCs w:val="16"/>
              </w:rPr>
            </w:pPr>
            <w:r w:rsidRPr="00A46ADC">
              <w:rPr>
                <w:b/>
              </w:rPr>
              <w:t>WTO Agriculture</w:t>
            </w:r>
          </w:p>
        </w:tc>
        <w:tc>
          <w:tcPr>
            <w:tcW w:w="1273" w:type="pct"/>
            <w:tcBorders>
              <w:top w:val="single" w:sz="4" w:space="0" w:color="auto"/>
              <w:bottom w:val="nil"/>
            </w:tcBorders>
            <w:hideMark/>
          </w:tcPr>
          <w:p w14:paraId="5DB4326C" w14:textId="77777777" w:rsidR="00DE4516" w:rsidRPr="00A46ADC" w:rsidRDefault="00DE4516" w:rsidP="00DE4516">
            <w:pPr>
              <w:pStyle w:val="TableHead"/>
              <w:autoSpaceDE w:val="0"/>
              <w:autoSpaceDN w:val="0"/>
              <w:adjustRightInd w:val="0"/>
              <w:rPr>
                <w:rFonts w:cs="Calibri"/>
                <w:b/>
                <w:bCs/>
                <w:szCs w:val="16"/>
              </w:rPr>
            </w:pPr>
            <w:r w:rsidRPr="00A46ADC">
              <w:rPr>
                <w:b/>
              </w:rPr>
              <w:t>WTO Non</w:t>
            </w:r>
            <w:r w:rsidRPr="00A46ADC">
              <w:rPr>
                <w:b/>
              </w:rPr>
              <w:noBreakHyphen/>
              <w:t>agriculture</w:t>
            </w:r>
          </w:p>
        </w:tc>
      </w:tr>
      <w:tr w:rsidR="00DE4516" w:rsidRPr="00225231" w14:paraId="41B570F4" w14:textId="77777777" w:rsidTr="002C718D">
        <w:tc>
          <w:tcPr>
            <w:tcW w:w="1183" w:type="pct"/>
            <w:tcBorders>
              <w:top w:val="nil"/>
              <w:bottom w:val="nil"/>
            </w:tcBorders>
            <w:noWrap/>
            <w:hideMark/>
          </w:tcPr>
          <w:p w14:paraId="300ED247" w14:textId="77777777" w:rsidR="00DE4516" w:rsidRPr="00A46ADC" w:rsidRDefault="00DE4516" w:rsidP="00DE4516">
            <w:pPr>
              <w:pStyle w:val="TableBody"/>
              <w:autoSpaceDE w:val="0"/>
              <w:autoSpaceDN w:val="0"/>
              <w:adjustRightInd w:val="0"/>
              <w:jc w:val="both"/>
              <w:rPr>
                <w:rFonts w:cs="Calibri"/>
                <w:szCs w:val="16"/>
              </w:rPr>
            </w:pPr>
            <w:r w:rsidRPr="00A46ADC">
              <w:t>MFN</w:t>
            </w:r>
          </w:p>
        </w:tc>
        <w:tc>
          <w:tcPr>
            <w:tcW w:w="1272" w:type="pct"/>
            <w:tcBorders>
              <w:top w:val="nil"/>
              <w:bottom w:val="nil"/>
            </w:tcBorders>
            <w:noWrap/>
            <w:hideMark/>
          </w:tcPr>
          <w:p w14:paraId="43A5C755" w14:textId="77777777" w:rsidR="00DE4516" w:rsidRPr="00A46ADC" w:rsidRDefault="00DE4516" w:rsidP="00DE4516">
            <w:pPr>
              <w:pStyle w:val="TableBody"/>
              <w:autoSpaceDE w:val="0"/>
              <w:autoSpaceDN w:val="0"/>
              <w:adjustRightInd w:val="0"/>
              <w:jc w:val="center"/>
              <w:rPr>
                <w:rFonts w:cs="Calibri"/>
                <w:color w:val="000000"/>
                <w:szCs w:val="16"/>
              </w:rPr>
            </w:pPr>
            <w:r w:rsidRPr="00A46ADC">
              <w:t>5.5</w:t>
            </w:r>
          </w:p>
        </w:tc>
        <w:tc>
          <w:tcPr>
            <w:tcW w:w="1272" w:type="pct"/>
            <w:tcBorders>
              <w:top w:val="nil"/>
              <w:bottom w:val="nil"/>
            </w:tcBorders>
            <w:noWrap/>
            <w:hideMark/>
          </w:tcPr>
          <w:p w14:paraId="49DCE40A" w14:textId="77777777" w:rsidR="00DE4516" w:rsidRPr="00A46ADC" w:rsidRDefault="00DE4516" w:rsidP="00DE4516">
            <w:pPr>
              <w:pStyle w:val="TableBody"/>
              <w:autoSpaceDE w:val="0"/>
              <w:autoSpaceDN w:val="0"/>
              <w:adjustRightInd w:val="0"/>
              <w:ind w:right="851"/>
              <w:jc w:val="right"/>
              <w:rPr>
                <w:rFonts w:cs="Calibri"/>
                <w:color w:val="000000"/>
                <w:szCs w:val="16"/>
              </w:rPr>
            </w:pPr>
            <w:r w:rsidRPr="00A46ADC">
              <w:t>10.2</w:t>
            </w:r>
          </w:p>
        </w:tc>
        <w:tc>
          <w:tcPr>
            <w:tcW w:w="1273" w:type="pct"/>
            <w:tcBorders>
              <w:top w:val="nil"/>
              <w:bottom w:val="nil"/>
            </w:tcBorders>
            <w:noWrap/>
            <w:hideMark/>
          </w:tcPr>
          <w:p w14:paraId="3A253D82" w14:textId="77777777" w:rsidR="00DE4516" w:rsidRPr="00A46ADC" w:rsidRDefault="00DE4516" w:rsidP="00DE4516">
            <w:pPr>
              <w:pStyle w:val="TableBody"/>
              <w:autoSpaceDE w:val="0"/>
              <w:autoSpaceDN w:val="0"/>
              <w:adjustRightInd w:val="0"/>
              <w:ind w:right="284"/>
              <w:jc w:val="center"/>
              <w:rPr>
                <w:rFonts w:cs="Calibri"/>
                <w:color w:val="000000"/>
                <w:szCs w:val="16"/>
              </w:rPr>
            </w:pPr>
            <w:r w:rsidRPr="00A46ADC">
              <w:t>4.6</w:t>
            </w:r>
          </w:p>
        </w:tc>
      </w:tr>
      <w:tr w:rsidR="00DE4516" w:rsidRPr="00225231" w14:paraId="7D9F49FC" w14:textId="77777777" w:rsidTr="002C718D">
        <w:trPr>
          <w:cnfStyle w:val="000000010000" w:firstRow="0" w:lastRow="0" w:firstColumn="0" w:lastColumn="0" w:oddVBand="0" w:evenVBand="0" w:oddHBand="0" w:evenHBand="1" w:firstRowFirstColumn="0" w:firstRowLastColumn="0" w:lastRowFirstColumn="0" w:lastRowLastColumn="0"/>
        </w:trPr>
        <w:tc>
          <w:tcPr>
            <w:tcW w:w="1183" w:type="pct"/>
            <w:tcBorders>
              <w:top w:val="nil"/>
              <w:bottom w:val="nil"/>
            </w:tcBorders>
            <w:noWrap/>
            <w:hideMark/>
          </w:tcPr>
          <w:p w14:paraId="68BB1A7A" w14:textId="77777777" w:rsidR="00DE4516" w:rsidRPr="00A46ADC" w:rsidRDefault="00DE4516" w:rsidP="00DE4516">
            <w:pPr>
              <w:pStyle w:val="TableBody"/>
              <w:autoSpaceDE w:val="0"/>
              <w:autoSpaceDN w:val="0"/>
              <w:adjustRightInd w:val="0"/>
              <w:jc w:val="both"/>
              <w:rPr>
                <w:rFonts w:cs="Calibri"/>
                <w:color w:val="000000"/>
                <w:szCs w:val="16"/>
              </w:rPr>
            </w:pPr>
            <w:r w:rsidRPr="00A46ADC">
              <w:t>United States</w:t>
            </w:r>
          </w:p>
        </w:tc>
        <w:tc>
          <w:tcPr>
            <w:tcW w:w="1272" w:type="pct"/>
            <w:tcBorders>
              <w:top w:val="nil"/>
              <w:bottom w:val="nil"/>
            </w:tcBorders>
            <w:noWrap/>
            <w:hideMark/>
          </w:tcPr>
          <w:p w14:paraId="6CF3B25A" w14:textId="77777777" w:rsidR="00DE4516" w:rsidRPr="00A46ADC" w:rsidRDefault="00DE4516" w:rsidP="00DE4516">
            <w:pPr>
              <w:pStyle w:val="TableBody"/>
              <w:autoSpaceDE w:val="0"/>
              <w:autoSpaceDN w:val="0"/>
              <w:adjustRightInd w:val="0"/>
              <w:jc w:val="center"/>
              <w:rPr>
                <w:rFonts w:cs="Calibri"/>
                <w:color w:val="000000"/>
                <w:szCs w:val="16"/>
              </w:rPr>
            </w:pPr>
            <w:r w:rsidRPr="00A46ADC">
              <w:t>0.0</w:t>
            </w:r>
          </w:p>
        </w:tc>
        <w:tc>
          <w:tcPr>
            <w:tcW w:w="1272" w:type="pct"/>
            <w:tcBorders>
              <w:top w:val="nil"/>
              <w:bottom w:val="nil"/>
            </w:tcBorders>
            <w:noWrap/>
            <w:hideMark/>
          </w:tcPr>
          <w:p w14:paraId="5C0E2672" w14:textId="77777777" w:rsidR="00DE4516" w:rsidRPr="00A46ADC" w:rsidRDefault="00DE4516" w:rsidP="00DE4516">
            <w:pPr>
              <w:pStyle w:val="TableBody"/>
              <w:autoSpaceDE w:val="0"/>
              <w:autoSpaceDN w:val="0"/>
              <w:adjustRightInd w:val="0"/>
              <w:ind w:right="851"/>
              <w:jc w:val="right"/>
              <w:rPr>
                <w:rFonts w:cs="Calibri"/>
                <w:color w:val="000000"/>
                <w:szCs w:val="16"/>
              </w:rPr>
            </w:pPr>
            <w:r w:rsidRPr="00A46ADC">
              <w:t>0.0</w:t>
            </w:r>
          </w:p>
        </w:tc>
        <w:tc>
          <w:tcPr>
            <w:tcW w:w="1273" w:type="pct"/>
            <w:tcBorders>
              <w:top w:val="nil"/>
              <w:bottom w:val="nil"/>
            </w:tcBorders>
            <w:noWrap/>
            <w:hideMark/>
          </w:tcPr>
          <w:p w14:paraId="25E5D814" w14:textId="77777777" w:rsidR="00DE4516" w:rsidRPr="00A46ADC" w:rsidRDefault="00DE4516" w:rsidP="00DE4516">
            <w:pPr>
              <w:pStyle w:val="TableBody"/>
              <w:autoSpaceDE w:val="0"/>
              <w:autoSpaceDN w:val="0"/>
              <w:adjustRightInd w:val="0"/>
              <w:ind w:right="284"/>
              <w:jc w:val="center"/>
              <w:rPr>
                <w:rFonts w:cs="Calibri"/>
                <w:color w:val="000000"/>
                <w:szCs w:val="16"/>
              </w:rPr>
            </w:pPr>
            <w:r w:rsidRPr="00A46ADC">
              <w:t>0.0</w:t>
            </w:r>
          </w:p>
        </w:tc>
      </w:tr>
      <w:tr w:rsidR="00DE4516" w:rsidRPr="00225231" w14:paraId="4A1D5B17" w14:textId="77777777" w:rsidTr="002C718D">
        <w:tc>
          <w:tcPr>
            <w:tcW w:w="1183" w:type="pct"/>
            <w:tcBorders>
              <w:top w:val="nil"/>
              <w:bottom w:val="nil"/>
            </w:tcBorders>
            <w:noWrap/>
            <w:hideMark/>
          </w:tcPr>
          <w:p w14:paraId="62E636C4" w14:textId="77777777" w:rsidR="00DE4516" w:rsidRPr="00A46ADC" w:rsidRDefault="00DE4516" w:rsidP="00DE4516">
            <w:pPr>
              <w:pStyle w:val="TableBody"/>
              <w:autoSpaceDE w:val="0"/>
              <w:autoSpaceDN w:val="0"/>
              <w:adjustRightInd w:val="0"/>
              <w:jc w:val="both"/>
              <w:rPr>
                <w:rFonts w:cs="Calibri"/>
                <w:color w:val="000000"/>
                <w:szCs w:val="16"/>
              </w:rPr>
            </w:pPr>
            <w:r w:rsidRPr="00A46ADC">
              <w:t>EFTA</w:t>
            </w:r>
          </w:p>
        </w:tc>
        <w:tc>
          <w:tcPr>
            <w:tcW w:w="1272" w:type="pct"/>
            <w:tcBorders>
              <w:top w:val="nil"/>
              <w:bottom w:val="nil"/>
            </w:tcBorders>
            <w:noWrap/>
            <w:hideMark/>
          </w:tcPr>
          <w:p w14:paraId="34CFDE89" w14:textId="77777777" w:rsidR="00DE4516" w:rsidRPr="00A46ADC" w:rsidRDefault="00DE4516" w:rsidP="00DE4516">
            <w:pPr>
              <w:pStyle w:val="TableBody"/>
              <w:autoSpaceDE w:val="0"/>
              <w:autoSpaceDN w:val="0"/>
              <w:adjustRightInd w:val="0"/>
              <w:jc w:val="center"/>
              <w:rPr>
                <w:rFonts w:cs="Calibri"/>
                <w:color w:val="000000"/>
                <w:szCs w:val="16"/>
              </w:rPr>
            </w:pPr>
            <w:r w:rsidRPr="00A46ADC">
              <w:t>1.1</w:t>
            </w:r>
          </w:p>
        </w:tc>
        <w:tc>
          <w:tcPr>
            <w:tcW w:w="1272" w:type="pct"/>
            <w:tcBorders>
              <w:top w:val="nil"/>
              <w:bottom w:val="nil"/>
            </w:tcBorders>
            <w:noWrap/>
            <w:hideMark/>
          </w:tcPr>
          <w:p w14:paraId="259905BD" w14:textId="77777777" w:rsidR="00DE4516" w:rsidRPr="00A46ADC" w:rsidRDefault="00DE4516" w:rsidP="00DE4516">
            <w:pPr>
              <w:pStyle w:val="TableBody"/>
              <w:autoSpaceDE w:val="0"/>
              <w:autoSpaceDN w:val="0"/>
              <w:adjustRightInd w:val="0"/>
              <w:ind w:right="851"/>
              <w:jc w:val="right"/>
              <w:rPr>
                <w:rFonts w:cs="Calibri"/>
                <w:color w:val="000000"/>
                <w:szCs w:val="16"/>
              </w:rPr>
            </w:pPr>
            <w:r w:rsidRPr="00A46ADC">
              <w:t>6.6</w:t>
            </w:r>
          </w:p>
        </w:tc>
        <w:tc>
          <w:tcPr>
            <w:tcW w:w="1273" w:type="pct"/>
            <w:tcBorders>
              <w:top w:val="nil"/>
              <w:bottom w:val="nil"/>
            </w:tcBorders>
            <w:noWrap/>
            <w:hideMark/>
          </w:tcPr>
          <w:p w14:paraId="7A7DE093" w14:textId="77777777" w:rsidR="00DE4516" w:rsidRPr="00A46ADC" w:rsidRDefault="00DE4516" w:rsidP="00DE4516">
            <w:pPr>
              <w:pStyle w:val="TableBody"/>
              <w:autoSpaceDE w:val="0"/>
              <w:autoSpaceDN w:val="0"/>
              <w:adjustRightInd w:val="0"/>
              <w:ind w:right="284"/>
              <w:jc w:val="center"/>
              <w:rPr>
                <w:rFonts w:cs="Calibri"/>
                <w:color w:val="000000"/>
                <w:szCs w:val="16"/>
              </w:rPr>
            </w:pPr>
            <w:r w:rsidRPr="00A46ADC">
              <w:t>0.1</w:t>
            </w:r>
          </w:p>
        </w:tc>
      </w:tr>
      <w:tr w:rsidR="00DE4516" w:rsidRPr="00225231" w14:paraId="1E4F0E21" w14:textId="77777777" w:rsidTr="002C718D">
        <w:trPr>
          <w:cnfStyle w:val="000000010000" w:firstRow="0" w:lastRow="0" w:firstColumn="0" w:lastColumn="0" w:oddVBand="0" w:evenVBand="0" w:oddHBand="0" w:evenHBand="1" w:firstRowFirstColumn="0" w:firstRowLastColumn="0" w:lastRowFirstColumn="0" w:lastRowLastColumn="0"/>
        </w:trPr>
        <w:tc>
          <w:tcPr>
            <w:tcW w:w="1183" w:type="pct"/>
            <w:tcBorders>
              <w:top w:val="nil"/>
              <w:bottom w:val="single" w:sz="4" w:space="0" w:color="auto"/>
            </w:tcBorders>
            <w:noWrap/>
            <w:hideMark/>
          </w:tcPr>
          <w:p w14:paraId="633C6C93" w14:textId="77777777" w:rsidR="00DE4516" w:rsidRPr="00A46ADC" w:rsidRDefault="00DE4516" w:rsidP="00DE4516">
            <w:pPr>
              <w:pStyle w:val="TableBody"/>
              <w:autoSpaceDE w:val="0"/>
              <w:autoSpaceDN w:val="0"/>
              <w:adjustRightInd w:val="0"/>
              <w:jc w:val="both"/>
              <w:rPr>
                <w:rFonts w:cs="Calibri"/>
                <w:color w:val="000000"/>
                <w:szCs w:val="16"/>
              </w:rPr>
            </w:pPr>
            <w:r w:rsidRPr="00A46ADC">
              <w:t>Singapore</w:t>
            </w:r>
          </w:p>
        </w:tc>
        <w:tc>
          <w:tcPr>
            <w:tcW w:w="1272" w:type="pct"/>
            <w:tcBorders>
              <w:top w:val="nil"/>
              <w:bottom w:val="single" w:sz="4" w:space="0" w:color="auto"/>
            </w:tcBorders>
            <w:noWrap/>
            <w:hideMark/>
          </w:tcPr>
          <w:p w14:paraId="201E40D6" w14:textId="77777777" w:rsidR="00DE4516" w:rsidRPr="00A46ADC" w:rsidRDefault="00DE4516" w:rsidP="00DE4516">
            <w:pPr>
              <w:pStyle w:val="TableBody"/>
              <w:autoSpaceDE w:val="0"/>
              <w:autoSpaceDN w:val="0"/>
              <w:adjustRightInd w:val="0"/>
              <w:jc w:val="center"/>
              <w:rPr>
                <w:rFonts w:cs="Calibri"/>
                <w:color w:val="000000"/>
                <w:szCs w:val="16"/>
              </w:rPr>
            </w:pPr>
            <w:r w:rsidRPr="00A46ADC">
              <w:t>1.2</w:t>
            </w:r>
          </w:p>
        </w:tc>
        <w:tc>
          <w:tcPr>
            <w:tcW w:w="1272" w:type="pct"/>
            <w:tcBorders>
              <w:top w:val="nil"/>
              <w:bottom w:val="single" w:sz="4" w:space="0" w:color="auto"/>
            </w:tcBorders>
            <w:noWrap/>
            <w:hideMark/>
          </w:tcPr>
          <w:p w14:paraId="43AA07C4" w14:textId="77777777" w:rsidR="00DE4516" w:rsidRPr="00A46ADC" w:rsidRDefault="00DE4516" w:rsidP="00DE4516">
            <w:pPr>
              <w:pStyle w:val="TableBody"/>
              <w:autoSpaceDE w:val="0"/>
              <w:autoSpaceDN w:val="0"/>
              <w:adjustRightInd w:val="0"/>
              <w:ind w:right="851"/>
              <w:jc w:val="right"/>
              <w:rPr>
                <w:rFonts w:cs="Calibri"/>
                <w:color w:val="000000"/>
                <w:szCs w:val="16"/>
              </w:rPr>
            </w:pPr>
            <w:r w:rsidRPr="00A46ADC">
              <w:t>6.5</w:t>
            </w:r>
          </w:p>
        </w:tc>
        <w:tc>
          <w:tcPr>
            <w:tcW w:w="1273" w:type="pct"/>
            <w:tcBorders>
              <w:top w:val="nil"/>
              <w:bottom w:val="single" w:sz="4" w:space="0" w:color="auto"/>
            </w:tcBorders>
            <w:noWrap/>
            <w:hideMark/>
          </w:tcPr>
          <w:p w14:paraId="6CF8C29E" w14:textId="77777777" w:rsidR="00DE4516" w:rsidRPr="00A46ADC" w:rsidRDefault="00DE4516" w:rsidP="00DE4516">
            <w:pPr>
              <w:pStyle w:val="TableBody"/>
              <w:autoSpaceDE w:val="0"/>
              <w:autoSpaceDN w:val="0"/>
              <w:adjustRightInd w:val="0"/>
              <w:ind w:right="284"/>
              <w:jc w:val="center"/>
              <w:rPr>
                <w:rFonts w:cs="Calibri"/>
                <w:color w:val="000000"/>
                <w:szCs w:val="16"/>
              </w:rPr>
            </w:pPr>
            <w:r w:rsidRPr="00A46ADC">
              <w:t>0.2</w:t>
            </w:r>
          </w:p>
        </w:tc>
      </w:tr>
    </w:tbl>
    <w:p w14:paraId="2A9B93D6" w14:textId="68096AA7" w:rsidR="00DE4516" w:rsidRDefault="00DE4516">
      <w:pPr>
        <w:pStyle w:val="TableSource"/>
        <w:autoSpaceDE w:val="0"/>
        <w:autoSpaceDN w:val="0"/>
        <w:adjustRightInd w:val="0"/>
        <w:rPr>
          <w:szCs w:val="24"/>
        </w:rPr>
      </w:pPr>
      <w:r>
        <w:rPr>
          <w:szCs w:val="24"/>
        </w:rPr>
        <w:t>Source:</w:t>
      </w:r>
      <w:r>
        <w:rPr>
          <w:szCs w:val="24"/>
        </w:rPr>
        <w:tab/>
        <w:t>WTO Secretariat calculations, based on data provided by the authorities.</w:t>
      </w:r>
    </w:p>
    <w:p w14:paraId="2D83368F" w14:textId="77777777" w:rsidR="00DE4516" w:rsidRDefault="00DE4516">
      <w:pPr>
        <w:pStyle w:val="Heading40"/>
        <w:autoSpaceDE w:val="0"/>
        <w:autoSpaceDN w:val="0"/>
        <w:adjustRightInd w:val="0"/>
        <w:rPr>
          <w:szCs w:val="24"/>
        </w:rPr>
      </w:pPr>
      <w:r>
        <w:rPr>
          <w:szCs w:val="24"/>
        </w:rPr>
        <w:t>Tariff exemptions and concessions</w:t>
      </w:r>
    </w:p>
    <w:p w14:paraId="1DD0E02C" w14:textId="77777777" w:rsidR="00DE4516" w:rsidRDefault="00DE4516">
      <w:pPr>
        <w:pStyle w:val="BodyText0"/>
        <w:autoSpaceDE w:val="0"/>
        <w:autoSpaceDN w:val="0"/>
        <w:adjustRightInd w:val="0"/>
        <w:rPr>
          <w:szCs w:val="24"/>
        </w:rPr>
      </w:pPr>
      <w:r>
        <w:rPr>
          <w:szCs w:val="24"/>
        </w:rPr>
        <w:t xml:space="preserve">Section VIII of the Common Customs Law of GCC States specifies tariff exemptions and concessions. Duty-free imports are allowed for the armed forces, the police, and charity institutions. Additional exemptions and concessions are specific to each GCC member State and may therefore </w:t>
      </w:r>
      <w:r>
        <w:rPr>
          <w:szCs w:val="24"/>
        </w:rPr>
        <w:lastRenderedPageBreak/>
        <w:t>differ from one State to another. Efforts to harmonize the exemptions and concessions regimes at the GCC level are ongoing.</w:t>
      </w:r>
    </w:p>
    <w:p w14:paraId="7134B1C0" w14:textId="77777777" w:rsidR="00DE4516" w:rsidRDefault="00DE4516">
      <w:pPr>
        <w:pStyle w:val="BodyText0"/>
        <w:autoSpaceDE w:val="0"/>
        <w:autoSpaceDN w:val="0"/>
        <w:adjustRightInd w:val="0"/>
        <w:rPr>
          <w:szCs w:val="24"/>
        </w:rPr>
      </w:pPr>
      <w:r>
        <w:rPr>
          <w:szCs w:val="24"/>
        </w:rPr>
        <w:t>Oman grants tariff exemptions on raw materials, machinery, and equipment imported for local production under the Local and GCC Industries Laws. In addition, duty concessions may be granted to certain industries or companies on imports necessary for their operational use. No information was available on the value of duties forgone on private sector imports resulting from these exemptions.</w:t>
      </w:r>
    </w:p>
    <w:p w14:paraId="0D9414AE" w14:textId="77777777" w:rsidR="00DE4516" w:rsidRDefault="00DE4516">
      <w:pPr>
        <w:pStyle w:val="Heading30"/>
        <w:autoSpaceDE w:val="0"/>
        <w:autoSpaceDN w:val="0"/>
        <w:adjustRightInd w:val="0"/>
        <w:rPr>
          <w:szCs w:val="24"/>
        </w:rPr>
      </w:pPr>
      <w:r>
        <w:rPr>
          <w:szCs w:val="24"/>
        </w:rPr>
        <w:t>Other charges affecting imports</w:t>
      </w:r>
    </w:p>
    <w:p w14:paraId="04EA097E" w14:textId="77777777" w:rsidR="00DE4516" w:rsidRDefault="00DE4516">
      <w:pPr>
        <w:pStyle w:val="BodyText0"/>
        <w:autoSpaceDE w:val="0"/>
        <w:autoSpaceDN w:val="0"/>
        <w:adjustRightInd w:val="0"/>
        <w:rPr>
          <w:szCs w:val="24"/>
        </w:rPr>
      </w:pPr>
      <w:r>
        <w:rPr>
          <w:szCs w:val="24"/>
        </w:rPr>
        <w:t>In December 2015, GCC member States decided to implement a value added tax (VAT) of 5%, levied on the import and supply of goods and services at each stage of production and distribution.</w:t>
      </w:r>
      <w:r w:rsidRPr="00DE4516">
        <w:rPr>
          <w:rStyle w:val="FootnoteReference"/>
        </w:rPr>
        <w:footnoteReference w:id="105"/>
      </w:r>
      <w:r>
        <w:rPr>
          <w:szCs w:val="24"/>
        </w:rPr>
        <w:t xml:space="preserve"> Royal Decree No. 121/2020 published in October 2020 promulgated Oman's VAT law. It applies to all goods and services, except those related to healthcare; education; financial services; basic food items; public transport; sale of real estate; crude oil, petroleum derivatives, and natural gas; supplies for charities; vacant lands; supply of investment in gold, silver, and platinum; and rescue aircrafts and vessels. In January 2021, Oman specified 94 custom tariff items to be exempt from the VAT.</w:t>
      </w:r>
      <w:r w:rsidRPr="00DE4516">
        <w:rPr>
          <w:rStyle w:val="FootnoteReference"/>
        </w:rPr>
        <w:footnoteReference w:id="106"/>
      </w:r>
      <w:r>
        <w:rPr>
          <w:szCs w:val="24"/>
        </w:rPr>
        <w:t xml:space="preserve"> Enforcement of the law started in April 2021. Registration is mandatory for companies with a monthly turnover of over OMR 38,500.</w:t>
      </w:r>
    </w:p>
    <w:p w14:paraId="217AD5AE" w14:textId="77777777" w:rsidR="00DE4516" w:rsidRDefault="00DE4516">
      <w:pPr>
        <w:pStyle w:val="BodyText0"/>
        <w:autoSpaceDE w:val="0"/>
        <w:autoSpaceDN w:val="0"/>
        <w:adjustRightInd w:val="0"/>
        <w:rPr>
          <w:szCs w:val="24"/>
        </w:rPr>
      </w:pPr>
      <w:r>
        <w:rPr>
          <w:szCs w:val="24"/>
        </w:rPr>
        <w:t>Oman levies an excise tax on alcoholic beverages (50%) and on pork meat, carbonated drinks, and cigarettes (100%).</w:t>
      </w:r>
      <w:r w:rsidRPr="00DE4516">
        <w:rPr>
          <w:rStyle w:val="FootnoteReference"/>
        </w:rPr>
        <w:footnoteReference w:id="107"/>
      </w:r>
    </w:p>
    <w:p w14:paraId="006442D1" w14:textId="77777777" w:rsidR="00DE4516" w:rsidRDefault="00DE4516">
      <w:pPr>
        <w:pStyle w:val="Heading30"/>
        <w:autoSpaceDE w:val="0"/>
        <w:autoSpaceDN w:val="0"/>
        <w:adjustRightInd w:val="0"/>
        <w:rPr>
          <w:szCs w:val="24"/>
        </w:rPr>
      </w:pPr>
      <w:r>
        <w:rPr>
          <w:szCs w:val="24"/>
        </w:rPr>
        <w:t>Import prohibitions, restrictions, and licensing</w:t>
      </w:r>
    </w:p>
    <w:p w14:paraId="2163EDCC" w14:textId="77777777" w:rsidR="00DE4516" w:rsidRDefault="00DE4516">
      <w:pPr>
        <w:pStyle w:val="BodyText0"/>
        <w:autoSpaceDE w:val="0"/>
        <w:autoSpaceDN w:val="0"/>
        <w:adjustRightInd w:val="0"/>
        <w:rPr>
          <w:szCs w:val="24"/>
        </w:rPr>
      </w:pPr>
      <w:r>
        <w:rPr>
          <w:szCs w:val="24"/>
        </w:rPr>
        <w:t>Under the GCC Common Customs Law, each GCC member State determines its own list of prohibited or restricted products, although members are developing a common list. Imports that are prohibited in some GCC member States and permitted in others can only be imported from the latter and must not transit through the States in which they are prohibited.</w:t>
      </w:r>
    </w:p>
    <w:p w14:paraId="11A6627C" w14:textId="77777777" w:rsidR="00DE4516" w:rsidRDefault="00DE4516">
      <w:pPr>
        <w:pStyle w:val="BodyText0"/>
        <w:autoSpaceDE w:val="0"/>
        <w:autoSpaceDN w:val="0"/>
        <w:adjustRightInd w:val="0"/>
        <w:rPr>
          <w:szCs w:val="24"/>
        </w:rPr>
      </w:pPr>
      <w:r>
        <w:rPr>
          <w:szCs w:val="24"/>
        </w:rPr>
        <w:t>Oman has yet to provide a list of import prohibitions and restrictions according to the 2012 Decision on Notification Procedures for Quantitative Restrictions.</w:t>
      </w:r>
      <w:r w:rsidRPr="00DE4516">
        <w:rPr>
          <w:rStyle w:val="FootnoteReference"/>
        </w:rPr>
        <w:footnoteReference w:id="108"/>
      </w:r>
    </w:p>
    <w:p w14:paraId="371CF9D4" w14:textId="77777777" w:rsidR="00DE4516" w:rsidRDefault="00DE4516">
      <w:pPr>
        <w:pStyle w:val="BodyText0"/>
        <w:autoSpaceDE w:val="0"/>
        <w:autoSpaceDN w:val="0"/>
        <w:adjustRightInd w:val="0"/>
        <w:rPr>
          <w:szCs w:val="24"/>
        </w:rPr>
      </w:pPr>
      <w:r>
        <w:rPr>
          <w:szCs w:val="24"/>
        </w:rPr>
        <w:t xml:space="preserve">Oman operates import prohibitions for reasons of human, plant, and animal health; public morals; environment; and security. They cover, </w:t>
      </w:r>
      <w:r>
        <w:rPr>
          <w:i/>
          <w:szCs w:val="24"/>
        </w:rPr>
        <w:t>inter alia</w:t>
      </w:r>
      <w:r>
        <w:rPr>
          <w:szCs w:val="24"/>
        </w:rPr>
        <w:t>, narcotics, weapons, certain media products, and several country-specific animal products (</w:t>
      </w:r>
      <w:r>
        <w:rPr>
          <w:rStyle w:val="citetbl"/>
          <w:szCs w:val="24"/>
        </w:rPr>
        <w:t>Table 3.6</w:t>
      </w:r>
      <w:r>
        <w:rPr>
          <w:szCs w:val="24"/>
        </w:rPr>
        <w:t>). Oman is a participant in the Basel Convention on Hazardous Wastes, the Rotterdam Convention on Trade in Hazardous Chemicals, the Stockholm Convention on Persistent Organic Pollutants, the Montreal Protocol, and CITES, among others.</w:t>
      </w:r>
      <w:r w:rsidRPr="00DE4516">
        <w:rPr>
          <w:rStyle w:val="FootnoteReference"/>
        </w:rPr>
        <w:footnoteReference w:id="109"/>
      </w:r>
    </w:p>
    <w:p w14:paraId="6DA8F821" w14:textId="77777777" w:rsidR="00DE4516" w:rsidRDefault="00DE4516">
      <w:pPr>
        <w:pStyle w:val="TableTitle"/>
        <w:autoSpaceDE w:val="0"/>
        <w:autoSpaceDN w:val="0"/>
        <w:adjustRightInd w:val="0"/>
      </w:pPr>
      <w:r>
        <w:t>Table 3.6 Import prohibitions</w:t>
      </w:r>
    </w:p>
    <w:tbl>
      <w:tblPr>
        <w:tblStyle w:val="WTOTable1"/>
        <w:tblW w:w="0" w:type="auto"/>
        <w:tblLayout w:type="fixed"/>
        <w:tblLook w:val="05E0" w:firstRow="1" w:lastRow="1" w:firstColumn="1" w:lastColumn="1" w:noHBand="0" w:noVBand="1"/>
      </w:tblPr>
      <w:tblGrid>
        <w:gridCol w:w="1271"/>
        <w:gridCol w:w="3547"/>
        <w:gridCol w:w="4198"/>
      </w:tblGrid>
      <w:tr w:rsidR="00DE4516" w:rsidRPr="007F015E" w14:paraId="038B3730"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1271" w:type="dxa"/>
            <w:tcBorders>
              <w:top w:val="single" w:sz="4" w:space="0" w:color="auto"/>
            </w:tcBorders>
          </w:tcPr>
          <w:p w14:paraId="78DDC746" w14:textId="77777777" w:rsidR="00DE4516" w:rsidRPr="007F015E" w:rsidRDefault="00DE4516" w:rsidP="00DE4516">
            <w:pPr>
              <w:pStyle w:val="TableHead"/>
              <w:autoSpaceDE w:val="0"/>
              <w:autoSpaceDN w:val="0"/>
              <w:adjustRightInd w:val="0"/>
              <w:jc w:val="both"/>
              <w:rPr>
                <w:b/>
                <w:sz w:val="15"/>
              </w:rPr>
            </w:pPr>
            <w:r w:rsidRPr="007F015E">
              <w:rPr>
                <w:b/>
              </w:rPr>
              <w:t>HS Code</w:t>
            </w:r>
          </w:p>
        </w:tc>
        <w:tc>
          <w:tcPr>
            <w:tcW w:w="3547" w:type="dxa"/>
            <w:tcBorders>
              <w:top w:val="single" w:sz="4" w:space="0" w:color="auto"/>
            </w:tcBorders>
          </w:tcPr>
          <w:p w14:paraId="6F32CBDA" w14:textId="77777777" w:rsidR="00DE4516" w:rsidRPr="007F015E" w:rsidRDefault="00DE4516" w:rsidP="00DE4516">
            <w:pPr>
              <w:pStyle w:val="TableHead"/>
              <w:autoSpaceDE w:val="0"/>
              <w:autoSpaceDN w:val="0"/>
              <w:adjustRightInd w:val="0"/>
              <w:jc w:val="both"/>
              <w:rPr>
                <w:b/>
                <w:sz w:val="15"/>
              </w:rPr>
            </w:pPr>
            <w:r w:rsidRPr="007F015E">
              <w:rPr>
                <w:b/>
              </w:rPr>
              <w:t>Institution</w:t>
            </w:r>
          </w:p>
        </w:tc>
        <w:tc>
          <w:tcPr>
            <w:tcW w:w="4198" w:type="dxa"/>
            <w:tcBorders>
              <w:top w:val="single" w:sz="4" w:space="0" w:color="auto"/>
            </w:tcBorders>
          </w:tcPr>
          <w:p w14:paraId="0AC35B1E" w14:textId="77777777" w:rsidR="00DE4516" w:rsidRPr="007F015E" w:rsidRDefault="00DE4516" w:rsidP="00DE4516">
            <w:pPr>
              <w:pStyle w:val="TableHead"/>
              <w:autoSpaceDE w:val="0"/>
              <w:autoSpaceDN w:val="0"/>
              <w:adjustRightInd w:val="0"/>
              <w:rPr>
                <w:b/>
                <w:sz w:val="15"/>
              </w:rPr>
            </w:pPr>
            <w:r w:rsidRPr="007F015E">
              <w:rPr>
                <w:b/>
              </w:rPr>
              <w:t>Products</w:t>
            </w:r>
          </w:p>
        </w:tc>
      </w:tr>
      <w:tr w:rsidR="00DE4516" w:rsidRPr="00225231" w14:paraId="62DFE3E3" w14:textId="77777777" w:rsidTr="002C718D">
        <w:trPr>
          <w:cantSplit/>
        </w:trPr>
        <w:tc>
          <w:tcPr>
            <w:tcW w:w="1271" w:type="dxa"/>
          </w:tcPr>
          <w:p w14:paraId="0ED0E323" w14:textId="77777777" w:rsidR="00DE4516" w:rsidRPr="00A46ADC" w:rsidRDefault="00DE4516" w:rsidP="00DE4516">
            <w:pPr>
              <w:pStyle w:val="TableBody"/>
              <w:autoSpaceDE w:val="0"/>
              <w:autoSpaceDN w:val="0"/>
              <w:adjustRightInd w:val="0"/>
              <w:jc w:val="both"/>
              <w:rPr>
                <w:sz w:val="15"/>
                <w:highlight w:val="yellow"/>
              </w:rPr>
            </w:pPr>
            <w:r w:rsidRPr="00A46ADC">
              <w:t>01061310</w:t>
            </w:r>
          </w:p>
        </w:tc>
        <w:tc>
          <w:tcPr>
            <w:tcW w:w="3547" w:type="dxa"/>
          </w:tcPr>
          <w:p w14:paraId="7EA6801D" w14:textId="77777777" w:rsidR="00DE4516" w:rsidRPr="00A46ADC" w:rsidRDefault="00DE4516" w:rsidP="00DE4516">
            <w:pPr>
              <w:pStyle w:val="TableBody"/>
              <w:autoSpaceDE w:val="0"/>
              <w:autoSpaceDN w:val="0"/>
              <w:adjustRightInd w:val="0"/>
              <w:jc w:val="both"/>
              <w:rPr>
                <w:sz w:val="15"/>
              </w:rPr>
            </w:pPr>
            <w:r w:rsidRPr="00A46ADC">
              <w:t>Ministry of Agriculture, Fisheries and Water Resources</w:t>
            </w:r>
          </w:p>
        </w:tc>
        <w:tc>
          <w:tcPr>
            <w:tcW w:w="4198" w:type="dxa"/>
          </w:tcPr>
          <w:p w14:paraId="548DE6E6" w14:textId="77777777" w:rsidR="00DE4516" w:rsidRPr="00A46ADC" w:rsidRDefault="00DE4516" w:rsidP="00DE4516">
            <w:pPr>
              <w:pStyle w:val="TableBody"/>
              <w:autoSpaceDE w:val="0"/>
              <w:autoSpaceDN w:val="0"/>
              <w:adjustRightInd w:val="0"/>
              <w:jc w:val="both"/>
              <w:rPr>
                <w:sz w:val="15"/>
              </w:rPr>
            </w:pPr>
            <w:r w:rsidRPr="00A46ADC">
              <w:t>Pure-bred animals for breeding</w:t>
            </w:r>
          </w:p>
        </w:tc>
      </w:tr>
      <w:tr w:rsidR="00DE4516" w:rsidRPr="00225231" w14:paraId="10CDCD4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42366F9B" w14:textId="77777777" w:rsidR="00DE4516" w:rsidRPr="00A46ADC" w:rsidRDefault="00DE4516" w:rsidP="00DE4516">
            <w:pPr>
              <w:pStyle w:val="TableBody"/>
              <w:autoSpaceDE w:val="0"/>
              <w:autoSpaceDN w:val="0"/>
              <w:adjustRightInd w:val="0"/>
              <w:jc w:val="both"/>
              <w:rPr>
                <w:sz w:val="15"/>
              </w:rPr>
            </w:pPr>
            <w:r w:rsidRPr="00A46ADC">
              <w:t>01061320</w:t>
            </w:r>
          </w:p>
        </w:tc>
        <w:tc>
          <w:tcPr>
            <w:tcW w:w="3547" w:type="dxa"/>
          </w:tcPr>
          <w:p w14:paraId="3D64559D" w14:textId="77777777" w:rsidR="00DE4516" w:rsidRPr="00A46ADC" w:rsidRDefault="00DE4516" w:rsidP="00DE4516">
            <w:pPr>
              <w:pStyle w:val="TableBody"/>
              <w:autoSpaceDE w:val="0"/>
              <w:autoSpaceDN w:val="0"/>
              <w:adjustRightInd w:val="0"/>
              <w:jc w:val="both"/>
              <w:rPr>
                <w:sz w:val="15"/>
              </w:rPr>
            </w:pPr>
            <w:r w:rsidRPr="00A46ADC">
              <w:t>Ministry of Agriculture, Fisheries and Water Resources</w:t>
            </w:r>
          </w:p>
        </w:tc>
        <w:tc>
          <w:tcPr>
            <w:tcW w:w="4198" w:type="dxa"/>
          </w:tcPr>
          <w:p w14:paraId="4D354CBD" w14:textId="77777777" w:rsidR="00DE4516" w:rsidRPr="00A46ADC" w:rsidRDefault="00DE4516" w:rsidP="00DE4516">
            <w:pPr>
              <w:pStyle w:val="TableBody"/>
              <w:autoSpaceDE w:val="0"/>
              <w:autoSpaceDN w:val="0"/>
              <w:adjustRightInd w:val="0"/>
              <w:jc w:val="both"/>
              <w:rPr>
                <w:sz w:val="15"/>
              </w:rPr>
            </w:pPr>
            <w:r w:rsidRPr="00A46ADC">
              <w:t>For domestic competitions and racing</w:t>
            </w:r>
          </w:p>
        </w:tc>
      </w:tr>
      <w:tr w:rsidR="00DE4516" w:rsidRPr="00225231" w14:paraId="1C3656D1" w14:textId="77777777" w:rsidTr="002C718D">
        <w:trPr>
          <w:cantSplit/>
        </w:trPr>
        <w:tc>
          <w:tcPr>
            <w:tcW w:w="1271" w:type="dxa"/>
          </w:tcPr>
          <w:p w14:paraId="42499FE5" w14:textId="77777777" w:rsidR="00DE4516" w:rsidRPr="00A46ADC" w:rsidRDefault="00DE4516" w:rsidP="00DE4516">
            <w:pPr>
              <w:pStyle w:val="TableBody"/>
              <w:autoSpaceDE w:val="0"/>
              <w:autoSpaceDN w:val="0"/>
              <w:adjustRightInd w:val="0"/>
              <w:jc w:val="both"/>
              <w:rPr>
                <w:sz w:val="15"/>
              </w:rPr>
            </w:pPr>
            <w:r w:rsidRPr="00A46ADC">
              <w:t>01061390</w:t>
            </w:r>
          </w:p>
        </w:tc>
        <w:tc>
          <w:tcPr>
            <w:tcW w:w="3547" w:type="dxa"/>
          </w:tcPr>
          <w:p w14:paraId="1D87F261" w14:textId="77777777" w:rsidR="00DE4516" w:rsidRPr="00A46ADC" w:rsidRDefault="00DE4516" w:rsidP="00DE4516">
            <w:pPr>
              <w:pStyle w:val="TableBody"/>
              <w:autoSpaceDE w:val="0"/>
              <w:autoSpaceDN w:val="0"/>
              <w:adjustRightInd w:val="0"/>
              <w:jc w:val="both"/>
              <w:rPr>
                <w:sz w:val="15"/>
              </w:rPr>
            </w:pPr>
            <w:r w:rsidRPr="00A46ADC">
              <w:t>Ministry of Agriculture, Fisheries and Water Resources</w:t>
            </w:r>
          </w:p>
        </w:tc>
        <w:tc>
          <w:tcPr>
            <w:tcW w:w="4198" w:type="dxa"/>
          </w:tcPr>
          <w:p w14:paraId="036A3315" w14:textId="77777777" w:rsidR="00DE4516" w:rsidRPr="00A46ADC" w:rsidRDefault="00DE4516" w:rsidP="00DE4516">
            <w:pPr>
              <w:pStyle w:val="TableBody"/>
              <w:autoSpaceDE w:val="0"/>
              <w:autoSpaceDN w:val="0"/>
              <w:adjustRightInd w:val="0"/>
              <w:jc w:val="both"/>
              <w:rPr>
                <w:sz w:val="15"/>
              </w:rPr>
            </w:pPr>
            <w:r w:rsidRPr="00A46ADC">
              <w:t>Other camels and other camelids</w:t>
            </w:r>
          </w:p>
        </w:tc>
      </w:tr>
      <w:tr w:rsidR="00DE4516" w:rsidRPr="00225231" w14:paraId="6C5E2FE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6BAD4D84" w14:textId="77777777" w:rsidR="00DE4516" w:rsidRPr="00A46ADC" w:rsidRDefault="00DE4516" w:rsidP="00DE4516">
            <w:pPr>
              <w:pStyle w:val="TableBody"/>
              <w:autoSpaceDE w:val="0"/>
              <w:autoSpaceDN w:val="0"/>
              <w:adjustRightInd w:val="0"/>
              <w:jc w:val="both"/>
              <w:rPr>
                <w:sz w:val="15"/>
              </w:rPr>
            </w:pPr>
            <w:r w:rsidRPr="00A46ADC">
              <w:t>13019060</w:t>
            </w:r>
          </w:p>
        </w:tc>
        <w:tc>
          <w:tcPr>
            <w:tcW w:w="3547" w:type="dxa"/>
          </w:tcPr>
          <w:p w14:paraId="7283A6A1" w14:textId="77777777" w:rsidR="00DE4516" w:rsidRPr="00A46ADC" w:rsidRDefault="00DE4516" w:rsidP="00DE4516">
            <w:pPr>
              <w:pStyle w:val="TableBody"/>
              <w:autoSpaceDE w:val="0"/>
              <w:autoSpaceDN w:val="0"/>
              <w:adjustRightInd w:val="0"/>
              <w:jc w:val="both"/>
              <w:rPr>
                <w:sz w:val="15"/>
              </w:rPr>
            </w:pPr>
            <w:r w:rsidRPr="00A46ADC">
              <w:t>Ministry of Agriculture, Fisheries and Water Resources</w:t>
            </w:r>
          </w:p>
        </w:tc>
        <w:tc>
          <w:tcPr>
            <w:tcW w:w="4198" w:type="dxa"/>
          </w:tcPr>
          <w:p w14:paraId="3F9C5B0F" w14:textId="77777777" w:rsidR="00DE4516" w:rsidRPr="00A46ADC" w:rsidRDefault="00DE4516" w:rsidP="00DE4516">
            <w:pPr>
              <w:pStyle w:val="TableBody"/>
              <w:autoSpaceDE w:val="0"/>
              <w:autoSpaceDN w:val="0"/>
              <w:adjustRightInd w:val="0"/>
              <w:jc w:val="both"/>
              <w:rPr>
                <w:sz w:val="15"/>
              </w:rPr>
            </w:pPr>
            <w:r w:rsidRPr="00A46ADC">
              <w:t>Olibanum</w:t>
            </w:r>
          </w:p>
        </w:tc>
      </w:tr>
      <w:tr w:rsidR="00DE4516" w:rsidRPr="00225231" w14:paraId="3DC1A89F" w14:textId="77777777" w:rsidTr="002C718D">
        <w:trPr>
          <w:cantSplit/>
        </w:trPr>
        <w:tc>
          <w:tcPr>
            <w:tcW w:w="1271" w:type="dxa"/>
          </w:tcPr>
          <w:p w14:paraId="7461A35C" w14:textId="77777777" w:rsidR="00DE4516" w:rsidRPr="00A46ADC" w:rsidRDefault="00DE4516" w:rsidP="00DE4516">
            <w:pPr>
              <w:pStyle w:val="TableBody"/>
              <w:autoSpaceDE w:val="0"/>
              <w:autoSpaceDN w:val="0"/>
              <w:adjustRightInd w:val="0"/>
              <w:jc w:val="both"/>
              <w:rPr>
                <w:sz w:val="15"/>
              </w:rPr>
            </w:pPr>
            <w:r w:rsidRPr="00A46ADC">
              <w:lastRenderedPageBreak/>
              <w:t>13019070</w:t>
            </w:r>
          </w:p>
        </w:tc>
        <w:tc>
          <w:tcPr>
            <w:tcW w:w="3547" w:type="dxa"/>
          </w:tcPr>
          <w:p w14:paraId="60C501D2" w14:textId="77777777" w:rsidR="00DE4516" w:rsidRPr="00A46ADC" w:rsidRDefault="00DE4516" w:rsidP="00DE4516">
            <w:pPr>
              <w:pStyle w:val="TableBody"/>
              <w:autoSpaceDE w:val="0"/>
              <w:autoSpaceDN w:val="0"/>
              <w:adjustRightInd w:val="0"/>
              <w:jc w:val="both"/>
              <w:rPr>
                <w:sz w:val="15"/>
              </w:rPr>
            </w:pPr>
            <w:r w:rsidRPr="00A46ADC">
              <w:t>Ministry of Agriculture, Fisheries and Water Resources</w:t>
            </w:r>
          </w:p>
        </w:tc>
        <w:tc>
          <w:tcPr>
            <w:tcW w:w="4198" w:type="dxa"/>
          </w:tcPr>
          <w:p w14:paraId="00E3C9CF" w14:textId="77777777" w:rsidR="00DE4516" w:rsidRPr="00A46ADC" w:rsidRDefault="00DE4516" w:rsidP="00DE4516">
            <w:pPr>
              <w:pStyle w:val="TableBody"/>
              <w:autoSpaceDE w:val="0"/>
              <w:autoSpaceDN w:val="0"/>
              <w:adjustRightInd w:val="0"/>
              <w:jc w:val="both"/>
              <w:rPr>
                <w:sz w:val="15"/>
              </w:rPr>
            </w:pPr>
            <w:r w:rsidRPr="00A46ADC">
              <w:t>Frankincense</w:t>
            </w:r>
          </w:p>
        </w:tc>
      </w:tr>
      <w:tr w:rsidR="00DE4516" w:rsidRPr="00225231" w14:paraId="6479A68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496EABDC" w14:textId="77777777" w:rsidR="00DE4516" w:rsidRPr="00A46ADC" w:rsidRDefault="00DE4516" w:rsidP="00DE4516">
            <w:pPr>
              <w:pStyle w:val="TableBody"/>
              <w:autoSpaceDE w:val="0"/>
              <w:autoSpaceDN w:val="0"/>
              <w:adjustRightInd w:val="0"/>
              <w:jc w:val="both"/>
              <w:rPr>
                <w:sz w:val="15"/>
              </w:rPr>
            </w:pPr>
            <w:r w:rsidRPr="00A46ADC">
              <w:t>13019080</w:t>
            </w:r>
          </w:p>
        </w:tc>
        <w:tc>
          <w:tcPr>
            <w:tcW w:w="3547" w:type="dxa"/>
          </w:tcPr>
          <w:p w14:paraId="35C402E5" w14:textId="77777777" w:rsidR="00DE4516" w:rsidRPr="00A46ADC" w:rsidRDefault="00DE4516" w:rsidP="00DE4516">
            <w:pPr>
              <w:pStyle w:val="TableBody"/>
              <w:autoSpaceDE w:val="0"/>
              <w:autoSpaceDN w:val="0"/>
              <w:adjustRightInd w:val="0"/>
              <w:jc w:val="both"/>
              <w:rPr>
                <w:sz w:val="15"/>
              </w:rPr>
            </w:pPr>
            <w:r w:rsidRPr="00A46ADC">
              <w:t>Ministry of Agriculture, Fisheries and Water Resources</w:t>
            </w:r>
          </w:p>
        </w:tc>
        <w:tc>
          <w:tcPr>
            <w:tcW w:w="4198" w:type="dxa"/>
          </w:tcPr>
          <w:p w14:paraId="3BAFDB37" w14:textId="77777777" w:rsidR="00DE4516" w:rsidRPr="00A46ADC" w:rsidRDefault="00DE4516" w:rsidP="00DE4516">
            <w:pPr>
              <w:pStyle w:val="TableBody"/>
              <w:autoSpaceDE w:val="0"/>
              <w:autoSpaceDN w:val="0"/>
              <w:adjustRightInd w:val="0"/>
              <w:jc w:val="both"/>
              <w:rPr>
                <w:sz w:val="15"/>
              </w:rPr>
            </w:pPr>
            <w:r w:rsidRPr="00A46ADC">
              <w:t>Storax</w:t>
            </w:r>
          </w:p>
        </w:tc>
      </w:tr>
      <w:tr w:rsidR="00DE4516" w:rsidRPr="00225231" w14:paraId="7280A0AA" w14:textId="77777777" w:rsidTr="002C718D">
        <w:trPr>
          <w:cantSplit/>
        </w:trPr>
        <w:tc>
          <w:tcPr>
            <w:tcW w:w="1271" w:type="dxa"/>
          </w:tcPr>
          <w:p w14:paraId="29F6187B" w14:textId="77777777" w:rsidR="00DE4516" w:rsidRPr="00A46ADC" w:rsidRDefault="00DE4516" w:rsidP="00DE4516">
            <w:pPr>
              <w:pStyle w:val="TableBody"/>
              <w:autoSpaceDE w:val="0"/>
              <w:autoSpaceDN w:val="0"/>
              <w:adjustRightInd w:val="0"/>
              <w:jc w:val="both"/>
              <w:rPr>
                <w:sz w:val="15"/>
              </w:rPr>
            </w:pPr>
            <w:r w:rsidRPr="00A46ADC">
              <w:t>28445000</w:t>
            </w:r>
          </w:p>
        </w:tc>
        <w:tc>
          <w:tcPr>
            <w:tcW w:w="3547" w:type="dxa"/>
          </w:tcPr>
          <w:p w14:paraId="6115EA31" w14:textId="77777777" w:rsidR="00DE4516" w:rsidRPr="00A46ADC" w:rsidRDefault="00DE4516" w:rsidP="00DE4516">
            <w:pPr>
              <w:pStyle w:val="TableBody"/>
              <w:autoSpaceDE w:val="0"/>
              <w:autoSpaceDN w:val="0"/>
              <w:adjustRightInd w:val="0"/>
              <w:jc w:val="both"/>
              <w:rPr>
                <w:sz w:val="15"/>
              </w:rPr>
            </w:pPr>
            <w:r w:rsidRPr="00A46ADC">
              <w:t>Environment Authority</w:t>
            </w:r>
          </w:p>
        </w:tc>
        <w:tc>
          <w:tcPr>
            <w:tcW w:w="4198" w:type="dxa"/>
          </w:tcPr>
          <w:p w14:paraId="20C64CE5" w14:textId="77777777" w:rsidR="00DE4516" w:rsidRPr="00A46ADC" w:rsidRDefault="00DE4516" w:rsidP="00DE4516">
            <w:pPr>
              <w:pStyle w:val="TableBody"/>
              <w:autoSpaceDE w:val="0"/>
              <w:autoSpaceDN w:val="0"/>
              <w:adjustRightInd w:val="0"/>
              <w:jc w:val="both"/>
              <w:rPr>
                <w:sz w:val="15"/>
              </w:rPr>
            </w:pPr>
            <w:r w:rsidRPr="00A46ADC">
              <w:t>Spent (irradiated) fuel elements (cartridges) of nuclear reactors</w:t>
            </w:r>
          </w:p>
        </w:tc>
      </w:tr>
      <w:tr w:rsidR="00DE4516" w:rsidRPr="00225231" w14:paraId="2B691B1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4BA091CB" w14:textId="77777777" w:rsidR="00DE4516" w:rsidRPr="00A46ADC" w:rsidRDefault="00DE4516" w:rsidP="00DE4516">
            <w:pPr>
              <w:pStyle w:val="TableBody"/>
              <w:autoSpaceDE w:val="0"/>
              <w:autoSpaceDN w:val="0"/>
              <w:adjustRightInd w:val="0"/>
              <w:jc w:val="both"/>
              <w:rPr>
                <w:sz w:val="15"/>
              </w:rPr>
            </w:pPr>
            <w:r w:rsidRPr="00A46ADC">
              <w:t>3303</w:t>
            </w:r>
          </w:p>
        </w:tc>
        <w:tc>
          <w:tcPr>
            <w:tcW w:w="3547" w:type="dxa"/>
          </w:tcPr>
          <w:p w14:paraId="6A05F248"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012CB6AF" w14:textId="77777777" w:rsidR="00DE4516" w:rsidRPr="00A46ADC" w:rsidRDefault="00DE4516" w:rsidP="00DE4516">
            <w:pPr>
              <w:pStyle w:val="TableBody"/>
              <w:autoSpaceDE w:val="0"/>
              <w:autoSpaceDN w:val="0"/>
              <w:adjustRightInd w:val="0"/>
              <w:jc w:val="both"/>
              <w:rPr>
                <w:sz w:val="15"/>
              </w:rPr>
            </w:pPr>
            <w:r w:rsidRPr="00A46ADC">
              <w:t>Perfume in the form of bombs</w:t>
            </w:r>
          </w:p>
        </w:tc>
      </w:tr>
      <w:tr w:rsidR="00DE4516" w:rsidRPr="00225231" w14:paraId="1E59664D" w14:textId="77777777" w:rsidTr="002C718D">
        <w:trPr>
          <w:cantSplit/>
        </w:trPr>
        <w:tc>
          <w:tcPr>
            <w:tcW w:w="1271" w:type="dxa"/>
          </w:tcPr>
          <w:p w14:paraId="7A40E7B7" w14:textId="77777777" w:rsidR="00DE4516" w:rsidRPr="00A46ADC" w:rsidRDefault="00DE4516" w:rsidP="00DE4516">
            <w:pPr>
              <w:pStyle w:val="TableBody"/>
              <w:autoSpaceDE w:val="0"/>
              <w:autoSpaceDN w:val="0"/>
              <w:adjustRightInd w:val="0"/>
              <w:jc w:val="both"/>
              <w:rPr>
                <w:sz w:val="15"/>
              </w:rPr>
            </w:pPr>
            <w:r w:rsidRPr="00A46ADC">
              <w:t>36041010</w:t>
            </w:r>
          </w:p>
        </w:tc>
        <w:tc>
          <w:tcPr>
            <w:tcW w:w="3547" w:type="dxa"/>
          </w:tcPr>
          <w:p w14:paraId="27066330" w14:textId="77777777" w:rsidR="00DE4516" w:rsidRPr="00A46ADC" w:rsidRDefault="00DE4516" w:rsidP="00DE4516">
            <w:pPr>
              <w:pStyle w:val="TableBody"/>
              <w:autoSpaceDE w:val="0"/>
              <w:autoSpaceDN w:val="0"/>
              <w:adjustRightInd w:val="0"/>
              <w:jc w:val="both"/>
              <w:rPr>
                <w:sz w:val="15"/>
              </w:rPr>
            </w:pPr>
            <w:r w:rsidRPr="00A46ADC">
              <w:t>Royal Oman Police</w:t>
            </w:r>
          </w:p>
        </w:tc>
        <w:tc>
          <w:tcPr>
            <w:tcW w:w="4198" w:type="dxa"/>
          </w:tcPr>
          <w:p w14:paraId="3B17E282" w14:textId="77777777" w:rsidR="00DE4516" w:rsidRPr="00A46ADC" w:rsidRDefault="00DE4516" w:rsidP="00DE4516">
            <w:pPr>
              <w:pStyle w:val="TableBody"/>
              <w:autoSpaceDE w:val="0"/>
              <w:autoSpaceDN w:val="0"/>
              <w:adjustRightInd w:val="0"/>
              <w:jc w:val="both"/>
              <w:rPr>
                <w:sz w:val="15"/>
              </w:rPr>
            </w:pPr>
            <w:r w:rsidRPr="00A46ADC">
              <w:t>Fireworks for children</w:t>
            </w:r>
          </w:p>
        </w:tc>
      </w:tr>
      <w:tr w:rsidR="00DE4516" w:rsidRPr="00225231" w14:paraId="5E25647A"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66B65FFA" w14:textId="77777777" w:rsidR="00DE4516" w:rsidRPr="00A46ADC" w:rsidRDefault="00DE4516" w:rsidP="00DE4516">
            <w:pPr>
              <w:pStyle w:val="TableBody"/>
              <w:autoSpaceDE w:val="0"/>
              <w:autoSpaceDN w:val="0"/>
              <w:adjustRightInd w:val="0"/>
              <w:jc w:val="both"/>
              <w:rPr>
                <w:sz w:val="15"/>
              </w:rPr>
            </w:pPr>
            <w:r w:rsidRPr="00A46ADC">
              <w:t>39199000</w:t>
            </w:r>
          </w:p>
        </w:tc>
        <w:tc>
          <w:tcPr>
            <w:tcW w:w="3547" w:type="dxa"/>
          </w:tcPr>
          <w:p w14:paraId="7D8CE903" w14:textId="77777777" w:rsidR="00DE4516" w:rsidRPr="00A46ADC" w:rsidRDefault="00DE4516" w:rsidP="00DE4516">
            <w:pPr>
              <w:pStyle w:val="TableBody"/>
              <w:autoSpaceDE w:val="0"/>
              <w:autoSpaceDN w:val="0"/>
              <w:adjustRightInd w:val="0"/>
              <w:jc w:val="both"/>
              <w:rPr>
                <w:sz w:val="15"/>
              </w:rPr>
            </w:pPr>
            <w:r w:rsidRPr="00A46ADC">
              <w:t>Royal Oman Police</w:t>
            </w:r>
          </w:p>
        </w:tc>
        <w:tc>
          <w:tcPr>
            <w:tcW w:w="4198" w:type="dxa"/>
          </w:tcPr>
          <w:p w14:paraId="21D40736" w14:textId="77777777" w:rsidR="00DE4516" w:rsidRPr="00A46ADC" w:rsidRDefault="00DE4516" w:rsidP="00DE4516">
            <w:pPr>
              <w:pStyle w:val="TableBody"/>
              <w:autoSpaceDE w:val="0"/>
              <w:autoSpaceDN w:val="0"/>
              <w:adjustRightInd w:val="0"/>
              <w:jc w:val="both"/>
              <w:rPr>
                <w:sz w:val="15"/>
              </w:rPr>
            </w:pPr>
            <w:r w:rsidRPr="00A46ADC">
              <w:t>Blackout materials and chips used to insulate vehicle glass from heat exceeding 30%</w:t>
            </w:r>
          </w:p>
        </w:tc>
      </w:tr>
      <w:tr w:rsidR="00DE4516" w:rsidRPr="00225231" w14:paraId="0A14C724" w14:textId="77777777" w:rsidTr="002C718D">
        <w:trPr>
          <w:cantSplit/>
        </w:trPr>
        <w:tc>
          <w:tcPr>
            <w:tcW w:w="1271" w:type="dxa"/>
          </w:tcPr>
          <w:p w14:paraId="5B8C8F8F" w14:textId="77777777" w:rsidR="00DE4516" w:rsidRPr="00A46ADC" w:rsidRDefault="00DE4516" w:rsidP="00DE4516">
            <w:pPr>
              <w:pStyle w:val="TableBody"/>
              <w:autoSpaceDE w:val="0"/>
              <w:autoSpaceDN w:val="0"/>
              <w:adjustRightInd w:val="0"/>
              <w:jc w:val="both"/>
              <w:rPr>
                <w:sz w:val="15"/>
              </w:rPr>
            </w:pPr>
            <w:r w:rsidRPr="00A46ADC">
              <w:t>39232990</w:t>
            </w:r>
          </w:p>
        </w:tc>
        <w:tc>
          <w:tcPr>
            <w:tcW w:w="3547" w:type="dxa"/>
          </w:tcPr>
          <w:p w14:paraId="3A6C48BA"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672ED0FF" w14:textId="77777777" w:rsidR="00DE4516" w:rsidRPr="00A46ADC" w:rsidRDefault="00DE4516" w:rsidP="00DE4516">
            <w:pPr>
              <w:pStyle w:val="TableBody"/>
              <w:autoSpaceDE w:val="0"/>
              <w:autoSpaceDN w:val="0"/>
              <w:adjustRightInd w:val="0"/>
              <w:jc w:val="both"/>
              <w:rPr>
                <w:sz w:val="15"/>
              </w:rPr>
            </w:pPr>
            <w:r w:rsidRPr="00A46ADC">
              <w:t>Plastic bags</w:t>
            </w:r>
          </w:p>
        </w:tc>
      </w:tr>
      <w:tr w:rsidR="00DE4516" w:rsidRPr="00225231" w14:paraId="402E82B4"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5A287742" w14:textId="77777777" w:rsidR="00DE4516" w:rsidRPr="00A46ADC" w:rsidRDefault="00DE4516" w:rsidP="00DE4516">
            <w:pPr>
              <w:pStyle w:val="TableBody"/>
              <w:autoSpaceDE w:val="0"/>
              <w:autoSpaceDN w:val="0"/>
              <w:adjustRightInd w:val="0"/>
              <w:jc w:val="both"/>
              <w:rPr>
                <w:sz w:val="15"/>
              </w:rPr>
            </w:pPr>
            <w:r w:rsidRPr="00A46ADC">
              <w:t>4012</w:t>
            </w:r>
          </w:p>
        </w:tc>
        <w:tc>
          <w:tcPr>
            <w:tcW w:w="3547" w:type="dxa"/>
          </w:tcPr>
          <w:p w14:paraId="5D740E3E"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4853569C" w14:textId="77777777" w:rsidR="00DE4516" w:rsidRPr="00A46ADC" w:rsidRDefault="00DE4516" w:rsidP="00DE4516">
            <w:pPr>
              <w:pStyle w:val="TableBody"/>
              <w:autoSpaceDE w:val="0"/>
              <w:autoSpaceDN w:val="0"/>
              <w:adjustRightInd w:val="0"/>
              <w:jc w:val="both"/>
              <w:rPr>
                <w:sz w:val="15"/>
              </w:rPr>
            </w:pPr>
            <w:r w:rsidRPr="00A46ADC">
              <w:t>Tires bearing the word "Majesty" (God)</w:t>
            </w:r>
          </w:p>
        </w:tc>
      </w:tr>
      <w:tr w:rsidR="00DE4516" w:rsidRPr="00225231" w14:paraId="5813D0D4" w14:textId="77777777" w:rsidTr="002C718D">
        <w:trPr>
          <w:cantSplit/>
        </w:trPr>
        <w:tc>
          <w:tcPr>
            <w:tcW w:w="1271" w:type="dxa"/>
          </w:tcPr>
          <w:p w14:paraId="5358F9AC" w14:textId="77777777" w:rsidR="00DE4516" w:rsidRPr="00A46ADC" w:rsidRDefault="00DE4516" w:rsidP="00DE4516">
            <w:pPr>
              <w:pStyle w:val="TableBody"/>
              <w:autoSpaceDE w:val="0"/>
              <w:autoSpaceDN w:val="0"/>
              <w:adjustRightInd w:val="0"/>
              <w:jc w:val="both"/>
              <w:rPr>
                <w:sz w:val="15"/>
              </w:rPr>
            </w:pPr>
            <w:r w:rsidRPr="00A46ADC">
              <w:t>56081100</w:t>
            </w:r>
          </w:p>
        </w:tc>
        <w:tc>
          <w:tcPr>
            <w:tcW w:w="3547" w:type="dxa"/>
          </w:tcPr>
          <w:p w14:paraId="176F23DD" w14:textId="77777777" w:rsidR="00DE4516" w:rsidRPr="00A46ADC" w:rsidRDefault="00DE4516" w:rsidP="00DE4516">
            <w:pPr>
              <w:pStyle w:val="TableBody"/>
              <w:autoSpaceDE w:val="0"/>
              <w:autoSpaceDN w:val="0"/>
              <w:adjustRightInd w:val="0"/>
              <w:jc w:val="both"/>
              <w:rPr>
                <w:sz w:val="15"/>
              </w:rPr>
            </w:pPr>
            <w:r w:rsidRPr="00A46ADC">
              <w:t>Ministry of Agriculture, Fisheries and Water Resources</w:t>
            </w:r>
          </w:p>
        </w:tc>
        <w:tc>
          <w:tcPr>
            <w:tcW w:w="4198" w:type="dxa"/>
          </w:tcPr>
          <w:p w14:paraId="1DBF89BD" w14:textId="77777777" w:rsidR="00DE4516" w:rsidRPr="00A46ADC" w:rsidRDefault="00DE4516" w:rsidP="00DE4516">
            <w:pPr>
              <w:pStyle w:val="TableBody"/>
              <w:autoSpaceDE w:val="0"/>
              <w:autoSpaceDN w:val="0"/>
              <w:adjustRightInd w:val="0"/>
              <w:jc w:val="both"/>
              <w:rPr>
                <w:sz w:val="15"/>
              </w:rPr>
            </w:pPr>
            <w:r w:rsidRPr="00A46ADC">
              <w:t xml:space="preserve">Scorpio-type fishing nets (from nylon containing three layers with openings of different sizes) and </w:t>
            </w:r>
            <w:proofErr w:type="spellStart"/>
            <w:r w:rsidRPr="00A46ADC">
              <w:t>manchol</w:t>
            </w:r>
            <w:proofErr w:type="spellEnd"/>
          </w:p>
        </w:tc>
      </w:tr>
      <w:tr w:rsidR="00DE4516" w:rsidRPr="00225231" w14:paraId="34D82B51"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0B3F4590" w14:textId="77777777" w:rsidR="00DE4516" w:rsidRPr="00A46ADC" w:rsidRDefault="00DE4516" w:rsidP="00DE4516">
            <w:pPr>
              <w:pStyle w:val="TableBody"/>
              <w:autoSpaceDE w:val="0"/>
              <w:autoSpaceDN w:val="0"/>
              <w:adjustRightInd w:val="0"/>
              <w:jc w:val="both"/>
              <w:rPr>
                <w:sz w:val="15"/>
              </w:rPr>
            </w:pPr>
            <w:r w:rsidRPr="00A46ADC">
              <w:t>Chapter 64</w:t>
            </w:r>
          </w:p>
        </w:tc>
        <w:tc>
          <w:tcPr>
            <w:tcW w:w="3547" w:type="dxa"/>
          </w:tcPr>
          <w:p w14:paraId="155C520C"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11C45AB2" w14:textId="77777777" w:rsidR="00DE4516" w:rsidRPr="00A46ADC" w:rsidRDefault="00DE4516" w:rsidP="00DE4516">
            <w:pPr>
              <w:pStyle w:val="TableBody"/>
              <w:autoSpaceDE w:val="0"/>
              <w:autoSpaceDN w:val="0"/>
              <w:adjustRightInd w:val="0"/>
              <w:jc w:val="both"/>
              <w:rPr>
                <w:sz w:val="15"/>
              </w:rPr>
            </w:pPr>
            <w:r w:rsidRPr="00A46ADC">
              <w:t>Shoes of Chinese origin bearing the Egyptian logo (Eagle)</w:t>
            </w:r>
          </w:p>
        </w:tc>
      </w:tr>
      <w:tr w:rsidR="00DE4516" w:rsidRPr="00225231" w14:paraId="1DA24613" w14:textId="77777777" w:rsidTr="002C718D">
        <w:trPr>
          <w:cantSplit/>
        </w:trPr>
        <w:tc>
          <w:tcPr>
            <w:tcW w:w="1271" w:type="dxa"/>
          </w:tcPr>
          <w:p w14:paraId="6402954B" w14:textId="77777777" w:rsidR="00DE4516" w:rsidRPr="00A46ADC" w:rsidRDefault="00DE4516" w:rsidP="00DE4516">
            <w:pPr>
              <w:pStyle w:val="TableBody"/>
              <w:autoSpaceDE w:val="0"/>
              <w:autoSpaceDN w:val="0"/>
              <w:adjustRightInd w:val="0"/>
              <w:jc w:val="both"/>
              <w:rPr>
                <w:sz w:val="15"/>
              </w:rPr>
            </w:pPr>
            <w:r w:rsidRPr="00A46ADC">
              <w:t>82119190</w:t>
            </w:r>
          </w:p>
        </w:tc>
        <w:tc>
          <w:tcPr>
            <w:tcW w:w="3547" w:type="dxa"/>
          </w:tcPr>
          <w:p w14:paraId="52265A67"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2466FA6F" w14:textId="77777777" w:rsidR="00DE4516" w:rsidRPr="00A46ADC" w:rsidRDefault="00DE4516" w:rsidP="00DE4516">
            <w:pPr>
              <w:pStyle w:val="TableBody"/>
              <w:autoSpaceDE w:val="0"/>
              <w:autoSpaceDN w:val="0"/>
              <w:adjustRightInd w:val="0"/>
              <w:jc w:val="both"/>
              <w:rPr>
                <w:sz w:val="15"/>
                <w:highlight w:val="yellow"/>
              </w:rPr>
            </w:pPr>
            <w:r w:rsidRPr="00A46ADC">
              <w:t>Pencil knives</w:t>
            </w:r>
          </w:p>
        </w:tc>
      </w:tr>
      <w:tr w:rsidR="00DE4516" w:rsidRPr="00225231" w14:paraId="1DB10902"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756700E5" w14:textId="77777777" w:rsidR="00DE4516" w:rsidRPr="00A46ADC" w:rsidRDefault="00DE4516" w:rsidP="00DE4516">
            <w:pPr>
              <w:pStyle w:val="TableBody"/>
              <w:autoSpaceDE w:val="0"/>
              <w:autoSpaceDN w:val="0"/>
              <w:adjustRightInd w:val="0"/>
              <w:jc w:val="both"/>
              <w:rPr>
                <w:sz w:val="15"/>
              </w:rPr>
            </w:pPr>
            <w:r w:rsidRPr="00A46ADC">
              <w:t>90132010</w:t>
            </w:r>
          </w:p>
        </w:tc>
        <w:tc>
          <w:tcPr>
            <w:tcW w:w="3547" w:type="dxa"/>
          </w:tcPr>
          <w:p w14:paraId="0B9A41AA"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37D5BC99" w14:textId="77777777" w:rsidR="00DE4516" w:rsidRPr="00A46ADC" w:rsidRDefault="00DE4516" w:rsidP="00DE4516">
            <w:pPr>
              <w:pStyle w:val="TableBody"/>
              <w:autoSpaceDE w:val="0"/>
              <w:autoSpaceDN w:val="0"/>
              <w:adjustRightInd w:val="0"/>
              <w:jc w:val="both"/>
              <w:rPr>
                <w:sz w:val="15"/>
              </w:rPr>
            </w:pPr>
            <w:r w:rsidRPr="00A46ADC">
              <w:t>..</w:t>
            </w:r>
          </w:p>
        </w:tc>
      </w:tr>
      <w:tr w:rsidR="00DE4516" w:rsidRPr="00225231" w14:paraId="46E0AD94" w14:textId="77777777" w:rsidTr="002C718D">
        <w:trPr>
          <w:cantSplit/>
        </w:trPr>
        <w:tc>
          <w:tcPr>
            <w:tcW w:w="1271" w:type="dxa"/>
          </w:tcPr>
          <w:p w14:paraId="2BB359E2" w14:textId="77777777" w:rsidR="00DE4516" w:rsidRPr="00A46ADC" w:rsidRDefault="00DE4516" w:rsidP="00DE4516">
            <w:pPr>
              <w:pStyle w:val="TableBody"/>
              <w:autoSpaceDE w:val="0"/>
              <w:autoSpaceDN w:val="0"/>
              <w:adjustRightInd w:val="0"/>
              <w:jc w:val="both"/>
              <w:rPr>
                <w:sz w:val="15"/>
              </w:rPr>
            </w:pPr>
            <w:r w:rsidRPr="00A46ADC">
              <w:t>95030020</w:t>
            </w:r>
          </w:p>
        </w:tc>
        <w:tc>
          <w:tcPr>
            <w:tcW w:w="3547" w:type="dxa"/>
          </w:tcPr>
          <w:p w14:paraId="1A8C09DF"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09637087" w14:textId="77777777" w:rsidR="00DE4516" w:rsidRPr="00A46ADC" w:rsidRDefault="00DE4516" w:rsidP="00DE4516">
            <w:pPr>
              <w:pStyle w:val="TableBody"/>
              <w:autoSpaceDE w:val="0"/>
              <w:autoSpaceDN w:val="0"/>
              <w:adjustRightInd w:val="0"/>
              <w:jc w:val="both"/>
              <w:rPr>
                <w:sz w:val="15"/>
              </w:rPr>
            </w:pPr>
            <w:r w:rsidRPr="00A46ADC">
              <w:t>Toys and dolls in any form that contain flammable liquids</w:t>
            </w:r>
          </w:p>
        </w:tc>
      </w:tr>
      <w:tr w:rsidR="00DE4516" w:rsidRPr="00225231" w14:paraId="1CE65573"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346FEBFF" w14:textId="77777777" w:rsidR="00DE4516" w:rsidRPr="00A46ADC" w:rsidRDefault="00DE4516" w:rsidP="00DE4516">
            <w:pPr>
              <w:pStyle w:val="TableBody"/>
              <w:autoSpaceDE w:val="0"/>
              <w:autoSpaceDN w:val="0"/>
              <w:adjustRightInd w:val="0"/>
              <w:jc w:val="both"/>
              <w:rPr>
                <w:sz w:val="15"/>
              </w:rPr>
            </w:pPr>
            <w:r w:rsidRPr="00A46ADC">
              <w:t>95030090</w:t>
            </w:r>
          </w:p>
        </w:tc>
        <w:tc>
          <w:tcPr>
            <w:tcW w:w="3547" w:type="dxa"/>
          </w:tcPr>
          <w:p w14:paraId="44BD5853"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2EF234F5" w14:textId="77777777" w:rsidR="00DE4516" w:rsidRPr="00A46ADC" w:rsidRDefault="00DE4516" w:rsidP="00DE4516">
            <w:pPr>
              <w:pStyle w:val="TableBody"/>
              <w:autoSpaceDE w:val="0"/>
              <w:autoSpaceDN w:val="0"/>
              <w:adjustRightInd w:val="0"/>
              <w:jc w:val="both"/>
              <w:rPr>
                <w:sz w:val="15"/>
              </w:rPr>
            </w:pPr>
            <w:r w:rsidRPr="00A46ADC">
              <w:t>..</w:t>
            </w:r>
          </w:p>
        </w:tc>
      </w:tr>
      <w:tr w:rsidR="00DE4516" w:rsidRPr="00225231" w14:paraId="5F3C1B6E" w14:textId="77777777" w:rsidTr="002C718D">
        <w:trPr>
          <w:cantSplit/>
        </w:trPr>
        <w:tc>
          <w:tcPr>
            <w:tcW w:w="1271" w:type="dxa"/>
          </w:tcPr>
          <w:p w14:paraId="4B68EA54" w14:textId="77777777" w:rsidR="00DE4516" w:rsidRPr="00A46ADC" w:rsidRDefault="00DE4516" w:rsidP="00DE4516">
            <w:pPr>
              <w:pStyle w:val="TableBody"/>
              <w:autoSpaceDE w:val="0"/>
              <w:autoSpaceDN w:val="0"/>
              <w:adjustRightInd w:val="0"/>
              <w:jc w:val="both"/>
              <w:rPr>
                <w:sz w:val="15"/>
              </w:rPr>
            </w:pPr>
            <w:r w:rsidRPr="00A46ADC">
              <w:t>96084000</w:t>
            </w:r>
          </w:p>
        </w:tc>
        <w:tc>
          <w:tcPr>
            <w:tcW w:w="3547" w:type="dxa"/>
          </w:tcPr>
          <w:p w14:paraId="12F27248"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7A16FEDB" w14:textId="77777777" w:rsidR="00DE4516" w:rsidRPr="00A46ADC" w:rsidRDefault="00DE4516" w:rsidP="00DE4516">
            <w:pPr>
              <w:pStyle w:val="TableBody"/>
              <w:autoSpaceDE w:val="0"/>
              <w:autoSpaceDN w:val="0"/>
              <w:adjustRightInd w:val="0"/>
              <w:jc w:val="both"/>
              <w:rPr>
                <w:sz w:val="15"/>
              </w:rPr>
            </w:pPr>
            <w:r w:rsidRPr="00A46ADC">
              <w:t>..</w:t>
            </w:r>
          </w:p>
        </w:tc>
      </w:tr>
      <w:tr w:rsidR="00DE4516" w:rsidRPr="00225231" w14:paraId="749C62FA"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1FF53F2D" w14:textId="77777777" w:rsidR="00DE4516" w:rsidRPr="00A46ADC" w:rsidRDefault="00DE4516" w:rsidP="00DE4516">
            <w:pPr>
              <w:pStyle w:val="TableBody"/>
              <w:autoSpaceDE w:val="0"/>
              <w:autoSpaceDN w:val="0"/>
              <w:adjustRightInd w:val="0"/>
              <w:jc w:val="both"/>
              <w:rPr>
                <w:sz w:val="15"/>
              </w:rPr>
            </w:pPr>
            <w:r w:rsidRPr="00A46ADC">
              <w:t>96091000</w:t>
            </w:r>
          </w:p>
        </w:tc>
        <w:tc>
          <w:tcPr>
            <w:tcW w:w="3547" w:type="dxa"/>
          </w:tcPr>
          <w:p w14:paraId="1E8570A0"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003E6459" w14:textId="77777777" w:rsidR="00DE4516" w:rsidRPr="00A46ADC" w:rsidRDefault="00DE4516" w:rsidP="00DE4516">
            <w:pPr>
              <w:pStyle w:val="TableBody"/>
              <w:autoSpaceDE w:val="0"/>
              <w:autoSpaceDN w:val="0"/>
              <w:adjustRightInd w:val="0"/>
              <w:jc w:val="both"/>
              <w:rPr>
                <w:sz w:val="15"/>
              </w:rPr>
            </w:pPr>
            <w:r w:rsidRPr="00A46ADC">
              <w:t>..</w:t>
            </w:r>
          </w:p>
        </w:tc>
      </w:tr>
      <w:tr w:rsidR="00DE4516" w:rsidRPr="00225231" w14:paraId="338B0F0E" w14:textId="77777777" w:rsidTr="002C718D">
        <w:trPr>
          <w:cantSplit/>
        </w:trPr>
        <w:tc>
          <w:tcPr>
            <w:tcW w:w="1271" w:type="dxa"/>
          </w:tcPr>
          <w:p w14:paraId="2E8DF6F3" w14:textId="77777777" w:rsidR="00DE4516" w:rsidRPr="00A46ADC" w:rsidRDefault="00DE4516" w:rsidP="00DE4516">
            <w:pPr>
              <w:pStyle w:val="TableBody"/>
              <w:autoSpaceDE w:val="0"/>
              <w:autoSpaceDN w:val="0"/>
              <w:adjustRightInd w:val="0"/>
              <w:jc w:val="both"/>
              <w:rPr>
                <w:sz w:val="15"/>
              </w:rPr>
            </w:pPr>
            <w:r w:rsidRPr="00A46ADC">
              <w:t>96138000</w:t>
            </w:r>
          </w:p>
        </w:tc>
        <w:tc>
          <w:tcPr>
            <w:tcW w:w="3547" w:type="dxa"/>
          </w:tcPr>
          <w:p w14:paraId="1747A052"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31DE2DAD" w14:textId="77777777" w:rsidR="00DE4516" w:rsidRPr="00A46ADC" w:rsidRDefault="00DE4516" w:rsidP="00DE4516">
            <w:pPr>
              <w:pStyle w:val="TableBody"/>
              <w:autoSpaceDE w:val="0"/>
              <w:autoSpaceDN w:val="0"/>
              <w:adjustRightInd w:val="0"/>
              <w:jc w:val="both"/>
              <w:rPr>
                <w:sz w:val="15"/>
              </w:rPr>
            </w:pPr>
            <w:r w:rsidRPr="00A46ADC">
              <w:t>..</w:t>
            </w:r>
          </w:p>
        </w:tc>
      </w:tr>
      <w:tr w:rsidR="00DE4516" w:rsidRPr="00225231" w14:paraId="3D31196A"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78CD5151" w14:textId="77777777" w:rsidR="00DE4516" w:rsidRPr="00A46ADC" w:rsidRDefault="00DE4516" w:rsidP="00DE4516">
            <w:pPr>
              <w:pStyle w:val="TableBody"/>
              <w:autoSpaceDE w:val="0"/>
              <w:autoSpaceDN w:val="0"/>
              <w:adjustRightInd w:val="0"/>
              <w:jc w:val="both"/>
              <w:rPr>
                <w:sz w:val="15"/>
              </w:rPr>
            </w:pPr>
            <w:r w:rsidRPr="00A46ADC">
              <w:t>8703</w:t>
            </w:r>
          </w:p>
        </w:tc>
        <w:tc>
          <w:tcPr>
            <w:tcW w:w="3547" w:type="dxa"/>
          </w:tcPr>
          <w:p w14:paraId="77B58A55"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0A88CD1A" w14:textId="77777777" w:rsidR="00DE4516" w:rsidRPr="00A46ADC" w:rsidRDefault="00DE4516" w:rsidP="00DE4516">
            <w:pPr>
              <w:pStyle w:val="TableBody"/>
              <w:autoSpaceDE w:val="0"/>
              <w:autoSpaceDN w:val="0"/>
              <w:adjustRightInd w:val="0"/>
              <w:jc w:val="both"/>
              <w:rPr>
                <w:rFonts w:cs="Arial"/>
                <w:sz w:val="15"/>
                <w:szCs w:val="32"/>
              </w:rPr>
            </w:pPr>
            <w:r w:rsidRPr="00A46ADC">
              <w:t>Special personal vehicles older than 7 years</w:t>
            </w:r>
          </w:p>
        </w:tc>
      </w:tr>
      <w:tr w:rsidR="00DE4516" w:rsidRPr="00225231" w14:paraId="3DEE0545" w14:textId="77777777" w:rsidTr="002C718D">
        <w:trPr>
          <w:cantSplit/>
        </w:trPr>
        <w:tc>
          <w:tcPr>
            <w:tcW w:w="1271" w:type="dxa"/>
          </w:tcPr>
          <w:p w14:paraId="1FA8CF7A" w14:textId="77777777" w:rsidR="00DE4516" w:rsidRPr="00A46ADC" w:rsidRDefault="00DE4516" w:rsidP="00DE4516">
            <w:pPr>
              <w:pStyle w:val="TableBody"/>
              <w:autoSpaceDE w:val="0"/>
              <w:autoSpaceDN w:val="0"/>
              <w:adjustRightInd w:val="0"/>
              <w:jc w:val="both"/>
              <w:rPr>
                <w:sz w:val="15"/>
              </w:rPr>
            </w:pPr>
            <w:r w:rsidRPr="00A46ADC">
              <w:t>8701, 8702, 8704, 8705</w:t>
            </w:r>
          </w:p>
        </w:tc>
        <w:tc>
          <w:tcPr>
            <w:tcW w:w="3547" w:type="dxa"/>
          </w:tcPr>
          <w:p w14:paraId="2A2C383D"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7D76497C" w14:textId="77777777" w:rsidR="00DE4516" w:rsidRPr="00A46ADC" w:rsidRDefault="00DE4516" w:rsidP="00DE4516">
            <w:pPr>
              <w:pStyle w:val="TableBody"/>
              <w:autoSpaceDE w:val="0"/>
              <w:autoSpaceDN w:val="0"/>
              <w:adjustRightInd w:val="0"/>
              <w:jc w:val="both"/>
              <w:rPr>
                <w:rFonts w:cs="Arial"/>
                <w:sz w:val="15"/>
                <w:szCs w:val="32"/>
              </w:rPr>
            </w:pPr>
            <w:r w:rsidRPr="00A46ADC">
              <w:t>Trucks and buses older than 10 years</w:t>
            </w:r>
          </w:p>
        </w:tc>
      </w:tr>
      <w:tr w:rsidR="00DE4516" w:rsidRPr="00225231" w14:paraId="27ADFDA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6F4CFF35" w14:textId="77777777" w:rsidR="00DE4516" w:rsidRPr="00A46ADC" w:rsidRDefault="00DE4516" w:rsidP="00DE4516">
            <w:pPr>
              <w:pStyle w:val="TableBody"/>
              <w:autoSpaceDE w:val="0"/>
              <w:autoSpaceDN w:val="0"/>
              <w:adjustRightInd w:val="0"/>
              <w:jc w:val="both"/>
              <w:rPr>
                <w:sz w:val="15"/>
              </w:rPr>
            </w:pPr>
            <w:r w:rsidRPr="00A46ADC">
              <w:t>Chapter 84 Multiple items</w:t>
            </w:r>
          </w:p>
        </w:tc>
        <w:tc>
          <w:tcPr>
            <w:tcW w:w="3547" w:type="dxa"/>
          </w:tcPr>
          <w:p w14:paraId="77E7779B"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05E4701F" w14:textId="77777777" w:rsidR="00DE4516" w:rsidRPr="00A46ADC" w:rsidRDefault="00DE4516" w:rsidP="00DE4516">
            <w:pPr>
              <w:pStyle w:val="TableBody"/>
              <w:autoSpaceDE w:val="0"/>
              <w:autoSpaceDN w:val="0"/>
              <w:adjustRightInd w:val="0"/>
              <w:jc w:val="both"/>
              <w:rPr>
                <w:rFonts w:cs="Arial"/>
                <w:sz w:val="15"/>
                <w:szCs w:val="32"/>
              </w:rPr>
            </w:pPr>
            <w:r w:rsidRPr="00A46ADC">
              <w:t>..</w:t>
            </w:r>
          </w:p>
        </w:tc>
      </w:tr>
      <w:tr w:rsidR="00DE4516" w:rsidRPr="00225231" w14:paraId="6410F963" w14:textId="77777777" w:rsidTr="002C718D">
        <w:trPr>
          <w:cantSplit/>
        </w:trPr>
        <w:tc>
          <w:tcPr>
            <w:tcW w:w="1271" w:type="dxa"/>
          </w:tcPr>
          <w:p w14:paraId="58E89F79" w14:textId="77777777" w:rsidR="00DE4516" w:rsidRPr="00A46ADC" w:rsidRDefault="00DE4516" w:rsidP="00DE4516">
            <w:pPr>
              <w:pStyle w:val="TableBody"/>
              <w:autoSpaceDE w:val="0"/>
              <w:autoSpaceDN w:val="0"/>
              <w:adjustRightInd w:val="0"/>
              <w:jc w:val="both"/>
              <w:rPr>
                <w:sz w:val="15"/>
              </w:rPr>
            </w:pPr>
            <w:r w:rsidRPr="00A46ADC">
              <w:t>Chapter 95</w:t>
            </w:r>
          </w:p>
        </w:tc>
        <w:tc>
          <w:tcPr>
            <w:tcW w:w="3547" w:type="dxa"/>
          </w:tcPr>
          <w:p w14:paraId="6F3ABA73"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3B0FB148" w14:textId="77777777" w:rsidR="00DE4516" w:rsidRPr="00A46ADC" w:rsidRDefault="00DE4516" w:rsidP="00DE4516">
            <w:pPr>
              <w:pStyle w:val="TableBody"/>
              <w:autoSpaceDE w:val="0"/>
              <w:autoSpaceDN w:val="0"/>
              <w:adjustRightInd w:val="0"/>
              <w:jc w:val="both"/>
              <w:rPr>
                <w:rFonts w:cs="Arial"/>
                <w:sz w:val="15"/>
                <w:szCs w:val="32"/>
              </w:rPr>
            </w:pPr>
            <w:r w:rsidRPr="00A46ADC">
              <w:t>..</w:t>
            </w:r>
          </w:p>
        </w:tc>
      </w:tr>
      <w:tr w:rsidR="00DE4516" w:rsidRPr="00225231" w14:paraId="10E0C12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7A3C29D2" w14:textId="77777777" w:rsidR="00DE4516" w:rsidRPr="00A46ADC" w:rsidRDefault="00DE4516" w:rsidP="00DE4516">
            <w:pPr>
              <w:pStyle w:val="TableBody"/>
              <w:autoSpaceDE w:val="0"/>
              <w:autoSpaceDN w:val="0"/>
              <w:adjustRightInd w:val="0"/>
              <w:jc w:val="both"/>
              <w:rPr>
                <w:sz w:val="15"/>
              </w:rPr>
            </w:pPr>
            <w:r w:rsidRPr="00A46ADC">
              <w:t>Multiple items</w:t>
            </w:r>
          </w:p>
        </w:tc>
        <w:tc>
          <w:tcPr>
            <w:tcW w:w="3547" w:type="dxa"/>
          </w:tcPr>
          <w:p w14:paraId="711D5BD7"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0E593F5E" w14:textId="77777777" w:rsidR="00DE4516" w:rsidRPr="00A46ADC" w:rsidRDefault="00DE4516" w:rsidP="00DE4516">
            <w:pPr>
              <w:pStyle w:val="TableBody"/>
              <w:autoSpaceDE w:val="0"/>
              <w:autoSpaceDN w:val="0"/>
              <w:adjustRightInd w:val="0"/>
              <w:jc w:val="both"/>
              <w:rPr>
                <w:rFonts w:cs="Arial"/>
                <w:sz w:val="15"/>
                <w:szCs w:val="32"/>
              </w:rPr>
            </w:pPr>
            <w:r w:rsidRPr="00A46ADC">
              <w:t>Right-hand drive vehicles or vehicles transferred from right-hand drive to the left</w:t>
            </w:r>
          </w:p>
        </w:tc>
      </w:tr>
      <w:tr w:rsidR="00DE4516" w:rsidRPr="00225231" w14:paraId="495C206D" w14:textId="77777777" w:rsidTr="002C718D">
        <w:trPr>
          <w:cantSplit/>
        </w:trPr>
        <w:tc>
          <w:tcPr>
            <w:tcW w:w="1271" w:type="dxa"/>
          </w:tcPr>
          <w:p w14:paraId="195EE45D" w14:textId="77777777" w:rsidR="00DE4516" w:rsidRPr="00A46ADC" w:rsidRDefault="00DE4516" w:rsidP="00DE4516">
            <w:pPr>
              <w:pStyle w:val="TableBody"/>
              <w:autoSpaceDE w:val="0"/>
              <w:autoSpaceDN w:val="0"/>
              <w:adjustRightInd w:val="0"/>
              <w:jc w:val="both"/>
              <w:rPr>
                <w:sz w:val="15"/>
              </w:rPr>
            </w:pPr>
            <w:r w:rsidRPr="00A46ADC">
              <w:t>9608</w:t>
            </w:r>
          </w:p>
        </w:tc>
        <w:tc>
          <w:tcPr>
            <w:tcW w:w="3547" w:type="dxa"/>
          </w:tcPr>
          <w:p w14:paraId="686B8C8A" w14:textId="77777777" w:rsidR="00DE4516" w:rsidRPr="00A46ADC" w:rsidRDefault="00DE4516" w:rsidP="00DE4516">
            <w:pPr>
              <w:pStyle w:val="TableBody"/>
              <w:autoSpaceDE w:val="0"/>
              <w:autoSpaceDN w:val="0"/>
              <w:adjustRightInd w:val="0"/>
              <w:jc w:val="both"/>
              <w:rPr>
                <w:sz w:val="15"/>
              </w:rPr>
            </w:pPr>
            <w:r w:rsidRPr="00A46ADC">
              <w:t>Central Bank of Oman</w:t>
            </w:r>
          </w:p>
        </w:tc>
        <w:tc>
          <w:tcPr>
            <w:tcW w:w="4198" w:type="dxa"/>
          </w:tcPr>
          <w:p w14:paraId="00FB724A" w14:textId="77777777" w:rsidR="00DE4516" w:rsidRPr="00A46ADC" w:rsidRDefault="00DE4516" w:rsidP="00DE4516">
            <w:pPr>
              <w:pStyle w:val="TableBody"/>
              <w:autoSpaceDE w:val="0"/>
              <w:autoSpaceDN w:val="0"/>
              <w:adjustRightInd w:val="0"/>
              <w:jc w:val="both"/>
              <w:rPr>
                <w:rFonts w:cs="Arial"/>
                <w:sz w:val="15"/>
                <w:szCs w:val="32"/>
              </w:rPr>
            </w:pPr>
            <w:r w:rsidRPr="00A46ADC">
              <w:t>Magic ink pens</w:t>
            </w:r>
          </w:p>
        </w:tc>
      </w:tr>
      <w:tr w:rsidR="00DE4516" w:rsidRPr="00225231" w14:paraId="7C2192EC"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6E54E17E" w14:textId="77777777" w:rsidR="00DE4516" w:rsidRPr="00A46ADC" w:rsidRDefault="00DE4516" w:rsidP="00DE4516">
            <w:pPr>
              <w:pStyle w:val="TableBody"/>
              <w:autoSpaceDE w:val="0"/>
              <w:autoSpaceDN w:val="0"/>
              <w:adjustRightInd w:val="0"/>
              <w:jc w:val="both"/>
              <w:rPr>
                <w:sz w:val="15"/>
              </w:rPr>
            </w:pPr>
            <w:r w:rsidRPr="00A46ADC">
              <w:t>Multiple items</w:t>
            </w:r>
          </w:p>
        </w:tc>
        <w:tc>
          <w:tcPr>
            <w:tcW w:w="3547" w:type="dxa"/>
          </w:tcPr>
          <w:p w14:paraId="495B99A8"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5A2297AC" w14:textId="77777777" w:rsidR="00DE4516" w:rsidRPr="00A46ADC" w:rsidRDefault="00DE4516" w:rsidP="00DE4516">
            <w:pPr>
              <w:pStyle w:val="TableBody"/>
              <w:autoSpaceDE w:val="0"/>
              <w:autoSpaceDN w:val="0"/>
              <w:adjustRightInd w:val="0"/>
              <w:jc w:val="both"/>
              <w:rPr>
                <w:rFonts w:cs="Arial"/>
                <w:sz w:val="15"/>
                <w:szCs w:val="32"/>
              </w:rPr>
            </w:pPr>
            <w:r w:rsidRPr="00A46ADC">
              <w:t>Foreign goods and products that are not recorded with the country of manufacture</w:t>
            </w:r>
          </w:p>
        </w:tc>
      </w:tr>
      <w:tr w:rsidR="00DE4516" w:rsidRPr="00225231" w14:paraId="6257CD95" w14:textId="77777777" w:rsidTr="002C718D">
        <w:trPr>
          <w:cantSplit/>
        </w:trPr>
        <w:tc>
          <w:tcPr>
            <w:tcW w:w="1271" w:type="dxa"/>
          </w:tcPr>
          <w:p w14:paraId="2F0E6817" w14:textId="77777777" w:rsidR="00DE4516" w:rsidRPr="00A46ADC" w:rsidRDefault="00DE4516" w:rsidP="00DE4516">
            <w:pPr>
              <w:pStyle w:val="TableBody"/>
              <w:autoSpaceDE w:val="0"/>
              <w:autoSpaceDN w:val="0"/>
              <w:adjustRightInd w:val="0"/>
              <w:jc w:val="both"/>
              <w:rPr>
                <w:sz w:val="15"/>
              </w:rPr>
            </w:pPr>
            <w:r w:rsidRPr="00A46ADC">
              <w:lastRenderedPageBreak/>
              <w:t>Multiple items</w:t>
            </w:r>
          </w:p>
        </w:tc>
        <w:tc>
          <w:tcPr>
            <w:tcW w:w="3547" w:type="dxa"/>
          </w:tcPr>
          <w:p w14:paraId="56BBF3AD"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03800BF8" w14:textId="77777777" w:rsidR="00DE4516" w:rsidRPr="00A46ADC" w:rsidRDefault="00DE4516" w:rsidP="00DE4516">
            <w:pPr>
              <w:pStyle w:val="TableBody"/>
              <w:autoSpaceDE w:val="0"/>
              <w:autoSpaceDN w:val="0"/>
              <w:adjustRightInd w:val="0"/>
              <w:jc w:val="both"/>
              <w:rPr>
                <w:rFonts w:cs="Arial"/>
                <w:sz w:val="15"/>
                <w:szCs w:val="32"/>
              </w:rPr>
            </w:pPr>
            <w:r w:rsidRPr="00A46ADC">
              <w:t>Goods with advertisement promoting cigarettes and alcoholic beverages</w:t>
            </w:r>
          </w:p>
        </w:tc>
      </w:tr>
      <w:tr w:rsidR="00DE4516" w:rsidRPr="00225231" w14:paraId="2165DE1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5D76B893" w14:textId="77777777" w:rsidR="00DE4516" w:rsidRPr="00A46ADC" w:rsidRDefault="00DE4516" w:rsidP="00DE4516">
            <w:pPr>
              <w:pStyle w:val="TableBody"/>
              <w:autoSpaceDE w:val="0"/>
              <w:autoSpaceDN w:val="0"/>
              <w:adjustRightInd w:val="0"/>
              <w:jc w:val="both"/>
              <w:rPr>
                <w:sz w:val="15"/>
              </w:rPr>
            </w:pPr>
            <w:r w:rsidRPr="00A46ADC">
              <w:t>Multiple items</w:t>
            </w:r>
          </w:p>
        </w:tc>
        <w:tc>
          <w:tcPr>
            <w:tcW w:w="3547" w:type="dxa"/>
          </w:tcPr>
          <w:p w14:paraId="2E93CB60"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76EDF1E5" w14:textId="77777777" w:rsidR="00DE4516" w:rsidRPr="00A46ADC" w:rsidRDefault="00DE4516" w:rsidP="00DE4516">
            <w:pPr>
              <w:pStyle w:val="TableBody"/>
              <w:autoSpaceDE w:val="0"/>
              <w:autoSpaceDN w:val="0"/>
              <w:adjustRightInd w:val="0"/>
              <w:jc w:val="both"/>
              <w:rPr>
                <w:rFonts w:cs="Arial"/>
                <w:sz w:val="15"/>
                <w:szCs w:val="32"/>
              </w:rPr>
            </w:pPr>
            <w:r w:rsidRPr="00A46ADC">
              <w:t xml:space="preserve">Clothes that have pictures of suspicious personalities and celebrities </w:t>
            </w:r>
            <w:proofErr w:type="gramStart"/>
            <w:r w:rsidRPr="00A46ADC">
              <w:t>and also</w:t>
            </w:r>
            <w:proofErr w:type="gramEnd"/>
            <w:r w:rsidRPr="00A46ADC">
              <w:t xml:space="preserve"> clothes that have phrases and words</w:t>
            </w:r>
          </w:p>
        </w:tc>
      </w:tr>
      <w:tr w:rsidR="00DE4516" w:rsidRPr="00225231" w14:paraId="40E274F5" w14:textId="77777777" w:rsidTr="002C718D">
        <w:trPr>
          <w:cantSplit/>
        </w:trPr>
        <w:tc>
          <w:tcPr>
            <w:tcW w:w="1271" w:type="dxa"/>
          </w:tcPr>
          <w:p w14:paraId="5C061AF4" w14:textId="77777777" w:rsidR="00DE4516" w:rsidRPr="00A46ADC" w:rsidRDefault="00DE4516" w:rsidP="00DE4516">
            <w:pPr>
              <w:pStyle w:val="TableBody"/>
              <w:autoSpaceDE w:val="0"/>
              <w:autoSpaceDN w:val="0"/>
              <w:adjustRightInd w:val="0"/>
              <w:jc w:val="both"/>
              <w:rPr>
                <w:sz w:val="15"/>
              </w:rPr>
            </w:pPr>
            <w:r w:rsidRPr="00A46ADC">
              <w:t>Multiple items</w:t>
            </w:r>
          </w:p>
        </w:tc>
        <w:tc>
          <w:tcPr>
            <w:tcW w:w="3547" w:type="dxa"/>
          </w:tcPr>
          <w:p w14:paraId="7144F37B"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7D3DA4A6" w14:textId="77777777" w:rsidR="00DE4516" w:rsidRPr="00A46ADC" w:rsidRDefault="00DE4516" w:rsidP="00DE4516">
            <w:pPr>
              <w:pStyle w:val="TableBody"/>
              <w:autoSpaceDE w:val="0"/>
              <w:autoSpaceDN w:val="0"/>
              <w:adjustRightInd w:val="0"/>
              <w:jc w:val="both"/>
              <w:rPr>
                <w:rFonts w:cs="Arial"/>
                <w:sz w:val="15"/>
                <w:szCs w:val="32"/>
              </w:rPr>
            </w:pPr>
            <w:r w:rsidRPr="00A46ADC">
              <w:t>Goods and products bearing the dagger and crown logo</w:t>
            </w:r>
          </w:p>
        </w:tc>
      </w:tr>
      <w:tr w:rsidR="00DE4516" w:rsidRPr="00225231" w14:paraId="6267173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1271" w:type="dxa"/>
          </w:tcPr>
          <w:p w14:paraId="4AADB032" w14:textId="77777777" w:rsidR="00DE4516" w:rsidRPr="00A46ADC" w:rsidRDefault="00DE4516" w:rsidP="00DE4516">
            <w:pPr>
              <w:pStyle w:val="TableBody"/>
              <w:autoSpaceDE w:val="0"/>
              <w:autoSpaceDN w:val="0"/>
              <w:adjustRightInd w:val="0"/>
              <w:jc w:val="both"/>
              <w:rPr>
                <w:sz w:val="15"/>
              </w:rPr>
            </w:pPr>
            <w:r w:rsidRPr="00A46ADC">
              <w:t>Multiple items</w:t>
            </w:r>
          </w:p>
        </w:tc>
        <w:tc>
          <w:tcPr>
            <w:tcW w:w="3547" w:type="dxa"/>
          </w:tcPr>
          <w:p w14:paraId="044D5C2A"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Pr>
          <w:p w14:paraId="26D55D40" w14:textId="77777777" w:rsidR="00DE4516" w:rsidRPr="00A46ADC" w:rsidRDefault="00DE4516" w:rsidP="00DE4516">
            <w:pPr>
              <w:pStyle w:val="TableBody"/>
              <w:autoSpaceDE w:val="0"/>
              <w:autoSpaceDN w:val="0"/>
              <w:adjustRightInd w:val="0"/>
              <w:jc w:val="both"/>
              <w:rPr>
                <w:rFonts w:cs="Arial"/>
                <w:sz w:val="15"/>
                <w:szCs w:val="32"/>
              </w:rPr>
            </w:pPr>
            <w:r w:rsidRPr="00A46ADC">
              <w:t>Kinds that have international club logos</w:t>
            </w:r>
          </w:p>
        </w:tc>
      </w:tr>
      <w:tr w:rsidR="00DE4516" w:rsidRPr="00225231" w14:paraId="6B32C9E4" w14:textId="77777777" w:rsidTr="002C718D">
        <w:trPr>
          <w:cantSplit/>
        </w:trPr>
        <w:tc>
          <w:tcPr>
            <w:tcW w:w="1271" w:type="dxa"/>
            <w:tcBorders>
              <w:bottom w:val="single" w:sz="4" w:space="0" w:color="auto"/>
            </w:tcBorders>
          </w:tcPr>
          <w:p w14:paraId="27F3B22A" w14:textId="77777777" w:rsidR="00DE4516" w:rsidRPr="00A46ADC" w:rsidRDefault="00DE4516" w:rsidP="00DE4516">
            <w:pPr>
              <w:pStyle w:val="TableBody"/>
              <w:autoSpaceDE w:val="0"/>
              <w:autoSpaceDN w:val="0"/>
              <w:adjustRightInd w:val="0"/>
              <w:jc w:val="both"/>
              <w:rPr>
                <w:sz w:val="15"/>
              </w:rPr>
            </w:pPr>
            <w:r w:rsidRPr="00A46ADC">
              <w:t>Multiple items</w:t>
            </w:r>
          </w:p>
        </w:tc>
        <w:tc>
          <w:tcPr>
            <w:tcW w:w="3547" w:type="dxa"/>
            <w:tcBorders>
              <w:bottom w:val="single" w:sz="4" w:space="0" w:color="auto"/>
            </w:tcBorders>
          </w:tcPr>
          <w:p w14:paraId="4B06CCC6" w14:textId="77777777" w:rsidR="00DE4516" w:rsidRPr="00A46ADC" w:rsidRDefault="00DE4516" w:rsidP="00DE4516">
            <w:pPr>
              <w:pStyle w:val="TableBody"/>
              <w:autoSpaceDE w:val="0"/>
              <w:autoSpaceDN w:val="0"/>
              <w:adjustRightInd w:val="0"/>
              <w:jc w:val="both"/>
              <w:rPr>
                <w:sz w:val="15"/>
              </w:rPr>
            </w:pPr>
            <w:r w:rsidRPr="00A46ADC">
              <w:t>MOCIIP</w:t>
            </w:r>
          </w:p>
        </w:tc>
        <w:tc>
          <w:tcPr>
            <w:tcW w:w="4198" w:type="dxa"/>
            <w:tcBorders>
              <w:bottom w:val="single" w:sz="4" w:space="0" w:color="auto"/>
            </w:tcBorders>
          </w:tcPr>
          <w:p w14:paraId="5EEAA7C3" w14:textId="77777777" w:rsidR="00DE4516" w:rsidRPr="00A46ADC" w:rsidRDefault="00DE4516" w:rsidP="00DE4516">
            <w:pPr>
              <w:pStyle w:val="TableBody"/>
              <w:autoSpaceDE w:val="0"/>
              <w:autoSpaceDN w:val="0"/>
              <w:adjustRightInd w:val="0"/>
              <w:jc w:val="both"/>
              <w:rPr>
                <w:rFonts w:cs="Arial"/>
                <w:sz w:val="15"/>
                <w:szCs w:val="32"/>
              </w:rPr>
            </w:pPr>
            <w:r w:rsidRPr="00A46ADC">
              <w:t>Charcoal if from Somalia, Nigeria, Côte d'Ivoire, Ghana, Comoros, Djibouti, and the Islamic Republic of Iran</w:t>
            </w:r>
          </w:p>
        </w:tc>
      </w:tr>
    </w:tbl>
    <w:p w14:paraId="185C5CBF" w14:textId="1EBCB9CF" w:rsidR="00DE4516" w:rsidRDefault="00DE4516">
      <w:pPr>
        <w:pStyle w:val="TableNote"/>
        <w:autoSpaceDE w:val="0"/>
        <w:autoSpaceDN w:val="0"/>
        <w:adjustRightInd w:val="0"/>
        <w:contextualSpacing w:val="0"/>
      </w:pPr>
      <w:r>
        <w:t>..</w:t>
      </w:r>
      <w:r>
        <w:tab/>
        <w:t>Not available.</w:t>
      </w:r>
    </w:p>
    <w:p w14:paraId="2A5ED0EC" w14:textId="77777777" w:rsidR="00DE4516" w:rsidRDefault="00DE4516">
      <w:pPr>
        <w:pStyle w:val="TableSource"/>
        <w:autoSpaceDE w:val="0"/>
        <w:autoSpaceDN w:val="0"/>
        <w:adjustRightInd w:val="0"/>
        <w:rPr>
          <w:szCs w:val="24"/>
        </w:rPr>
      </w:pPr>
      <w:r>
        <w:rPr>
          <w:szCs w:val="24"/>
        </w:rPr>
        <w:t>Source:</w:t>
      </w:r>
      <w:r>
        <w:rPr>
          <w:szCs w:val="24"/>
        </w:rPr>
        <w:tab/>
        <w:t>Information provided by the authorities.</w:t>
      </w:r>
    </w:p>
    <w:p w14:paraId="1281B6CB" w14:textId="77777777" w:rsidR="00DE4516" w:rsidRDefault="00DE4516">
      <w:pPr>
        <w:pStyle w:val="BodyText0"/>
        <w:autoSpaceDE w:val="0"/>
        <w:autoSpaceDN w:val="0"/>
        <w:adjustRightInd w:val="0"/>
        <w:rPr>
          <w:szCs w:val="24"/>
        </w:rPr>
      </w:pPr>
      <w:r>
        <w:rPr>
          <w:szCs w:val="24"/>
        </w:rPr>
        <w:t>Since its last Review in 2014, Oman has added several items to its list of prohibited imports: palm trees and coconut trees, asbestos goods and products, private vehicles older than seven years, pirated decoders, some dog breeds, and e-cigarettes and e-shishas.</w:t>
      </w:r>
    </w:p>
    <w:p w14:paraId="154E410C" w14:textId="77777777" w:rsidR="00DE4516" w:rsidRDefault="00DE4516">
      <w:pPr>
        <w:pStyle w:val="BodyText0"/>
        <w:autoSpaceDE w:val="0"/>
        <w:autoSpaceDN w:val="0"/>
        <w:adjustRightInd w:val="0"/>
        <w:rPr>
          <w:szCs w:val="24"/>
        </w:rPr>
      </w:pPr>
      <w:r>
        <w:rPr>
          <w:szCs w:val="24"/>
        </w:rPr>
        <w:t>In recent years, Oman has lifted bans on imports of livestock from South Africa</w:t>
      </w:r>
      <w:r w:rsidRPr="00DE4516">
        <w:rPr>
          <w:rStyle w:val="FootnoteReference"/>
        </w:rPr>
        <w:footnoteReference w:id="110"/>
      </w:r>
      <w:r>
        <w:rPr>
          <w:szCs w:val="24"/>
        </w:rPr>
        <w:t>; poultry products from Austria, Cambodia, Croatia, Cyprus, Denmark, Finland, Ghana, Greece, several Indian States, Italy, Côte d'Ivoire, Lao People's Democratic Republic, Republic of North Macedonia, Malaysia, the Netherlands, Poland, Slovakia, Sweden, Togo, and Zimbabwe</w:t>
      </w:r>
      <w:r w:rsidRPr="00DE4516">
        <w:rPr>
          <w:rStyle w:val="FootnoteReference"/>
        </w:rPr>
        <w:footnoteReference w:id="111"/>
      </w:r>
      <w:r>
        <w:rPr>
          <w:szCs w:val="24"/>
        </w:rPr>
        <w:t>; live birds from the Czech Republic, Hungary, Kenya, Poland, Romania, the Kingdom of Saudi Arabia, Slovakia, the state of South Carolina (United States), Ukraine, Viet Nam, the state of Virginia (United States)</w:t>
      </w:r>
      <w:r w:rsidRPr="00DE4516">
        <w:rPr>
          <w:rStyle w:val="FootnoteReference"/>
        </w:rPr>
        <w:footnoteReference w:id="112"/>
      </w:r>
      <w:r>
        <w:rPr>
          <w:szCs w:val="24"/>
        </w:rPr>
        <w:t>; a</w:t>
      </w:r>
      <w:hyperlink r:id="rId21" w:history="1">
        <w:r w:rsidRPr="00D5600E">
          <w:rPr>
            <w:color w:val="0000FF"/>
            <w:szCs w:val="24"/>
            <w:u w:val="single"/>
          </w:rPr>
          <w:t>nimal products and feed</w:t>
        </w:r>
      </w:hyperlink>
      <w:r>
        <w:rPr>
          <w:szCs w:val="24"/>
        </w:rPr>
        <w:t xml:space="preserve"> from Belgium</w:t>
      </w:r>
      <w:r w:rsidRPr="00DE4516">
        <w:rPr>
          <w:rStyle w:val="FootnoteReference"/>
        </w:rPr>
        <w:footnoteReference w:id="113"/>
      </w:r>
      <w:r>
        <w:rPr>
          <w:szCs w:val="24"/>
        </w:rPr>
        <w:t>; and tilapia fish from Mexico.</w:t>
      </w:r>
      <w:r w:rsidRPr="00DE4516">
        <w:rPr>
          <w:rStyle w:val="FootnoteReference"/>
        </w:rPr>
        <w:footnoteReference w:id="114"/>
      </w:r>
    </w:p>
    <w:p w14:paraId="76221EC8" w14:textId="77777777" w:rsidR="00DE4516" w:rsidRDefault="00DE4516">
      <w:pPr>
        <w:pStyle w:val="BodyText0"/>
        <w:autoSpaceDE w:val="0"/>
        <w:autoSpaceDN w:val="0"/>
        <w:adjustRightInd w:val="0"/>
        <w:rPr>
          <w:szCs w:val="24"/>
        </w:rPr>
      </w:pPr>
      <w:r>
        <w:rPr>
          <w:szCs w:val="24"/>
        </w:rPr>
        <w:t xml:space="preserve">Oman's import restrictions cover, </w:t>
      </w:r>
      <w:r>
        <w:rPr>
          <w:i/>
          <w:szCs w:val="24"/>
        </w:rPr>
        <w:t>inter alia</w:t>
      </w:r>
      <w:r>
        <w:rPr>
          <w:szCs w:val="24"/>
        </w:rPr>
        <w:t>, live animals, food products, and tobacco chemical products; they are applied for safety, moral, and health reasons (</w:t>
      </w:r>
      <w:r>
        <w:rPr>
          <w:rStyle w:val="citetbl"/>
          <w:szCs w:val="24"/>
        </w:rPr>
        <w:t>Table 3.7</w:t>
      </w:r>
      <w:r>
        <w:rPr>
          <w:szCs w:val="24"/>
        </w:rPr>
        <w:t>). Goods subject to these restrictions must be accompanied by certificates from the relevant authorities.</w:t>
      </w:r>
    </w:p>
    <w:p w14:paraId="1603CC0E" w14:textId="77777777" w:rsidR="00DE4516" w:rsidRDefault="00DE4516">
      <w:pPr>
        <w:pStyle w:val="TableTitle"/>
        <w:autoSpaceDE w:val="0"/>
        <w:autoSpaceDN w:val="0"/>
        <w:adjustRightInd w:val="0"/>
      </w:pPr>
      <w:r>
        <w:t>Table 3.7 Import restrictions, June 2021</w:t>
      </w:r>
    </w:p>
    <w:tbl>
      <w:tblPr>
        <w:tblStyle w:val="WTOTable1"/>
        <w:tblW w:w="5000" w:type="pct"/>
        <w:tblLayout w:type="fixed"/>
        <w:tblLook w:val="05E0" w:firstRow="1" w:lastRow="1" w:firstColumn="1" w:lastColumn="1" w:noHBand="0" w:noVBand="1"/>
      </w:tblPr>
      <w:tblGrid>
        <w:gridCol w:w="1129"/>
        <w:gridCol w:w="1985"/>
        <w:gridCol w:w="5902"/>
      </w:tblGrid>
      <w:tr w:rsidR="00DE4516" w:rsidRPr="007F015E" w14:paraId="6FE21D07"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626" w:type="pct"/>
            <w:tcBorders>
              <w:top w:val="single" w:sz="4" w:space="0" w:color="auto"/>
            </w:tcBorders>
            <w:noWrap/>
            <w:hideMark/>
          </w:tcPr>
          <w:p w14:paraId="6D81210D" w14:textId="77777777" w:rsidR="00DE4516" w:rsidRPr="007F015E" w:rsidRDefault="00DE4516" w:rsidP="00DE4516">
            <w:pPr>
              <w:pStyle w:val="TableHead"/>
              <w:autoSpaceDE w:val="0"/>
              <w:autoSpaceDN w:val="0"/>
              <w:adjustRightInd w:val="0"/>
              <w:jc w:val="both"/>
              <w:rPr>
                <w:rFonts w:cs="Calibri"/>
                <w:b/>
                <w:color w:val="FFFFFF" w:themeColor="background1"/>
                <w:sz w:val="15"/>
                <w:szCs w:val="16"/>
              </w:rPr>
            </w:pPr>
            <w:r w:rsidRPr="007F015E">
              <w:rPr>
                <w:b/>
              </w:rPr>
              <w:t>HS Code</w:t>
            </w:r>
          </w:p>
        </w:tc>
        <w:tc>
          <w:tcPr>
            <w:tcW w:w="1101" w:type="pct"/>
            <w:tcBorders>
              <w:top w:val="single" w:sz="4" w:space="0" w:color="auto"/>
            </w:tcBorders>
            <w:noWrap/>
            <w:hideMark/>
          </w:tcPr>
          <w:p w14:paraId="0DDDD302" w14:textId="77777777" w:rsidR="00DE4516" w:rsidRPr="007F015E" w:rsidRDefault="00DE4516" w:rsidP="00DE4516">
            <w:pPr>
              <w:pStyle w:val="TableHead"/>
              <w:autoSpaceDE w:val="0"/>
              <w:autoSpaceDN w:val="0"/>
              <w:adjustRightInd w:val="0"/>
              <w:jc w:val="both"/>
              <w:rPr>
                <w:rFonts w:cs="Calibri"/>
                <w:b/>
                <w:color w:val="FFFFFF" w:themeColor="background1"/>
                <w:sz w:val="15"/>
                <w:szCs w:val="16"/>
              </w:rPr>
            </w:pPr>
            <w:r w:rsidRPr="007F015E">
              <w:rPr>
                <w:b/>
              </w:rPr>
              <w:t>Institution</w:t>
            </w:r>
          </w:p>
        </w:tc>
        <w:tc>
          <w:tcPr>
            <w:tcW w:w="3273" w:type="pct"/>
            <w:tcBorders>
              <w:top w:val="single" w:sz="4" w:space="0" w:color="auto"/>
            </w:tcBorders>
            <w:noWrap/>
            <w:hideMark/>
          </w:tcPr>
          <w:p w14:paraId="11F49AC4" w14:textId="77777777" w:rsidR="00DE4516" w:rsidRPr="007F015E" w:rsidRDefault="00DE4516" w:rsidP="00DE4516">
            <w:pPr>
              <w:pStyle w:val="TableHead"/>
              <w:autoSpaceDE w:val="0"/>
              <w:autoSpaceDN w:val="0"/>
              <w:adjustRightInd w:val="0"/>
              <w:jc w:val="both"/>
              <w:rPr>
                <w:rFonts w:cs="Calibri"/>
                <w:b/>
                <w:color w:val="FFFFFF" w:themeColor="background1"/>
                <w:sz w:val="15"/>
                <w:szCs w:val="16"/>
              </w:rPr>
            </w:pPr>
            <w:r w:rsidRPr="007F015E">
              <w:rPr>
                <w:b/>
              </w:rPr>
              <w:t>Products</w:t>
            </w:r>
          </w:p>
        </w:tc>
      </w:tr>
      <w:tr w:rsidR="00DE4516" w:rsidRPr="00225231" w14:paraId="7CF3F7B7" w14:textId="77777777" w:rsidTr="002C718D">
        <w:trPr>
          <w:cantSplit/>
        </w:trPr>
        <w:tc>
          <w:tcPr>
            <w:tcW w:w="626" w:type="pct"/>
            <w:vMerge w:val="restart"/>
            <w:hideMark/>
          </w:tcPr>
          <w:p w14:paraId="50808EDA"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01-15, 23, 31, 44</w:t>
            </w:r>
          </w:p>
        </w:tc>
        <w:tc>
          <w:tcPr>
            <w:tcW w:w="1101" w:type="pct"/>
            <w:vMerge w:val="restart"/>
            <w:noWrap/>
            <w:hideMark/>
          </w:tcPr>
          <w:p w14:paraId="6EF51E07" w14:textId="77777777" w:rsidR="00DE4516" w:rsidRPr="00A46ADC" w:rsidRDefault="00DE4516" w:rsidP="00DE4516">
            <w:pPr>
              <w:pStyle w:val="TableBody"/>
              <w:autoSpaceDE w:val="0"/>
              <w:autoSpaceDN w:val="0"/>
              <w:adjustRightInd w:val="0"/>
              <w:jc w:val="both"/>
              <w:rPr>
                <w:rFonts w:cs="Calibri"/>
                <w:sz w:val="15"/>
                <w:szCs w:val="16"/>
              </w:rPr>
            </w:pPr>
            <w:r w:rsidRPr="00A46ADC">
              <w:t>Ministry of Agriculture, Fisheries and Water Resources</w:t>
            </w:r>
          </w:p>
        </w:tc>
        <w:tc>
          <w:tcPr>
            <w:tcW w:w="3273" w:type="pct"/>
            <w:hideMark/>
          </w:tcPr>
          <w:p w14:paraId="4C8DF4C5"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Live animals, fish, and all products of animal origin such as meat, milk and dairy products, bird eggs, animal fats and oils, food prepared for animals such as fodder, vitamins and veterinary medicines, hides, furs, wool and dander, and circus animals</w:t>
            </w:r>
          </w:p>
        </w:tc>
      </w:tr>
      <w:tr w:rsidR="00DE4516" w:rsidRPr="00225231" w14:paraId="5EC1170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626" w:type="pct"/>
            <w:vMerge/>
            <w:hideMark/>
          </w:tcPr>
          <w:p w14:paraId="367312A1" w14:textId="77777777" w:rsidR="00DE4516" w:rsidRPr="00225231" w:rsidRDefault="00DE4516" w:rsidP="00DE4516">
            <w:pPr>
              <w:pStyle w:val="TableBody"/>
            </w:pPr>
          </w:p>
        </w:tc>
        <w:tc>
          <w:tcPr>
            <w:tcW w:w="1101" w:type="pct"/>
            <w:vMerge/>
            <w:hideMark/>
          </w:tcPr>
          <w:p w14:paraId="779E7ABC" w14:textId="77777777" w:rsidR="00DE4516" w:rsidRPr="00225231" w:rsidRDefault="00DE4516" w:rsidP="00DE4516">
            <w:pPr>
              <w:pStyle w:val="TableBody"/>
            </w:pPr>
          </w:p>
        </w:tc>
        <w:tc>
          <w:tcPr>
            <w:tcW w:w="3273" w:type="pct"/>
            <w:hideMark/>
          </w:tcPr>
          <w:p w14:paraId="15D76CBE" w14:textId="77777777" w:rsidR="00DE4516" w:rsidRDefault="00DE4516" w:rsidP="00DE4516">
            <w:pPr>
              <w:pStyle w:val="TableBody"/>
              <w:autoSpaceDE w:val="0"/>
              <w:autoSpaceDN w:val="0"/>
              <w:adjustRightInd w:val="0"/>
              <w:ind w:left="280" w:hanging="180"/>
            </w:pPr>
            <w:r>
              <w:t>•</w:t>
            </w:r>
            <w:r>
              <w:tab/>
              <w:t>Natural honey and plant products such as palm plantations, cuttings, vegetables, fresh and cooled fruits, trees, plants, bulbs, roots, cut flowers and branches for decoration, coffee, unroasted tea, spices uncrushed or powdered, wheat grains, barley, corn, rice, seeds, gum, resins and plant extracts, and plant materials</w:t>
            </w:r>
          </w:p>
          <w:p w14:paraId="047384FA"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Vegetable wax, bee wax, insects, bran, cake and seed residues, raw tobacco, timber, mats and rugs, raw silk, raw flax</w:t>
            </w:r>
          </w:p>
        </w:tc>
      </w:tr>
      <w:tr w:rsidR="00DE4516" w:rsidRPr="00225231" w14:paraId="3BBD03F4" w14:textId="77777777" w:rsidTr="002C718D">
        <w:trPr>
          <w:cantSplit/>
        </w:trPr>
        <w:tc>
          <w:tcPr>
            <w:tcW w:w="626" w:type="pct"/>
            <w:vMerge/>
            <w:hideMark/>
          </w:tcPr>
          <w:p w14:paraId="309D47D4" w14:textId="77777777" w:rsidR="00DE4516" w:rsidRPr="00225231" w:rsidRDefault="00DE4516" w:rsidP="00DE4516">
            <w:pPr>
              <w:pStyle w:val="TableBody"/>
            </w:pPr>
          </w:p>
        </w:tc>
        <w:tc>
          <w:tcPr>
            <w:tcW w:w="1101" w:type="pct"/>
            <w:vMerge/>
            <w:hideMark/>
          </w:tcPr>
          <w:p w14:paraId="1CD95327" w14:textId="77777777" w:rsidR="00DE4516" w:rsidRPr="00225231" w:rsidRDefault="00DE4516" w:rsidP="00DE4516">
            <w:pPr>
              <w:pStyle w:val="TableBody"/>
            </w:pPr>
          </w:p>
        </w:tc>
        <w:tc>
          <w:tcPr>
            <w:tcW w:w="3273" w:type="pct"/>
            <w:hideMark/>
          </w:tcPr>
          <w:p w14:paraId="5857CF6A"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 xml:space="preserve">Fertilizers, </w:t>
            </w:r>
            <w:proofErr w:type="gramStart"/>
            <w:r w:rsidRPr="00A46ADC">
              <w:t>insecticides</w:t>
            </w:r>
            <w:proofErr w:type="gramEnd"/>
            <w:r w:rsidRPr="00A46ADC">
              <w:t xml:space="preserve"> and fungicides</w:t>
            </w:r>
          </w:p>
        </w:tc>
      </w:tr>
      <w:tr w:rsidR="00DE4516" w:rsidRPr="00225231" w14:paraId="7847DFE7" w14:textId="77777777" w:rsidTr="005309B2">
        <w:trPr>
          <w:cnfStyle w:val="000000010000" w:firstRow="0" w:lastRow="0" w:firstColumn="0" w:lastColumn="0" w:oddVBand="0" w:evenVBand="0" w:oddHBand="0" w:evenHBand="1" w:firstRowFirstColumn="0" w:firstRowLastColumn="0" w:lastRowFirstColumn="0" w:lastRowLastColumn="0"/>
          <w:cantSplit/>
        </w:trPr>
        <w:tc>
          <w:tcPr>
            <w:tcW w:w="626" w:type="pct"/>
            <w:vMerge w:val="restart"/>
            <w:hideMark/>
          </w:tcPr>
          <w:p w14:paraId="5D4D7770"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lastRenderedPageBreak/>
              <w:t>24-25, 32-34, 64, 71, 87, 95</w:t>
            </w:r>
          </w:p>
        </w:tc>
        <w:tc>
          <w:tcPr>
            <w:tcW w:w="1101" w:type="pct"/>
            <w:vMerge w:val="restart"/>
            <w:noWrap/>
            <w:hideMark/>
          </w:tcPr>
          <w:p w14:paraId="7FEBEEAE" w14:textId="77777777" w:rsidR="00DE4516" w:rsidRPr="00A46ADC" w:rsidRDefault="00DE4516" w:rsidP="00DE4516">
            <w:pPr>
              <w:pStyle w:val="TableBody"/>
              <w:autoSpaceDE w:val="0"/>
              <w:autoSpaceDN w:val="0"/>
              <w:adjustRightInd w:val="0"/>
              <w:jc w:val="both"/>
              <w:rPr>
                <w:rFonts w:cs="Calibri"/>
                <w:sz w:val="15"/>
                <w:szCs w:val="16"/>
              </w:rPr>
            </w:pPr>
            <w:r w:rsidRPr="00A46ADC">
              <w:t>MOCIIP</w:t>
            </w:r>
          </w:p>
        </w:tc>
        <w:tc>
          <w:tcPr>
            <w:tcW w:w="3273" w:type="pct"/>
            <w:tcBorders>
              <w:bottom w:val="nil"/>
            </w:tcBorders>
            <w:hideMark/>
          </w:tcPr>
          <w:p w14:paraId="1930981A"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Tobacco products, cement, motor oils, emulsified paints, cosmetics and mouthwashes, deodorants, aromatic preparations in jet containers, preparations for washing powder, hand washing and utensils, new tires, protective shoes, pearls, precious stones and their articles, and armatures, household electrical appliances, buggies, cars, trucks, trailers, new bikes, and children's toys</w:t>
            </w:r>
          </w:p>
        </w:tc>
      </w:tr>
      <w:tr w:rsidR="00DE4516" w:rsidRPr="00225231" w14:paraId="75BCC8E5" w14:textId="77777777" w:rsidTr="005309B2">
        <w:trPr>
          <w:cantSplit/>
        </w:trPr>
        <w:tc>
          <w:tcPr>
            <w:tcW w:w="626" w:type="pct"/>
            <w:vMerge/>
            <w:hideMark/>
          </w:tcPr>
          <w:p w14:paraId="7865A58A" w14:textId="77777777" w:rsidR="00DE4516" w:rsidRPr="00225231" w:rsidRDefault="00DE4516" w:rsidP="00DE4516">
            <w:pPr>
              <w:pStyle w:val="TableBody"/>
            </w:pPr>
          </w:p>
        </w:tc>
        <w:tc>
          <w:tcPr>
            <w:tcW w:w="1101" w:type="pct"/>
            <w:vMerge/>
            <w:hideMark/>
          </w:tcPr>
          <w:p w14:paraId="6E8C8C73" w14:textId="77777777" w:rsidR="00DE4516" w:rsidRPr="00225231" w:rsidRDefault="00DE4516" w:rsidP="00DE4516">
            <w:pPr>
              <w:pStyle w:val="TableBody"/>
            </w:pPr>
          </w:p>
        </w:tc>
        <w:tc>
          <w:tcPr>
            <w:tcW w:w="3273" w:type="pct"/>
            <w:tcBorders>
              <w:top w:val="nil"/>
              <w:bottom w:val="single" w:sz="4" w:space="0" w:color="auto"/>
            </w:tcBorders>
            <w:shd w:val="clear" w:color="auto" w:fill="C9DED4"/>
            <w:hideMark/>
          </w:tcPr>
          <w:p w14:paraId="20F51895"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Banknotes, wagons, cars, trucks, trailers, used bikes</w:t>
            </w:r>
          </w:p>
        </w:tc>
      </w:tr>
      <w:tr w:rsidR="00DE4516" w:rsidRPr="00225231" w14:paraId="0BD93EC8" w14:textId="77777777" w:rsidTr="005309B2">
        <w:trPr>
          <w:cnfStyle w:val="000000010000" w:firstRow="0" w:lastRow="0" w:firstColumn="0" w:lastColumn="0" w:oddVBand="0" w:evenVBand="0" w:oddHBand="0" w:evenHBand="1" w:firstRowFirstColumn="0" w:firstRowLastColumn="0" w:lastRowFirstColumn="0" w:lastRowLastColumn="0"/>
          <w:cantSplit/>
        </w:trPr>
        <w:tc>
          <w:tcPr>
            <w:tcW w:w="626" w:type="pct"/>
            <w:tcBorders>
              <w:bottom w:val="nil"/>
            </w:tcBorders>
            <w:shd w:val="clear" w:color="auto" w:fill="FFFFFF" w:themeFill="background1"/>
            <w:hideMark/>
          </w:tcPr>
          <w:p w14:paraId="6673DEF1"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8443, 8517, 8528</w:t>
            </w:r>
          </w:p>
        </w:tc>
        <w:tc>
          <w:tcPr>
            <w:tcW w:w="1101" w:type="pct"/>
            <w:tcBorders>
              <w:bottom w:val="nil"/>
            </w:tcBorders>
            <w:shd w:val="clear" w:color="auto" w:fill="FFFFFF" w:themeFill="background1"/>
            <w:noWrap/>
            <w:hideMark/>
          </w:tcPr>
          <w:p w14:paraId="063CB72B" w14:textId="77777777" w:rsidR="00DE4516" w:rsidRPr="00A46ADC" w:rsidRDefault="00DE4516" w:rsidP="00DE4516">
            <w:pPr>
              <w:pStyle w:val="TableBody"/>
              <w:autoSpaceDE w:val="0"/>
              <w:autoSpaceDN w:val="0"/>
              <w:adjustRightInd w:val="0"/>
              <w:jc w:val="both"/>
              <w:rPr>
                <w:rFonts w:cs="Calibri"/>
                <w:sz w:val="15"/>
                <w:szCs w:val="16"/>
              </w:rPr>
            </w:pPr>
            <w:r w:rsidRPr="00A46ADC">
              <w:t xml:space="preserve">Ministry of Transport, </w:t>
            </w:r>
            <w:proofErr w:type="gramStart"/>
            <w:r w:rsidRPr="00A46ADC">
              <w:t>Communications</w:t>
            </w:r>
            <w:proofErr w:type="gramEnd"/>
            <w:r w:rsidRPr="00A46ADC">
              <w:t xml:space="preserve"> and Information Technology</w:t>
            </w:r>
          </w:p>
        </w:tc>
        <w:tc>
          <w:tcPr>
            <w:tcW w:w="3273" w:type="pct"/>
            <w:tcBorders>
              <w:top w:val="single" w:sz="4" w:space="0" w:color="auto"/>
              <w:bottom w:val="nil"/>
            </w:tcBorders>
            <w:shd w:val="clear" w:color="auto" w:fill="FFFFFF" w:themeFill="background1"/>
            <w:hideMark/>
          </w:tcPr>
          <w:p w14:paraId="624BAA83"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 xml:space="preserve">Copiers, printing machines, screens, devices connected to self-processing devices for data and the network, telephones and telecommunications, audio, </w:t>
            </w:r>
            <w:proofErr w:type="gramStart"/>
            <w:r w:rsidRPr="00A46ADC">
              <w:t>image</w:t>
            </w:r>
            <w:proofErr w:type="gramEnd"/>
            <w:r w:rsidRPr="00A46ADC">
              <w:t xml:space="preserve"> or data transmitting and receiving devices, GPS positioning devices</w:t>
            </w:r>
          </w:p>
        </w:tc>
      </w:tr>
      <w:tr w:rsidR="00DE4516" w:rsidRPr="00225231" w14:paraId="6075DC25" w14:textId="77777777" w:rsidTr="002C718D">
        <w:trPr>
          <w:cantSplit/>
        </w:trPr>
        <w:tc>
          <w:tcPr>
            <w:tcW w:w="626" w:type="pct"/>
            <w:vMerge w:val="restart"/>
            <w:tcBorders>
              <w:top w:val="nil"/>
              <w:bottom w:val="nil"/>
            </w:tcBorders>
            <w:shd w:val="clear" w:color="auto" w:fill="C9DED4"/>
            <w:hideMark/>
          </w:tcPr>
          <w:p w14:paraId="284A344F"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26, 28-29, 38</w:t>
            </w:r>
          </w:p>
        </w:tc>
        <w:tc>
          <w:tcPr>
            <w:tcW w:w="1101" w:type="pct"/>
            <w:vMerge w:val="restart"/>
            <w:tcBorders>
              <w:top w:val="nil"/>
              <w:bottom w:val="nil"/>
            </w:tcBorders>
            <w:shd w:val="clear" w:color="auto" w:fill="C9DED4"/>
            <w:noWrap/>
            <w:hideMark/>
          </w:tcPr>
          <w:p w14:paraId="41C57046" w14:textId="77777777" w:rsidR="00DE4516" w:rsidRPr="00A46ADC" w:rsidRDefault="00DE4516" w:rsidP="00DE4516">
            <w:pPr>
              <w:pStyle w:val="TableBody"/>
              <w:autoSpaceDE w:val="0"/>
              <w:autoSpaceDN w:val="0"/>
              <w:adjustRightInd w:val="0"/>
              <w:jc w:val="both"/>
              <w:rPr>
                <w:rFonts w:cs="Calibri"/>
                <w:sz w:val="15"/>
                <w:szCs w:val="16"/>
              </w:rPr>
            </w:pPr>
            <w:r w:rsidRPr="00A46ADC">
              <w:t>Environment Authority</w:t>
            </w:r>
          </w:p>
        </w:tc>
        <w:tc>
          <w:tcPr>
            <w:tcW w:w="3273" w:type="pct"/>
            <w:tcBorders>
              <w:top w:val="nil"/>
              <w:bottom w:val="nil"/>
            </w:tcBorders>
            <w:shd w:val="clear" w:color="auto" w:fill="C9DED4"/>
            <w:hideMark/>
          </w:tcPr>
          <w:p w14:paraId="4E710266"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Organic and inorganic chemical products, organic and inorganic compounds of metals, nitrates, phosphates and their fertilizers, sulphates, organic solvents and thinners, chemical reaction preparations, varnish and glue additives, products and preparations of the chemical industry, epoxide resins, urea and thiourea resins</w:t>
            </w:r>
          </w:p>
        </w:tc>
      </w:tr>
      <w:tr w:rsidR="00DE4516" w:rsidRPr="00225231" w14:paraId="11455EF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626" w:type="pct"/>
            <w:vMerge/>
            <w:tcBorders>
              <w:top w:val="single" w:sz="4" w:space="0" w:color="auto"/>
              <w:bottom w:val="nil"/>
            </w:tcBorders>
            <w:hideMark/>
          </w:tcPr>
          <w:p w14:paraId="248B5029" w14:textId="77777777" w:rsidR="00DE4516" w:rsidRPr="00225231" w:rsidRDefault="00DE4516" w:rsidP="00DE4516">
            <w:pPr>
              <w:pStyle w:val="TableBody"/>
            </w:pPr>
          </w:p>
        </w:tc>
        <w:tc>
          <w:tcPr>
            <w:tcW w:w="1101" w:type="pct"/>
            <w:vMerge/>
            <w:tcBorders>
              <w:top w:val="single" w:sz="4" w:space="0" w:color="auto"/>
              <w:bottom w:val="nil"/>
            </w:tcBorders>
            <w:hideMark/>
          </w:tcPr>
          <w:p w14:paraId="0F8EEAC5" w14:textId="77777777" w:rsidR="00DE4516" w:rsidRPr="00225231" w:rsidRDefault="00DE4516" w:rsidP="00DE4516">
            <w:pPr>
              <w:pStyle w:val="TableBody"/>
            </w:pPr>
          </w:p>
        </w:tc>
        <w:tc>
          <w:tcPr>
            <w:tcW w:w="3273" w:type="pct"/>
            <w:tcBorders>
              <w:top w:val="nil"/>
              <w:bottom w:val="nil"/>
            </w:tcBorders>
            <w:hideMark/>
          </w:tcPr>
          <w:p w14:paraId="78D1520B"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 xml:space="preserve">Uranium and thorium ores and their concentrates, slag, ash and residues of radioactive materials, natural uranium and its compounds, radioactive elements, isotopes and compounds, nuclear reactor fuel elements, devices containing X-rays, alpha, </w:t>
            </w:r>
            <w:proofErr w:type="gramStart"/>
            <w:r w:rsidRPr="00A46ADC">
              <w:t>beta</w:t>
            </w:r>
            <w:proofErr w:type="gramEnd"/>
            <w:r w:rsidRPr="00A46ADC">
              <w:t xml:space="preserve"> and gamma rays</w:t>
            </w:r>
          </w:p>
        </w:tc>
      </w:tr>
      <w:tr w:rsidR="00DE4516" w:rsidRPr="00225231" w14:paraId="20D43EAC" w14:textId="77777777" w:rsidTr="002C718D">
        <w:trPr>
          <w:cantSplit/>
        </w:trPr>
        <w:tc>
          <w:tcPr>
            <w:tcW w:w="626" w:type="pct"/>
            <w:vMerge/>
            <w:tcBorders>
              <w:top w:val="single" w:sz="4" w:space="0" w:color="auto"/>
              <w:bottom w:val="nil"/>
            </w:tcBorders>
            <w:shd w:val="clear" w:color="auto" w:fill="C9DED4"/>
            <w:hideMark/>
          </w:tcPr>
          <w:p w14:paraId="2D590405" w14:textId="77777777" w:rsidR="00DE4516" w:rsidRPr="00225231" w:rsidRDefault="00DE4516" w:rsidP="00DE4516">
            <w:pPr>
              <w:pStyle w:val="TableBody"/>
            </w:pPr>
          </w:p>
        </w:tc>
        <w:tc>
          <w:tcPr>
            <w:tcW w:w="1101" w:type="pct"/>
            <w:vMerge/>
            <w:tcBorders>
              <w:top w:val="single" w:sz="4" w:space="0" w:color="auto"/>
              <w:bottom w:val="nil"/>
            </w:tcBorders>
            <w:shd w:val="clear" w:color="auto" w:fill="C9DED4"/>
            <w:hideMark/>
          </w:tcPr>
          <w:p w14:paraId="4AFC08EF" w14:textId="77777777" w:rsidR="00DE4516" w:rsidRPr="00225231" w:rsidRDefault="00DE4516" w:rsidP="00DE4516">
            <w:pPr>
              <w:pStyle w:val="TableBody"/>
            </w:pPr>
          </w:p>
        </w:tc>
        <w:tc>
          <w:tcPr>
            <w:tcW w:w="3273" w:type="pct"/>
            <w:tcBorders>
              <w:top w:val="nil"/>
              <w:bottom w:val="nil"/>
            </w:tcBorders>
            <w:shd w:val="clear" w:color="auto" w:fill="C9DED4"/>
            <w:hideMark/>
          </w:tcPr>
          <w:p w14:paraId="41EF9FDA"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 xml:space="preserve">Gases, </w:t>
            </w:r>
            <w:proofErr w:type="gramStart"/>
            <w:r w:rsidRPr="00A46ADC">
              <w:t>refrigeration</w:t>
            </w:r>
            <w:proofErr w:type="gramEnd"/>
            <w:r w:rsidRPr="00A46ADC">
              <w:t xml:space="preserve"> and air conditioning equipment</w:t>
            </w:r>
          </w:p>
        </w:tc>
      </w:tr>
      <w:tr w:rsidR="00DE4516" w:rsidRPr="00225231" w14:paraId="77B593EB"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626" w:type="pct"/>
            <w:vMerge/>
            <w:tcBorders>
              <w:top w:val="single" w:sz="4" w:space="0" w:color="auto"/>
              <w:bottom w:val="nil"/>
            </w:tcBorders>
            <w:hideMark/>
          </w:tcPr>
          <w:p w14:paraId="0975031C" w14:textId="77777777" w:rsidR="00DE4516" w:rsidRPr="00225231" w:rsidRDefault="00DE4516" w:rsidP="00DE4516">
            <w:pPr>
              <w:pStyle w:val="TableBody"/>
            </w:pPr>
          </w:p>
        </w:tc>
        <w:tc>
          <w:tcPr>
            <w:tcW w:w="1101" w:type="pct"/>
            <w:vMerge/>
            <w:tcBorders>
              <w:top w:val="single" w:sz="4" w:space="0" w:color="auto"/>
              <w:bottom w:val="nil"/>
            </w:tcBorders>
            <w:hideMark/>
          </w:tcPr>
          <w:p w14:paraId="69050C9B" w14:textId="77777777" w:rsidR="00DE4516" w:rsidRPr="00225231" w:rsidRDefault="00DE4516" w:rsidP="00DE4516">
            <w:pPr>
              <w:pStyle w:val="TableBody"/>
            </w:pPr>
          </w:p>
        </w:tc>
        <w:tc>
          <w:tcPr>
            <w:tcW w:w="3273" w:type="pct"/>
            <w:tcBorders>
              <w:top w:val="nil"/>
              <w:bottom w:val="nil"/>
            </w:tcBorders>
            <w:hideMark/>
          </w:tcPr>
          <w:p w14:paraId="01C1826F"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 xml:space="preserve">Wild animals, caviar, bags and shoes of genuine leather, articles of ivory and tortoiseshell bones, horns, </w:t>
            </w:r>
            <w:proofErr w:type="gramStart"/>
            <w:r w:rsidRPr="00A46ADC">
              <w:t>coral</w:t>
            </w:r>
            <w:proofErr w:type="gramEnd"/>
            <w:r w:rsidRPr="00A46ADC">
              <w:t xml:space="preserve"> and shells</w:t>
            </w:r>
          </w:p>
        </w:tc>
      </w:tr>
      <w:tr w:rsidR="00DE4516" w:rsidRPr="00225231" w14:paraId="2B8971CB" w14:textId="77777777" w:rsidTr="002C718D">
        <w:trPr>
          <w:cantSplit/>
        </w:trPr>
        <w:tc>
          <w:tcPr>
            <w:tcW w:w="626" w:type="pct"/>
            <w:vMerge/>
            <w:tcBorders>
              <w:top w:val="single" w:sz="4" w:space="0" w:color="auto"/>
              <w:bottom w:val="nil"/>
            </w:tcBorders>
            <w:shd w:val="clear" w:color="auto" w:fill="C9DED4"/>
            <w:hideMark/>
          </w:tcPr>
          <w:p w14:paraId="0BF8960A" w14:textId="77777777" w:rsidR="00DE4516" w:rsidRPr="00225231" w:rsidRDefault="00DE4516" w:rsidP="00DE4516">
            <w:pPr>
              <w:pStyle w:val="TableBody"/>
            </w:pPr>
          </w:p>
        </w:tc>
        <w:tc>
          <w:tcPr>
            <w:tcW w:w="1101" w:type="pct"/>
            <w:vMerge/>
            <w:tcBorders>
              <w:top w:val="single" w:sz="4" w:space="0" w:color="auto"/>
              <w:bottom w:val="nil"/>
            </w:tcBorders>
            <w:shd w:val="clear" w:color="auto" w:fill="C9DED4"/>
            <w:hideMark/>
          </w:tcPr>
          <w:p w14:paraId="5AA0A4D2" w14:textId="77777777" w:rsidR="00DE4516" w:rsidRPr="00225231" w:rsidRDefault="00DE4516" w:rsidP="00DE4516">
            <w:pPr>
              <w:pStyle w:val="TableBody"/>
            </w:pPr>
          </w:p>
        </w:tc>
        <w:tc>
          <w:tcPr>
            <w:tcW w:w="3273" w:type="pct"/>
            <w:tcBorders>
              <w:top w:val="nil"/>
              <w:bottom w:val="nil"/>
            </w:tcBorders>
            <w:shd w:val="clear" w:color="auto" w:fill="C9DED4"/>
            <w:hideMark/>
          </w:tcPr>
          <w:p w14:paraId="5FDFE60D"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Waste chemicals, waste polymers and plastics, waste rubber, scrap and waste iron, copper, nickel, lead, zinc and tin, and waste metals</w:t>
            </w:r>
          </w:p>
        </w:tc>
      </w:tr>
      <w:tr w:rsidR="00DE4516" w:rsidRPr="00225231" w14:paraId="0FABFAA7"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626" w:type="pct"/>
            <w:vMerge w:val="restart"/>
            <w:tcBorders>
              <w:top w:val="nil"/>
            </w:tcBorders>
            <w:shd w:val="clear" w:color="auto" w:fill="FFFFFF" w:themeFill="background1"/>
            <w:hideMark/>
          </w:tcPr>
          <w:p w14:paraId="52DF2FE4"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18, 20, 22, 31, 93</w:t>
            </w:r>
          </w:p>
        </w:tc>
        <w:tc>
          <w:tcPr>
            <w:tcW w:w="1101" w:type="pct"/>
            <w:vMerge w:val="restart"/>
            <w:tcBorders>
              <w:top w:val="nil"/>
            </w:tcBorders>
            <w:shd w:val="clear" w:color="auto" w:fill="FFFFFF" w:themeFill="background1"/>
            <w:noWrap/>
            <w:hideMark/>
          </w:tcPr>
          <w:p w14:paraId="573D320A" w14:textId="77777777" w:rsidR="00DE4516" w:rsidRPr="00A46ADC" w:rsidRDefault="00DE4516" w:rsidP="00DE4516">
            <w:pPr>
              <w:pStyle w:val="TableBody"/>
              <w:autoSpaceDE w:val="0"/>
              <w:autoSpaceDN w:val="0"/>
              <w:adjustRightInd w:val="0"/>
              <w:jc w:val="both"/>
              <w:rPr>
                <w:rFonts w:cs="Calibri"/>
                <w:sz w:val="15"/>
                <w:szCs w:val="16"/>
              </w:rPr>
            </w:pPr>
            <w:r w:rsidRPr="00A46ADC">
              <w:t>Royal Oman Police</w:t>
            </w:r>
          </w:p>
        </w:tc>
        <w:tc>
          <w:tcPr>
            <w:tcW w:w="3273" w:type="pct"/>
            <w:tcBorders>
              <w:top w:val="nil"/>
            </w:tcBorders>
            <w:shd w:val="clear" w:color="auto" w:fill="FFFFFF" w:themeFill="background1"/>
            <w:hideMark/>
          </w:tcPr>
          <w:p w14:paraId="61B59F45"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Chocolate containing alcohol, juices containing alcohol, whiskey, beer, alcoholic beverages, and binoculars mounted on weapons, weapons and ammunition and their parts and accessories for persons and shops</w:t>
            </w:r>
          </w:p>
        </w:tc>
      </w:tr>
      <w:tr w:rsidR="00DE4516" w:rsidRPr="00225231" w14:paraId="20647E51" w14:textId="77777777" w:rsidTr="002C718D">
        <w:trPr>
          <w:cantSplit/>
        </w:trPr>
        <w:tc>
          <w:tcPr>
            <w:tcW w:w="626" w:type="pct"/>
            <w:vMerge/>
            <w:shd w:val="clear" w:color="auto" w:fill="FFFFFF" w:themeFill="background1"/>
            <w:hideMark/>
          </w:tcPr>
          <w:p w14:paraId="53BB9150" w14:textId="77777777" w:rsidR="00DE4516" w:rsidRPr="00225231" w:rsidRDefault="00DE4516" w:rsidP="00DE4516">
            <w:pPr>
              <w:pStyle w:val="TableBody"/>
            </w:pPr>
          </w:p>
        </w:tc>
        <w:tc>
          <w:tcPr>
            <w:tcW w:w="1101" w:type="pct"/>
            <w:vMerge/>
            <w:shd w:val="clear" w:color="auto" w:fill="FFFFFF" w:themeFill="background1"/>
            <w:hideMark/>
          </w:tcPr>
          <w:p w14:paraId="5DC29030" w14:textId="77777777" w:rsidR="00DE4516" w:rsidRPr="00225231" w:rsidRDefault="00DE4516" w:rsidP="00DE4516">
            <w:pPr>
              <w:pStyle w:val="TableBody"/>
            </w:pPr>
          </w:p>
        </w:tc>
        <w:tc>
          <w:tcPr>
            <w:tcW w:w="3273" w:type="pct"/>
            <w:shd w:val="clear" w:color="auto" w:fill="FFFFFF" w:themeFill="background1"/>
            <w:hideMark/>
          </w:tcPr>
          <w:p w14:paraId="0C227162"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Military hats and clothing, armoured vehicles, binoculars mounted on weapons, weapons and ammunition and their parts and supplies for military entities, remote control aircraft</w:t>
            </w:r>
          </w:p>
        </w:tc>
      </w:tr>
      <w:tr w:rsidR="00DE4516" w:rsidRPr="00225231" w14:paraId="534BB322"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626" w:type="pct"/>
            <w:vMerge/>
            <w:tcBorders>
              <w:bottom w:val="nil"/>
            </w:tcBorders>
            <w:shd w:val="clear" w:color="auto" w:fill="FFFFFF" w:themeFill="background1"/>
            <w:hideMark/>
          </w:tcPr>
          <w:p w14:paraId="4A4EA85E" w14:textId="77777777" w:rsidR="00DE4516" w:rsidRPr="00225231" w:rsidRDefault="00DE4516" w:rsidP="00DE4516">
            <w:pPr>
              <w:pStyle w:val="TableBody"/>
            </w:pPr>
          </w:p>
        </w:tc>
        <w:tc>
          <w:tcPr>
            <w:tcW w:w="1101" w:type="pct"/>
            <w:vMerge/>
            <w:tcBorders>
              <w:bottom w:val="nil"/>
            </w:tcBorders>
            <w:shd w:val="clear" w:color="auto" w:fill="FFFFFF" w:themeFill="background1"/>
            <w:hideMark/>
          </w:tcPr>
          <w:p w14:paraId="469DE7CE" w14:textId="77777777" w:rsidR="00DE4516" w:rsidRPr="00225231" w:rsidRDefault="00DE4516" w:rsidP="00DE4516">
            <w:pPr>
              <w:pStyle w:val="TableBody"/>
            </w:pPr>
          </w:p>
        </w:tc>
        <w:tc>
          <w:tcPr>
            <w:tcW w:w="3273" w:type="pct"/>
            <w:tcBorders>
              <w:bottom w:val="nil"/>
            </w:tcBorders>
            <w:shd w:val="clear" w:color="auto" w:fill="FFFFFF" w:themeFill="background1"/>
            <w:hideMark/>
          </w:tcPr>
          <w:p w14:paraId="32D29284"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Sodium nitrate, ammonium nitrate, explosives, wicks for safety and detonation, fireworks, and technical pyrotechnics</w:t>
            </w:r>
          </w:p>
        </w:tc>
      </w:tr>
      <w:tr w:rsidR="00DE4516" w:rsidRPr="00225231" w14:paraId="03ACAEBE" w14:textId="77777777" w:rsidTr="002C718D">
        <w:trPr>
          <w:cantSplit/>
        </w:trPr>
        <w:tc>
          <w:tcPr>
            <w:tcW w:w="626" w:type="pct"/>
            <w:vMerge w:val="restart"/>
            <w:tcBorders>
              <w:top w:val="nil"/>
              <w:bottom w:val="nil"/>
            </w:tcBorders>
            <w:shd w:val="clear" w:color="auto" w:fill="C9DED4"/>
            <w:noWrap/>
            <w:hideMark/>
          </w:tcPr>
          <w:p w14:paraId="1A240FBF"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25, 27</w:t>
            </w:r>
          </w:p>
        </w:tc>
        <w:tc>
          <w:tcPr>
            <w:tcW w:w="1101" w:type="pct"/>
            <w:vMerge w:val="restart"/>
            <w:tcBorders>
              <w:top w:val="nil"/>
              <w:bottom w:val="nil"/>
            </w:tcBorders>
            <w:shd w:val="clear" w:color="auto" w:fill="C9DED4"/>
            <w:noWrap/>
            <w:hideMark/>
          </w:tcPr>
          <w:p w14:paraId="747CD78B" w14:textId="77777777" w:rsidR="00DE4516" w:rsidRPr="00A46ADC" w:rsidRDefault="00DE4516" w:rsidP="00DE4516">
            <w:pPr>
              <w:pStyle w:val="TableBody"/>
              <w:autoSpaceDE w:val="0"/>
              <w:autoSpaceDN w:val="0"/>
              <w:adjustRightInd w:val="0"/>
              <w:jc w:val="both"/>
              <w:rPr>
                <w:rFonts w:cs="Calibri"/>
                <w:sz w:val="15"/>
                <w:szCs w:val="16"/>
              </w:rPr>
            </w:pPr>
            <w:r w:rsidRPr="00A46ADC">
              <w:t>Ministry of Energy and Minerals</w:t>
            </w:r>
          </w:p>
        </w:tc>
        <w:tc>
          <w:tcPr>
            <w:tcW w:w="3273" w:type="pct"/>
            <w:tcBorders>
              <w:top w:val="nil"/>
              <w:bottom w:val="nil"/>
            </w:tcBorders>
            <w:shd w:val="clear" w:color="auto" w:fill="C9DED4"/>
            <w:hideMark/>
          </w:tcPr>
          <w:p w14:paraId="7465E26F"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Liquefied natural gas, liquefied propane gas, liquefied butane gas, liquefied petroleum gases and gases in a gaseous state</w:t>
            </w:r>
          </w:p>
        </w:tc>
      </w:tr>
      <w:tr w:rsidR="00DE4516" w:rsidRPr="00225231" w14:paraId="5C460E38"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626" w:type="pct"/>
            <w:vMerge/>
            <w:tcBorders>
              <w:top w:val="nil"/>
            </w:tcBorders>
            <w:hideMark/>
          </w:tcPr>
          <w:p w14:paraId="12B87097" w14:textId="77777777" w:rsidR="00DE4516" w:rsidRPr="00225231" w:rsidRDefault="00DE4516" w:rsidP="00DE4516">
            <w:pPr>
              <w:pStyle w:val="TableBody"/>
            </w:pPr>
          </w:p>
        </w:tc>
        <w:tc>
          <w:tcPr>
            <w:tcW w:w="1101" w:type="pct"/>
            <w:vMerge/>
            <w:tcBorders>
              <w:top w:val="nil"/>
            </w:tcBorders>
            <w:hideMark/>
          </w:tcPr>
          <w:p w14:paraId="48C401DC" w14:textId="77777777" w:rsidR="00DE4516" w:rsidRPr="00225231" w:rsidRDefault="00DE4516" w:rsidP="00DE4516">
            <w:pPr>
              <w:pStyle w:val="TableBody"/>
            </w:pPr>
          </w:p>
        </w:tc>
        <w:tc>
          <w:tcPr>
            <w:tcW w:w="3273" w:type="pct"/>
            <w:tcBorders>
              <w:top w:val="nil"/>
            </w:tcBorders>
            <w:hideMark/>
          </w:tcPr>
          <w:p w14:paraId="228826D2"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Sand, gravel, stones, dolomite, gypsum, lime, meteorites, ores and concentrates of minerals</w:t>
            </w:r>
          </w:p>
        </w:tc>
      </w:tr>
      <w:tr w:rsidR="00DE4516" w:rsidRPr="00225231" w14:paraId="28F8BF73" w14:textId="77777777" w:rsidTr="002C718D">
        <w:trPr>
          <w:cantSplit/>
        </w:trPr>
        <w:tc>
          <w:tcPr>
            <w:tcW w:w="626" w:type="pct"/>
            <w:vMerge w:val="restart"/>
            <w:noWrap/>
            <w:hideMark/>
          </w:tcPr>
          <w:p w14:paraId="069C6293"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49</w:t>
            </w:r>
          </w:p>
        </w:tc>
        <w:tc>
          <w:tcPr>
            <w:tcW w:w="1101" w:type="pct"/>
            <w:vMerge w:val="restart"/>
            <w:noWrap/>
            <w:hideMark/>
          </w:tcPr>
          <w:p w14:paraId="387E47EB" w14:textId="77777777" w:rsidR="00DE4516" w:rsidRPr="00A46ADC" w:rsidRDefault="00DE4516" w:rsidP="00DE4516">
            <w:pPr>
              <w:pStyle w:val="TableBody"/>
              <w:autoSpaceDE w:val="0"/>
              <w:autoSpaceDN w:val="0"/>
              <w:adjustRightInd w:val="0"/>
              <w:jc w:val="both"/>
              <w:rPr>
                <w:rFonts w:cs="Calibri"/>
                <w:sz w:val="15"/>
                <w:szCs w:val="16"/>
              </w:rPr>
            </w:pPr>
            <w:r w:rsidRPr="00A46ADC">
              <w:t>Ministry of Information</w:t>
            </w:r>
          </w:p>
        </w:tc>
        <w:tc>
          <w:tcPr>
            <w:tcW w:w="3273" w:type="pct"/>
            <w:hideMark/>
          </w:tcPr>
          <w:p w14:paraId="5F99C3C8"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 xml:space="preserve">Dictionaries and encyclopaedias, the Noble Qur'an, books, brochures, pamphlets, </w:t>
            </w:r>
            <w:proofErr w:type="gramStart"/>
            <w:r w:rsidRPr="00A46ADC">
              <w:t>newspapers</w:t>
            </w:r>
            <w:proofErr w:type="gramEnd"/>
            <w:r w:rsidRPr="00A46ADC">
              <w:t xml:space="preserve"> and magazines, drawing and colouring collections for children, catalogues</w:t>
            </w:r>
          </w:p>
        </w:tc>
      </w:tr>
      <w:tr w:rsidR="00DE4516" w:rsidRPr="00225231" w14:paraId="0CFF478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626" w:type="pct"/>
            <w:vMerge/>
            <w:tcBorders>
              <w:bottom w:val="nil"/>
            </w:tcBorders>
            <w:hideMark/>
          </w:tcPr>
          <w:p w14:paraId="69D578EA" w14:textId="77777777" w:rsidR="00DE4516" w:rsidRPr="00225231" w:rsidRDefault="00DE4516" w:rsidP="00DE4516">
            <w:pPr>
              <w:pStyle w:val="TableBody"/>
            </w:pPr>
          </w:p>
        </w:tc>
        <w:tc>
          <w:tcPr>
            <w:tcW w:w="1101" w:type="pct"/>
            <w:vMerge/>
            <w:tcBorders>
              <w:bottom w:val="nil"/>
            </w:tcBorders>
            <w:hideMark/>
          </w:tcPr>
          <w:p w14:paraId="3D8C968E" w14:textId="77777777" w:rsidR="00DE4516" w:rsidRPr="00225231" w:rsidRDefault="00DE4516" w:rsidP="00DE4516">
            <w:pPr>
              <w:pStyle w:val="TableBody"/>
            </w:pPr>
          </w:p>
        </w:tc>
        <w:tc>
          <w:tcPr>
            <w:tcW w:w="3273" w:type="pct"/>
            <w:tcBorders>
              <w:bottom w:val="nil"/>
            </w:tcBorders>
            <w:shd w:val="clear" w:color="auto" w:fill="FFFFFF" w:themeFill="background1"/>
            <w:hideMark/>
          </w:tcPr>
          <w:p w14:paraId="55788E7D"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Cultural, scientific, agricultural, health and educational films, and magnetic and optical carriers that contain a substance</w:t>
            </w:r>
          </w:p>
        </w:tc>
      </w:tr>
      <w:tr w:rsidR="00DE4516" w:rsidRPr="00225231" w14:paraId="31EA880F" w14:textId="77777777" w:rsidTr="002C718D">
        <w:trPr>
          <w:cantSplit/>
        </w:trPr>
        <w:tc>
          <w:tcPr>
            <w:tcW w:w="626" w:type="pct"/>
            <w:vMerge w:val="restart"/>
            <w:tcBorders>
              <w:top w:val="nil"/>
              <w:bottom w:val="nil"/>
            </w:tcBorders>
            <w:shd w:val="clear" w:color="auto" w:fill="C9DED4"/>
            <w:hideMark/>
          </w:tcPr>
          <w:p w14:paraId="3866B72B"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3301, 4901, 9307, 97</w:t>
            </w:r>
          </w:p>
        </w:tc>
        <w:tc>
          <w:tcPr>
            <w:tcW w:w="1101" w:type="pct"/>
            <w:vMerge w:val="restart"/>
            <w:tcBorders>
              <w:top w:val="nil"/>
              <w:bottom w:val="nil"/>
            </w:tcBorders>
            <w:shd w:val="clear" w:color="auto" w:fill="C9DED4"/>
            <w:hideMark/>
          </w:tcPr>
          <w:p w14:paraId="578DB2E7" w14:textId="77777777" w:rsidR="00DE4516" w:rsidRPr="00A46ADC" w:rsidRDefault="00DE4516" w:rsidP="00DE4516">
            <w:pPr>
              <w:pStyle w:val="TableBody"/>
              <w:autoSpaceDE w:val="0"/>
              <w:autoSpaceDN w:val="0"/>
              <w:adjustRightInd w:val="0"/>
              <w:jc w:val="both"/>
              <w:rPr>
                <w:rFonts w:cs="Calibri"/>
                <w:sz w:val="15"/>
                <w:szCs w:val="16"/>
              </w:rPr>
            </w:pPr>
            <w:r w:rsidRPr="00A46ADC">
              <w:t>Ministry of Heritage and Tourism</w:t>
            </w:r>
          </w:p>
        </w:tc>
        <w:tc>
          <w:tcPr>
            <w:tcW w:w="3273" w:type="pct"/>
            <w:tcBorders>
              <w:top w:val="nil"/>
              <w:bottom w:val="nil"/>
            </w:tcBorders>
            <w:shd w:val="clear" w:color="auto" w:fill="C9DED4"/>
            <w:hideMark/>
          </w:tcPr>
          <w:p w14:paraId="7215304A"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Over 100 years old handwritten books and manuscripts</w:t>
            </w:r>
          </w:p>
        </w:tc>
      </w:tr>
      <w:tr w:rsidR="00DE4516" w:rsidRPr="00225231" w14:paraId="1111618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626" w:type="pct"/>
            <w:vMerge/>
            <w:tcBorders>
              <w:top w:val="nil"/>
              <w:bottom w:val="nil"/>
            </w:tcBorders>
            <w:hideMark/>
          </w:tcPr>
          <w:p w14:paraId="0D7286FC" w14:textId="77777777" w:rsidR="00DE4516" w:rsidRPr="00225231" w:rsidRDefault="00DE4516" w:rsidP="00DE4516">
            <w:pPr>
              <w:pStyle w:val="TableBody"/>
            </w:pPr>
          </w:p>
        </w:tc>
        <w:tc>
          <w:tcPr>
            <w:tcW w:w="1101" w:type="pct"/>
            <w:vMerge/>
            <w:tcBorders>
              <w:top w:val="nil"/>
              <w:bottom w:val="nil"/>
            </w:tcBorders>
            <w:hideMark/>
          </w:tcPr>
          <w:p w14:paraId="7DB13BB9" w14:textId="77777777" w:rsidR="00DE4516" w:rsidRPr="00225231" w:rsidRDefault="00DE4516" w:rsidP="00DE4516">
            <w:pPr>
              <w:pStyle w:val="TableBody"/>
            </w:pPr>
          </w:p>
        </w:tc>
        <w:tc>
          <w:tcPr>
            <w:tcW w:w="3273" w:type="pct"/>
            <w:tcBorders>
              <w:top w:val="nil"/>
              <w:bottom w:val="nil"/>
            </w:tcBorders>
            <w:hideMark/>
          </w:tcPr>
          <w:p w14:paraId="134D21AB"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Metals and artifacts dated more than 100 years old, daggers and ancient swords</w:t>
            </w:r>
          </w:p>
        </w:tc>
      </w:tr>
      <w:tr w:rsidR="00DE4516" w:rsidRPr="00225231" w14:paraId="1882CC27" w14:textId="77777777" w:rsidTr="002C718D">
        <w:trPr>
          <w:cantSplit/>
        </w:trPr>
        <w:tc>
          <w:tcPr>
            <w:tcW w:w="626" w:type="pct"/>
            <w:vMerge/>
            <w:tcBorders>
              <w:top w:val="nil"/>
              <w:bottom w:val="nil"/>
            </w:tcBorders>
            <w:shd w:val="clear" w:color="auto" w:fill="C9DED4"/>
            <w:hideMark/>
          </w:tcPr>
          <w:p w14:paraId="62D77206" w14:textId="77777777" w:rsidR="00DE4516" w:rsidRPr="00225231" w:rsidRDefault="00DE4516" w:rsidP="00DE4516">
            <w:pPr>
              <w:pStyle w:val="TableBody"/>
            </w:pPr>
          </w:p>
        </w:tc>
        <w:tc>
          <w:tcPr>
            <w:tcW w:w="1101" w:type="pct"/>
            <w:vMerge/>
            <w:tcBorders>
              <w:top w:val="nil"/>
              <w:bottom w:val="nil"/>
            </w:tcBorders>
            <w:shd w:val="clear" w:color="auto" w:fill="C9DED4"/>
            <w:hideMark/>
          </w:tcPr>
          <w:p w14:paraId="7E3E454A" w14:textId="77777777" w:rsidR="00DE4516" w:rsidRPr="00225231" w:rsidRDefault="00DE4516" w:rsidP="00DE4516">
            <w:pPr>
              <w:pStyle w:val="TableBody"/>
            </w:pPr>
          </w:p>
        </w:tc>
        <w:tc>
          <w:tcPr>
            <w:tcW w:w="3273" w:type="pct"/>
            <w:tcBorders>
              <w:top w:val="nil"/>
              <w:bottom w:val="nil"/>
            </w:tcBorders>
            <w:shd w:val="clear" w:color="auto" w:fill="C9DED4"/>
            <w:hideMark/>
          </w:tcPr>
          <w:p w14:paraId="35F5246A"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Frankincense oil, rose oil, palm fronds, wooden door, censers and pottery vases, shields, doors and copper plates, and Omani daggers</w:t>
            </w:r>
          </w:p>
        </w:tc>
      </w:tr>
      <w:tr w:rsidR="00DE4516" w:rsidRPr="00225231" w14:paraId="6167F99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626" w:type="pct"/>
            <w:tcBorders>
              <w:top w:val="nil"/>
              <w:bottom w:val="single" w:sz="4" w:space="0" w:color="auto"/>
            </w:tcBorders>
            <w:shd w:val="clear" w:color="auto" w:fill="FFFFFF" w:themeFill="background1"/>
            <w:noWrap/>
            <w:hideMark/>
          </w:tcPr>
          <w:p w14:paraId="6CDEBF3E"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30</w:t>
            </w:r>
          </w:p>
        </w:tc>
        <w:tc>
          <w:tcPr>
            <w:tcW w:w="1101" w:type="pct"/>
            <w:tcBorders>
              <w:top w:val="nil"/>
              <w:bottom w:val="single" w:sz="4" w:space="0" w:color="auto"/>
            </w:tcBorders>
            <w:shd w:val="clear" w:color="auto" w:fill="FFFFFF" w:themeFill="background1"/>
            <w:noWrap/>
            <w:hideMark/>
          </w:tcPr>
          <w:p w14:paraId="385BADE0" w14:textId="77777777" w:rsidR="00DE4516" w:rsidRPr="00A46ADC" w:rsidRDefault="00DE4516" w:rsidP="00DE4516">
            <w:pPr>
              <w:pStyle w:val="TableBody"/>
              <w:autoSpaceDE w:val="0"/>
              <w:autoSpaceDN w:val="0"/>
              <w:adjustRightInd w:val="0"/>
              <w:jc w:val="both"/>
              <w:rPr>
                <w:rFonts w:cs="Calibri"/>
                <w:sz w:val="15"/>
                <w:szCs w:val="16"/>
              </w:rPr>
            </w:pPr>
            <w:r w:rsidRPr="00A46ADC">
              <w:t>Ministry of Health</w:t>
            </w:r>
          </w:p>
        </w:tc>
        <w:tc>
          <w:tcPr>
            <w:tcW w:w="3273" w:type="pct"/>
            <w:tcBorders>
              <w:top w:val="nil"/>
              <w:bottom w:val="single" w:sz="4" w:space="0" w:color="auto"/>
            </w:tcBorders>
            <w:shd w:val="clear" w:color="auto" w:fill="FFFFFF" w:themeFill="background1"/>
            <w:noWrap/>
            <w:hideMark/>
          </w:tcPr>
          <w:p w14:paraId="302A4A0F" w14:textId="77777777" w:rsidR="00DE4516" w:rsidRPr="00A46ADC" w:rsidRDefault="00DE4516" w:rsidP="00DE4516">
            <w:pPr>
              <w:pStyle w:val="TableBody"/>
              <w:autoSpaceDE w:val="0"/>
              <w:autoSpaceDN w:val="0"/>
              <w:adjustRightInd w:val="0"/>
              <w:ind w:left="280" w:hanging="180"/>
              <w:jc w:val="both"/>
              <w:rPr>
                <w:rFonts w:cs="Calibri"/>
                <w:color w:val="000000"/>
                <w:sz w:val="15"/>
                <w:szCs w:val="16"/>
              </w:rPr>
            </w:pPr>
            <w:r w:rsidRPr="00A46ADC">
              <w:t>•</w:t>
            </w:r>
            <w:r w:rsidRPr="00A46ADC">
              <w:tab/>
              <w:t>All medicines and pharmaceutical products</w:t>
            </w:r>
          </w:p>
        </w:tc>
      </w:tr>
    </w:tbl>
    <w:p w14:paraId="1AE0F87E" w14:textId="145DC508" w:rsidR="00DE4516" w:rsidRDefault="00DE4516">
      <w:pPr>
        <w:pStyle w:val="TableSource"/>
        <w:autoSpaceDE w:val="0"/>
        <w:autoSpaceDN w:val="0"/>
        <w:adjustRightInd w:val="0"/>
        <w:rPr>
          <w:szCs w:val="24"/>
        </w:rPr>
      </w:pPr>
      <w:r>
        <w:rPr>
          <w:szCs w:val="24"/>
        </w:rPr>
        <w:t>Source:</w:t>
      </w:r>
      <w:r>
        <w:rPr>
          <w:szCs w:val="24"/>
        </w:rPr>
        <w:tab/>
        <w:t>Information provided by the authorities.</w:t>
      </w:r>
    </w:p>
    <w:p w14:paraId="43A9BF88" w14:textId="77777777" w:rsidR="00DE4516" w:rsidRDefault="00DE4516">
      <w:pPr>
        <w:pStyle w:val="Heading30"/>
        <w:autoSpaceDE w:val="0"/>
        <w:autoSpaceDN w:val="0"/>
        <w:adjustRightInd w:val="0"/>
        <w:rPr>
          <w:szCs w:val="24"/>
        </w:rPr>
      </w:pPr>
      <w:r>
        <w:rPr>
          <w:szCs w:val="24"/>
        </w:rPr>
        <w:t>Anti</w:t>
      </w:r>
      <w:r>
        <w:rPr>
          <w:szCs w:val="24"/>
        </w:rPr>
        <w:noBreakHyphen/>
        <w:t>dumping, countervailing, and safeguard measures</w:t>
      </w:r>
    </w:p>
    <w:p w14:paraId="6225A25D" w14:textId="77777777" w:rsidR="00DE4516" w:rsidRDefault="00DE4516">
      <w:pPr>
        <w:pStyle w:val="BodyText0"/>
        <w:autoSpaceDE w:val="0"/>
        <w:autoSpaceDN w:val="0"/>
        <w:adjustRightInd w:val="0"/>
        <w:rPr>
          <w:szCs w:val="24"/>
        </w:rPr>
      </w:pPr>
      <w:r>
        <w:rPr>
          <w:szCs w:val="24"/>
        </w:rPr>
        <w:t>Oman notified the WTO in 2015 that it had ratified the GCC Amended Common Law on Anti</w:t>
      </w:r>
      <w:r>
        <w:rPr>
          <w:szCs w:val="24"/>
        </w:rPr>
        <w:noBreakHyphen/>
        <w:t>dumping, Countervailing and Safeguards through Royal Decree No. 20/2015.</w:t>
      </w:r>
      <w:r w:rsidRPr="00DE4516">
        <w:rPr>
          <w:rStyle w:val="FootnoteReference"/>
        </w:rPr>
        <w:footnoteReference w:id="115"/>
      </w:r>
      <w:r>
        <w:rPr>
          <w:szCs w:val="24"/>
        </w:rPr>
        <w:t xml:space="preserve"> Article 8 of the 2001 Economic Agreement between the GCC States already called upon GCC member States to unify their legislation related to anti</w:t>
      </w:r>
      <w:r>
        <w:rPr>
          <w:szCs w:val="24"/>
        </w:rPr>
        <w:noBreakHyphen/>
        <w:t>dumping. Oman adopted the GCC Treaty provisions on contingency trade remedies through Royal Decree No. 20/2015 and its Implementing Regulations through Ministerial Decision No. 315/2015.</w:t>
      </w:r>
      <w:r w:rsidRPr="00DE4516">
        <w:rPr>
          <w:rStyle w:val="FootnoteReference"/>
        </w:rPr>
        <w:footnoteReference w:id="116"/>
      </w:r>
    </w:p>
    <w:p w14:paraId="58D2C172" w14:textId="77777777" w:rsidR="00DE4516" w:rsidRDefault="00DE4516">
      <w:pPr>
        <w:pStyle w:val="BodyText0"/>
        <w:autoSpaceDE w:val="0"/>
        <w:autoSpaceDN w:val="0"/>
        <w:adjustRightInd w:val="0"/>
        <w:rPr>
          <w:szCs w:val="24"/>
        </w:rPr>
      </w:pPr>
      <w:r>
        <w:rPr>
          <w:szCs w:val="24"/>
        </w:rPr>
        <w:t xml:space="preserve">The GCC Industrial Cooperation Committee, the Committee on Anti-Injurious Practices in International </w:t>
      </w:r>
      <w:proofErr w:type="gramStart"/>
      <w:r>
        <w:rPr>
          <w:szCs w:val="24"/>
        </w:rPr>
        <w:t>Trade</w:t>
      </w:r>
      <w:proofErr w:type="gramEnd"/>
      <w:r>
        <w:rPr>
          <w:szCs w:val="24"/>
        </w:rPr>
        <w:t xml:space="preserve"> and the Bureau of Technical Secretariat of Anti-injurious Practice in International Trade (GCC-TSAIP) are responsible for implementing the GCC Common Law on Anti</w:t>
      </w:r>
      <w:r>
        <w:rPr>
          <w:szCs w:val="24"/>
        </w:rPr>
        <w:noBreakHyphen/>
        <w:t>dumping, Countervailing Measures and Safeguard Measures, as amended in 2010.</w:t>
      </w:r>
      <w:r w:rsidRPr="00DE4516">
        <w:rPr>
          <w:rStyle w:val="FootnoteReference"/>
        </w:rPr>
        <w:footnoteReference w:id="117"/>
      </w:r>
    </w:p>
    <w:p w14:paraId="28540F54" w14:textId="77777777" w:rsidR="00DE4516" w:rsidRDefault="00DE4516">
      <w:pPr>
        <w:pStyle w:val="BodyText0"/>
        <w:autoSpaceDE w:val="0"/>
        <w:autoSpaceDN w:val="0"/>
        <w:adjustRightInd w:val="0"/>
        <w:rPr>
          <w:szCs w:val="24"/>
        </w:rPr>
      </w:pPr>
      <w:r>
        <w:rPr>
          <w:szCs w:val="24"/>
        </w:rPr>
        <w:t>While no anti</w:t>
      </w:r>
      <w:r>
        <w:rPr>
          <w:szCs w:val="24"/>
        </w:rPr>
        <w:noBreakHyphen/>
        <w:t>dumping, countervailing, or safeguard measure was reported under the 2014 Review, the GCC started to impose anti</w:t>
      </w:r>
      <w:r>
        <w:rPr>
          <w:szCs w:val="24"/>
        </w:rPr>
        <w:noBreakHyphen/>
        <w:t>dumping measures in June 2017 by first targeting electric lead-acid accumulators of capacity between 35 and 115 Amp-hours from the Republic of Korea.</w:t>
      </w:r>
      <w:r w:rsidRPr="00DE4516">
        <w:rPr>
          <w:rStyle w:val="FootnoteReference"/>
        </w:rPr>
        <w:footnoteReference w:id="118"/>
      </w:r>
      <w:r>
        <w:rPr>
          <w:szCs w:val="24"/>
        </w:rPr>
        <w:t xml:space="preserve"> The last notification made to the WTO, covering the period July–December 2020, lists anti</w:t>
      </w:r>
      <w:r>
        <w:rPr>
          <w:szCs w:val="24"/>
        </w:rPr>
        <w:noBreakHyphen/>
        <w:t>dumping duties imposed on China, India, the Republic of Korea, Poland and Spain.</w:t>
      </w:r>
      <w:r w:rsidRPr="00DE4516">
        <w:rPr>
          <w:rStyle w:val="FootnoteReference"/>
        </w:rPr>
        <w:footnoteReference w:id="119"/>
      </w:r>
    </w:p>
    <w:p w14:paraId="3BDCC5FC" w14:textId="77777777" w:rsidR="00DE4516" w:rsidRDefault="00DE4516">
      <w:pPr>
        <w:pStyle w:val="BodyText0"/>
        <w:autoSpaceDE w:val="0"/>
        <w:autoSpaceDN w:val="0"/>
        <w:adjustRightInd w:val="0"/>
        <w:rPr>
          <w:szCs w:val="24"/>
        </w:rPr>
      </w:pPr>
      <w:r>
        <w:rPr>
          <w:szCs w:val="24"/>
        </w:rPr>
        <w:t>The GCC imposed a provisional safeguard measure on 1 November 2016 on imports of ferro-</w:t>
      </w:r>
      <w:proofErr w:type="gramStart"/>
      <w:r>
        <w:rPr>
          <w:szCs w:val="24"/>
        </w:rPr>
        <w:t>silico-manganese</w:t>
      </w:r>
      <w:proofErr w:type="gramEnd"/>
      <w:r>
        <w:rPr>
          <w:szCs w:val="24"/>
        </w:rPr>
        <w:t xml:space="preserve"> for a duration of 200 days.</w:t>
      </w:r>
      <w:r w:rsidRPr="00DE4516">
        <w:rPr>
          <w:rStyle w:val="FootnoteReference"/>
        </w:rPr>
        <w:footnoteReference w:id="120"/>
      </w:r>
      <w:r>
        <w:rPr>
          <w:szCs w:val="24"/>
        </w:rPr>
        <w:t xml:space="preserve"> It also imposed in May 2018 safeguard duties on imports of flat-rolled products of iron or non</w:t>
      </w:r>
      <w:r>
        <w:rPr>
          <w:szCs w:val="24"/>
        </w:rPr>
        <w:noBreakHyphen/>
        <w:t>alloy steel for three years</w:t>
      </w:r>
      <w:r w:rsidRPr="00DE4516">
        <w:rPr>
          <w:rStyle w:val="FootnoteReference"/>
        </w:rPr>
        <w:footnoteReference w:id="121"/>
      </w:r>
      <w:r>
        <w:rPr>
          <w:szCs w:val="24"/>
        </w:rPr>
        <w:t xml:space="preserve"> and on chemical plasticizers for three years starting in June 2019.</w:t>
      </w:r>
      <w:r w:rsidRPr="00DE4516">
        <w:rPr>
          <w:rStyle w:val="FootnoteReference"/>
        </w:rPr>
        <w:footnoteReference w:id="122"/>
      </w:r>
    </w:p>
    <w:p w14:paraId="1FA41E6E" w14:textId="77777777" w:rsidR="00DE4516" w:rsidRDefault="00DE4516">
      <w:pPr>
        <w:pStyle w:val="Heading30"/>
        <w:autoSpaceDE w:val="0"/>
        <w:autoSpaceDN w:val="0"/>
        <w:adjustRightInd w:val="0"/>
        <w:rPr>
          <w:szCs w:val="24"/>
        </w:rPr>
      </w:pPr>
      <w:r>
        <w:rPr>
          <w:szCs w:val="24"/>
        </w:rPr>
        <w:t>Other measures affecting imports</w:t>
      </w:r>
    </w:p>
    <w:p w14:paraId="7630192E" w14:textId="77777777" w:rsidR="00DE4516" w:rsidRDefault="00DE4516">
      <w:pPr>
        <w:pStyle w:val="BodyText0"/>
        <w:autoSpaceDE w:val="0"/>
        <w:autoSpaceDN w:val="0"/>
        <w:adjustRightInd w:val="0"/>
        <w:rPr>
          <w:szCs w:val="24"/>
        </w:rPr>
      </w:pPr>
      <w:r>
        <w:rPr>
          <w:szCs w:val="24"/>
        </w:rPr>
        <w:t>Oman does not apply any sanctions other than those adopted by the United Nations Security Council. No agreement has been concluded with foreign governments or foreign firms to restrict exports to Oman. Oman does not maintain any compulsory reserve stocks and has never taken measures for balance-of-payment purposes. Oman has not notified any trade-related investment measures (TRIMs) to the WTO.</w:t>
      </w:r>
    </w:p>
    <w:p w14:paraId="2E42F4E5" w14:textId="77777777" w:rsidR="00DE4516" w:rsidRDefault="00DE4516">
      <w:pPr>
        <w:pStyle w:val="BodyText0"/>
        <w:autoSpaceDE w:val="0"/>
        <w:autoSpaceDN w:val="0"/>
        <w:adjustRightInd w:val="0"/>
        <w:rPr>
          <w:szCs w:val="24"/>
        </w:rPr>
      </w:pPr>
      <w:r>
        <w:rPr>
          <w:szCs w:val="24"/>
        </w:rPr>
        <w:t>In 2014, Oman established the Omani Authority for Partnership for Development (OAPFD), which applies international offset contracts.</w:t>
      </w:r>
      <w:r w:rsidRPr="00DE4516">
        <w:rPr>
          <w:rStyle w:val="FootnoteReference"/>
        </w:rPr>
        <w:footnoteReference w:id="123"/>
      </w:r>
      <w:r>
        <w:rPr>
          <w:szCs w:val="24"/>
        </w:rPr>
        <w:t xml:space="preserve"> Offset obligations are applied to all large civilian and military procurement contracts with foreign companies and Omani companies where foreign content is involved.</w:t>
      </w:r>
      <w:r w:rsidRPr="00DE4516">
        <w:rPr>
          <w:rStyle w:val="FootnoteReference"/>
        </w:rPr>
        <w:footnoteReference w:id="124"/>
      </w:r>
      <w:r>
        <w:rPr>
          <w:szCs w:val="24"/>
        </w:rPr>
        <w:t xml:space="preserve"> The OAPFD was merged into the Public Authority for Privatization and Partnership in 2019</w:t>
      </w:r>
      <w:r w:rsidRPr="00DE4516">
        <w:rPr>
          <w:rStyle w:val="FootnoteReference"/>
        </w:rPr>
        <w:footnoteReference w:id="125"/>
      </w:r>
      <w:r>
        <w:rPr>
          <w:szCs w:val="24"/>
        </w:rPr>
        <w:t>, which was then cancelled and transferred to the Ministry of Finance in August 2020.</w:t>
      </w:r>
    </w:p>
    <w:p w14:paraId="59B9C058" w14:textId="77777777" w:rsidR="00DE4516" w:rsidRDefault="00DE4516">
      <w:pPr>
        <w:pStyle w:val="Heading20"/>
        <w:autoSpaceDE w:val="0"/>
        <w:autoSpaceDN w:val="0"/>
        <w:adjustRightInd w:val="0"/>
        <w:rPr>
          <w:szCs w:val="24"/>
        </w:rPr>
      </w:pPr>
      <w:r>
        <w:rPr>
          <w:szCs w:val="24"/>
        </w:rPr>
        <w:lastRenderedPageBreak/>
        <w:t>Measures Directly Affecting Exports</w:t>
      </w:r>
    </w:p>
    <w:p w14:paraId="4614D0ED" w14:textId="77777777" w:rsidR="00DE4516" w:rsidRDefault="00DE4516">
      <w:pPr>
        <w:pStyle w:val="Heading30"/>
        <w:autoSpaceDE w:val="0"/>
        <w:autoSpaceDN w:val="0"/>
        <w:adjustRightInd w:val="0"/>
        <w:rPr>
          <w:szCs w:val="24"/>
        </w:rPr>
      </w:pPr>
      <w:r>
        <w:rPr>
          <w:szCs w:val="24"/>
        </w:rPr>
        <w:t>Customs procedures and requirements</w:t>
      </w:r>
    </w:p>
    <w:p w14:paraId="279FEF96" w14:textId="77777777" w:rsidR="00DE4516" w:rsidRDefault="00DE4516">
      <w:pPr>
        <w:pStyle w:val="BodyText0"/>
        <w:autoSpaceDE w:val="0"/>
        <w:autoSpaceDN w:val="0"/>
        <w:adjustRightInd w:val="0"/>
        <w:rPr>
          <w:szCs w:val="24"/>
        </w:rPr>
      </w:pPr>
      <w:r>
        <w:rPr>
          <w:szCs w:val="24"/>
        </w:rPr>
        <w:t>Exports need to be accompanied by the following documentation: (</w:t>
      </w:r>
      <w:proofErr w:type="spellStart"/>
      <w:r>
        <w:rPr>
          <w:szCs w:val="24"/>
        </w:rPr>
        <w:t>i</w:t>
      </w:r>
      <w:proofErr w:type="spellEnd"/>
      <w:r>
        <w:rPr>
          <w:szCs w:val="24"/>
        </w:rPr>
        <w:t xml:space="preserve">) a copy of the export invoice; (ii) a packing list; (iii) the application letter for the export of used or personal belongings issued by the employer (for foreigners only); (iv) the import declaration; and (v) the form for clearing and classifying goods according to the Customs procedure. In addition, companies exporting restricted goods need to be registered to the Ministry of Commerce, </w:t>
      </w:r>
      <w:proofErr w:type="gramStart"/>
      <w:r>
        <w:rPr>
          <w:szCs w:val="24"/>
        </w:rPr>
        <w:t>Industry</w:t>
      </w:r>
      <w:proofErr w:type="gramEnd"/>
      <w:r>
        <w:rPr>
          <w:szCs w:val="24"/>
        </w:rPr>
        <w:t xml:space="preserve"> and Investment Promotion (MOCIIP) and provide an approval from the relevant authority.</w:t>
      </w:r>
      <w:r w:rsidRPr="00DE4516">
        <w:rPr>
          <w:rStyle w:val="FootnoteReference"/>
        </w:rPr>
        <w:footnoteReference w:id="126"/>
      </w:r>
      <w:r>
        <w:rPr>
          <w:szCs w:val="24"/>
        </w:rPr>
        <w:t xml:space="preserve"> Specific requirements apply for re-exportation.</w:t>
      </w:r>
      <w:r w:rsidRPr="00DE4516">
        <w:rPr>
          <w:rStyle w:val="FootnoteReference"/>
        </w:rPr>
        <w:footnoteReference w:id="127"/>
      </w:r>
    </w:p>
    <w:p w14:paraId="3DB71F04" w14:textId="77777777" w:rsidR="00DE4516" w:rsidRDefault="00DE4516">
      <w:pPr>
        <w:pStyle w:val="Heading30"/>
        <w:autoSpaceDE w:val="0"/>
        <w:autoSpaceDN w:val="0"/>
        <w:adjustRightInd w:val="0"/>
        <w:rPr>
          <w:szCs w:val="24"/>
        </w:rPr>
      </w:pPr>
      <w:r>
        <w:rPr>
          <w:szCs w:val="24"/>
        </w:rPr>
        <w:t>Taxes, charges, and levies</w:t>
      </w:r>
    </w:p>
    <w:p w14:paraId="352DA7E8" w14:textId="77777777" w:rsidR="00DE4516" w:rsidRDefault="00DE4516">
      <w:pPr>
        <w:pStyle w:val="BodyText0"/>
        <w:autoSpaceDE w:val="0"/>
        <w:autoSpaceDN w:val="0"/>
        <w:adjustRightInd w:val="0"/>
        <w:rPr>
          <w:szCs w:val="24"/>
        </w:rPr>
      </w:pPr>
      <w:r>
        <w:rPr>
          <w:szCs w:val="24"/>
        </w:rPr>
        <w:t>According to the authorities, Oman does not apply any export duty or tax. No provision on the use of export duty, charges, or other restrictions is contained in the 2001 Economic Agreement between the GCC States.</w:t>
      </w:r>
      <w:r w:rsidRPr="00DE4516">
        <w:rPr>
          <w:rStyle w:val="FootnoteReference"/>
        </w:rPr>
        <w:footnoteReference w:id="128"/>
      </w:r>
    </w:p>
    <w:p w14:paraId="338F45C0" w14:textId="77777777" w:rsidR="00DE4516" w:rsidRDefault="00DE4516">
      <w:pPr>
        <w:pStyle w:val="Heading30"/>
        <w:autoSpaceDE w:val="0"/>
        <w:autoSpaceDN w:val="0"/>
        <w:adjustRightInd w:val="0"/>
        <w:rPr>
          <w:szCs w:val="24"/>
        </w:rPr>
      </w:pPr>
      <w:r>
        <w:rPr>
          <w:szCs w:val="24"/>
        </w:rPr>
        <w:t>Export prohibitions, restrictions, and licensing</w:t>
      </w:r>
    </w:p>
    <w:p w14:paraId="1A73A1C1" w14:textId="77777777" w:rsidR="00DE4516" w:rsidRDefault="00DE4516">
      <w:pPr>
        <w:pStyle w:val="BodyText0"/>
        <w:autoSpaceDE w:val="0"/>
        <w:autoSpaceDN w:val="0"/>
        <w:adjustRightInd w:val="0"/>
        <w:rPr>
          <w:szCs w:val="24"/>
        </w:rPr>
      </w:pPr>
      <w:r>
        <w:rPr>
          <w:szCs w:val="24"/>
        </w:rPr>
        <w:t>Oman prohibits exports of antiques, ancient manuscripts, and Maria Theresa thalers (historic rials). Export restrictions apply to date palms and seedlings</w:t>
      </w:r>
      <w:r w:rsidRPr="00DE4516">
        <w:rPr>
          <w:rStyle w:val="FootnoteReference"/>
        </w:rPr>
        <w:footnoteReference w:id="129"/>
      </w:r>
      <w:r>
        <w:rPr>
          <w:szCs w:val="24"/>
        </w:rPr>
        <w:t>, and to specific species of fish and molluscs in cases of over-exploitation, notably during breeding seasons.</w:t>
      </w:r>
      <w:r w:rsidRPr="00DE4516">
        <w:rPr>
          <w:rStyle w:val="FootnoteReference"/>
        </w:rPr>
        <w:footnoteReference w:id="130"/>
      </w:r>
      <w:r>
        <w:rPr>
          <w:szCs w:val="24"/>
        </w:rPr>
        <w:t xml:space="preserve"> Ministerial Decisions No. 395/2019 and No. 134/2020 also prohibited the export of raw marble and </w:t>
      </w:r>
      <w:hyperlink r:id="rId22" w:history="1">
        <w:r w:rsidRPr="00D5600E">
          <w:rPr>
            <w:color w:val="0000FF"/>
            <w:szCs w:val="24"/>
            <w:u w:val="single"/>
          </w:rPr>
          <w:t>Omani goat and sheep breeds</w:t>
        </w:r>
      </w:hyperlink>
      <w:r>
        <w:rPr>
          <w:szCs w:val="24"/>
        </w:rPr>
        <w:t xml:space="preserve"> respectively. In the wake of the COVID</w:t>
      </w:r>
      <w:r>
        <w:rPr>
          <w:szCs w:val="24"/>
        </w:rPr>
        <w:noBreakHyphen/>
        <w:t>19 crisis, the Directorate General of Pharmacy and Drug Control banned the export of masks and hand sanitizers.</w:t>
      </w:r>
      <w:r w:rsidRPr="00DE4516">
        <w:rPr>
          <w:rStyle w:val="FootnoteReference"/>
        </w:rPr>
        <w:footnoteReference w:id="131"/>
      </w:r>
      <w:r>
        <w:rPr>
          <w:szCs w:val="24"/>
        </w:rPr>
        <w:t xml:space="preserve"> In addition, export permits are needed for locally mined or quarried products.</w:t>
      </w:r>
    </w:p>
    <w:p w14:paraId="61113C22" w14:textId="77777777" w:rsidR="00DE4516" w:rsidRDefault="00DE4516">
      <w:pPr>
        <w:pStyle w:val="BodyText0"/>
        <w:autoSpaceDE w:val="0"/>
        <w:autoSpaceDN w:val="0"/>
        <w:adjustRightInd w:val="0"/>
        <w:rPr>
          <w:szCs w:val="24"/>
        </w:rPr>
      </w:pPr>
      <w:r>
        <w:rPr>
          <w:szCs w:val="24"/>
        </w:rPr>
        <w:t>The Ministry of Agriculture, Fisheries and Water Resources announced in April 2020 that exporters of livestock should get a permit from the Ministry and enclose a copy of the import permit for livestock from the importing country.</w:t>
      </w:r>
      <w:r w:rsidRPr="00DE4516">
        <w:rPr>
          <w:rStyle w:val="FootnoteReference"/>
        </w:rPr>
        <w:footnoteReference w:id="132"/>
      </w:r>
    </w:p>
    <w:p w14:paraId="6D3CC814" w14:textId="77777777" w:rsidR="00DE4516" w:rsidRDefault="00DE4516">
      <w:pPr>
        <w:pStyle w:val="Heading30"/>
        <w:autoSpaceDE w:val="0"/>
        <w:autoSpaceDN w:val="0"/>
        <w:adjustRightInd w:val="0"/>
        <w:rPr>
          <w:szCs w:val="24"/>
        </w:rPr>
      </w:pPr>
      <w:r>
        <w:rPr>
          <w:szCs w:val="24"/>
        </w:rPr>
        <w:t>Export support and promotion</w:t>
      </w:r>
    </w:p>
    <w:p w14:paraId="4FD49E67" w14:textId="77777777" w:rsidR="00DE4516" w:rsidRDefault="00DE4516">
      <w:pPr>
        <w:pStyle w:val="BodyText0"/>
        <w:autoSpaceDE w:val="0"/>
        <w:autoSpaceDN w:val="0"/>
        <w:adjustRightInd w:val="0"/>
        <w:rPr>
          <w:szCs w:val="24"/>
        </w:rPr>
      </w:pPr>
      <w:r>
        <w:rPr>
          <w:szCs w:val="24"/>
        </w:rPr>
        <w:t>Oman notified the WTO in June 2017 that it does not grant or maintain any export subsidy within the meaning of the Agreement on Subsidies and Countervailing Measures.</w:t>
      </w:r>
      <w:r w:rsidRPr="00DE4516">
        <w:rPr>
          <w:rStyle w:val="FootnoteReference"/>
        </w:rPr>
        <w:footnoteReference w:id="133"/>
      </w:r>
    </w:p>
    <w:p w14:paraId="2ACDA811" w14:textId="77777777" w:rsidR="00DE4516" w:rsidRDefault="00DE4516">
      <w:pPr>
        <w:pStyle w:val="BodyText0"/>
        <w:autoSpaceDE w:val="0"/>
        <w:autoSpaceDN w:val="0"/>
        <w:adjustRightInd w:val="0"/>
        <w:rPr>
          <w:szCs w:val="24"/>
        </w:rPr>
      </w:pPr>
      <w:r>
        <w:rPr>
          <w:szCs w:val="24"/>
        </w:rPr>
        <w:t>Oman's law on partial or full refund of custom duties for re-exportation follows the Unified Customs Laws of the GCC.</w:t>
      </w:r>
      <w:r w:rsidRPr="00DE4516">
        <w:rPr>
          <w:rStyle w:val="FootnoteReference"/>
        </w:rPr>
        <w:footnoteReference w:id="134"/>
      </w:r>
      <w:r>
        <w:rPr>
          <w:szCs w:val="24"/>
        </w:rPr>
        <w:t xml:space="preserve"> Duty refunds are allowed under Article 16 of the Executive Supplementary Notes to the GCC Customs Law. It permits exporters to recover the duty paid on their imported products once the product is re-exported from Oman. The qualifying conditions include that: (</w:t>
      </w:r>
      <w:proofErr w:type="spellStart"/>
      <w:r>
        <w:rPr>
          <w:szCs w:val="24"/>
        </w:rPr>
        <w:t>i</w:t>
      </w:r>
      <w:proofErr w:type="spellEnd"/>
      <w:r>
        <w:rPr>
          <w:szCs w:val="24"/>
        </w:rPr>
        <w:t>) the exporter is also the original importer of the product; (ii) the value of the re-exported goods is not less than USD 5,000; (iii) the goods are re-exported within one year of payment of the import duty and the claim for drawback made within six months from the date of re-exportation in the same condition as when they were imported; and (iv) the exports are not restricted under Omani law, unless prior permission is obtained from the relevant authority. Proof is required that the goods being exported are identical to the goods that were imported.</w:t>
      </w:r>
      <w:r w:rsidRPr="00DE4516">
        <w:rPr>
          <w:rStyle w:val="FootnoteReference"/>
        </w:rPr>
        <w:footnoteReference w:id="135"/>
      </w:r>
    </w:p>
    <w:p w14:paraId="2EB55511" w14:textId="77777777" w:rsidR="00DE4516" w:rsidRDefault="00DE4516">
      <w:pPr>
        <w:pStyle w:val="BodyText0"/>
        <w:autoSpaceDE w:val="0"/>
        <w:autoSpaceDN w:val="0"/>
        <w:adjustRightInd w:val="0"/>
        <w:rPr>
          <w:szCs w:val="24"/>
        </w:rPr>
      </w:pPr>
      <w:r>
        <w:rPr>
          <w:szCs w:val="24"/>
        </w:rPr>
        <w:lastRenderedPageBreak/>
        <w:t>Under Oman's re-export or transit regimes, goods that can be re-exported and for which duty concessions can apply are: (</w:t>
      </w:r>
      <w:proofErr w:type="spellStart"/>
      <w:r>
        <w:rPr>
          <w:szCs w:val="24"/>
        </w:rPr>
        <w:t>i</w:t>
      </w:r>
      <w:proofErr w:type="spellEnd"/>
      <w:r>
        <w:rPr>
          <w:szCs w:val="24"/>
        </w:rPr>
        <w:t>) imports not withdrawn from customs warehouses (at air and sea customs offices only); (ii) imports to be exported that have been granted a temporary release, for up to six months, against a bank or cash guarantee; (iii) imports under the temporary entry scheme to be re-exported; and (iv) suspended goods put in stores. If the goods are sold in Oman instead of being re-exported, the appropriate duties are levied.</w:t>
      </w:r>
      <w:r w:rsidRPr="00DE4516">
        <w:rPr>
          <w:rStyle w:val="FootnoteReference"/>
        </w:rPr>
        <w:footnoteReference w:id="136"/>
      </w:r>
    </w:p>
    <w:p w14:paraId="7D8D2C30" w14:textId="77777777" w:rsidR="00DE4516" w:rsidRDefault="00DE4516">
      <w:pPr>
        <w:pStyle w:val="BodyText0"/>
        <w:autoSpaceDE w:val="0"/>
        <w:autoSpaceDN w:val="0"/>
        <w:adjustRightInd w:val="0"/>
        <w:rPr>
          <w:szCs w:val="24"/>
        </w:rPr>
      </w:pPr>
      <w:r>
        <w:rPr>
          <w:szCs w:val="24"/>
        </w:rPr>
        <w:t>The Public Authority for Investment Promotion and Export Development was abolished and merged into the new MOCIIP in August 2020 (Section 2.1).</w:t>
      </w:r>
      <w:r w:rsidRPr="00DE4516">
        <w:rPr>
          <w:rStyle w:val="FootnoteReference"/>
        </w:rPr>
        <w:footnoteReference w:id="137"/>
      </w:r>
      <w:r>
        <w:rPr>
          <w:szCs w:val="24"/>
        </w:rPr>
        <w:t xml:space="preserve"> Royal Decree No. 105/2020 created the Public Authority for Special Economic Zones and Free Zones.</w:t>
      </w:r>
    </w:p>
    <w:p w14:paraId="2BE5246D" w14:textId="77777777" w:rsidR="00DE4516" w:rsidRDefault="00DE4516">
      <w:pPr>
        <w:pStyle w:val="BodyText0"/>
        <w:autoSpaceDE w:val="0"/>
        <w:autoSpaceDN w:val="0"/>
        <w:adjustRightInd w:val="0"/>
        <w:rPr>
          <w:szCs w:val="24"/>
        </w:rPr>
      </w:pPr>
      <w:r>
        <w:rPr>
          <w:szCs w:val="24"/>
        </w:rPr>
        <w:t xml:space="preserve">Oman has three free zones: Al </w:t>
      </w:r>
      <w:proofErr w:type="spellStart"/>
      <w:r>
        <w:rPr>
          <w:szCs w:val="24"/>
        </w:rPr>
        <w:t>Mazunah</w:t>
      </w:r>
      <w:proofErr w:type="spellEnd"/>
      <w:r>
        <w:rPr>
          <w:szCs w:val="24"/>
        </w:rPr>
        <w:t xml:space="preserve"> Free Zone (AMFZ), inaugurated on 24 November 1999; Salalah Free Zone (SFZ), established under Royal Decree No. 62/2006; and Sohar Port and Free Zone, established by Royal Decree No. 123/2010. Oman also possesses two special economic zones (SEZs): the Duqm SEZ and the Knowledge Oasis Muscat SEZ. The New Foreign Capital Investment Law (NFCIL) permits 100% foreign ownership, which has been one of the main incentives of the free zones for years. Additionally, companies in the free zones can benefit from custom duties exemptions on imports and re-export to non</w:t>
      </w:r>
      <w:r>
        <w:rPr>
          <w:szCs w:val="24"/>
        </w:rPr>
        <w:noBreakHyphen/>
        <w:t xml:space="preserve">GCC countries and from no minimum capital requirements. The SFZ and the AMFZ offer a reduced 10% rate of Omani </w:t>
      </w:r>
      <w:proofErr w:type="gramStart"/>
      <w:r>
        <w:rPr>
          <w:szCs w:val="24"/>
        </w:rPr>
        <w:t>nationals</w:t>
      </w:r>
      <w:proofErr w:type="gramEnd"/>
      <w:r>
        <w:rPr>
          <w:szCs w:val="24"/>
        </w:rPr>
        <w:t xml:space="preserve"> employment requirement compared to the standard 30%, as well as a 30-year corporate tax holiday.</w:t>
      </w:r>
      <w:r w:rsidRPr="00DE4516">
        <w:rPr>
          <w:rStyle w:val="FootnoteReference"/>
        </w:rPr>
        <w:footnoteReference w:id="138"/>
      </w:r>
      <w:r>
        <w:rPr>
          <w:szCs w:val="24"/>
        </w:rPr>
        <w:t xml:space="preserve"> Yemeni nationals have additional benefits in the AMFZ. The Sohar Free Zone offers </w:t>
      </w:r>
      <w:proofErr w:type="spellStart"/>
      <w:r>
        <w:rPr>
          <w:szCs w:val="24"/>
        </w:rPr>
        <w:t>Omanization</w:t>
      </w:r>
      <w:proofErr w:type="spellEnd"/>
      <w:r>
        <w:rPr>
          <w:szCs w:val="24"/>
        </w:rPr>
        <w:t xml:space="preserve"> requirements reduced to 15% for 10 years and a 25-year tax holiday. Each free zone also has its own customs office and a dedicated one-stop shop to help with the required permits and approvals.</w:t>
      </w:r>
    </w:p>
    <w:p w14:paraId="10B32E29" w14:textId="77777777" w:rsidR="00DE4516" w:rsidRDefault="00DE4516">
      <w:pPr>
        <w:pStyle w:val="BodyText0"/>
        <w:autoSpaceDE w:val="0"/>
        <w:autoSpaceDN w:val="0"/>
        <w:adjustRightInd w:val="0"/>
        <w:rPr>
          <w:szCs w:val="24"/>
        </w:rPr>
      </w:pPr>
      <w:r>
        <w:rPr>
          <w:szCs w:val="24"/>
        </w:rPr>
        <w:t>The two SEZs</w:t>
      </w:r>
      <w:r w:rsidRPr="00DE4516">
        <w:rPr>
          <w:rStyle w:val="FootnoteReference"/>
        </w:rPr>
        <w:footnoteReference w:id="139"/>
      </w:r>
      <w:r>
        <w:rPr>
          <w:szCs w:val="24"/>
        </w:rPr>
        <w:t xml:space="preserve"> offer a reduced </w:t>
      </w:r>
      <w:proofErr w:type="spellStart"/>
      <w:r>
        <w:rPr>
          <w:szCs w:val="24"/>
        </w:rPr>
        <w:t>Omanization</w:t>
      </w:r>
      <w:proofErr w:type="spellEnd"/>
      <w:r>
        <w:rPr>
          <w:szCs w:val="24"/>
        </w:rPr>
        <w:t xml:space="preserve"> rate of 25%. Duqm SEZ does not apply custom duties or a minimum capital requirement (contrary to Knowledge Oasis Muscat, where it stands at OMR 20,000) and provides an income tax exemption for 30 years.</w:t>
      </w:r>
      <w:r w:rsidRPr="00DE4516">
        <w:rPr>
          <w:rStyle w:val="FootnoteReference"/>
        </w:rPr>
        <w:footnoteReference w:id="140"/>
      </w:r>
      <w:r>
        <w:rPr>
          <w:szCs w:val="24"/>
        </w:rPr>
        <w:t xml:space="preserve"> The Government established, through Royal Decree No. 119/2011, the Duqm SEZ in 2011 in a bid to attract private investments in diverse sectors, including industrial petrochemical and mineral processing, transit trade and logistics services, tourism resorts, and commercial and residential complexes. This comes as part of an overall national strategy to diversify the economy, maximize the contribution of the private sector to GDP growth, reach equitable development among Oman's different regions, and provide Omani nationals with opportunities to invest, work, and reside in Duqm.</w:t>
      </w:r>
    </w:p>
    <w:p w14:paraId="44FE9617" w14:textId="77777777" w:rsidR="00DE4516" w:rsidRDefault="00DE4516">
      <w:pPr>
        <w:pStyle w:val="BodyText0"/>
        <w:autoSpaceDE w:val="0"/>
        <w:autoSpaceDN w:val="0"/>
        <w:adjustRightInd w:val="0"/>
        <w:rPr>
          <w:szCs w:val="24"/>
        </w:rPr>
      </w:pPr>
      <w:r>
        <w:rPr>
          <w:szCs w:val="24"/>
        </w:rPr>
        <w:t>According to the authorities, no distinction is made between locally and foreign-owned companies with respect to access to the free zones or bonded warehouses. Custom duties of 5% of the value of goods apply to goods imported into a free zone and then exiting the free zone towards Oman or another GCC country.</w:t>
      </w:r>
      <w:r w:rsidRPr="00DE4516">
        <w:rPr>
          <w:rStyle w:val="FootnoteReference"/>
        </w:rPr>
        <w:footnoteReference w:id="141"/>
      </w:r>
      <w:r>
        <w:rPr>
          <w:szCs w:val="24"/>
        </w:rPr>
        <w:t xml:space="preserve"> </w:t>
      </w:r>
      <w:r w:rsidRPr="00DE4516">
        <w:rPr>
          <w:rStyle w:val="FootnoteReference"/>
        </w:rPr>
        <w:footnoteReference w:id="142"/>
      </w:r>
    </w:p>
    <w:p w14:paraId="75D0B6DC" w14:textId="77777777" w:rsidR="00DE4516" w:rsidRDefault="00DE4516">
      <w:pPr>
        <w:pStyle w:val="BodyText0"/>
        <w:autoSpaceDE w:val="0"/>
        <w:autoSpaceDN w:val="0"/>
        <w:adjustRightInd w:val="0"/>
        <w:rPr>
          <w:szCs w:val="24"/>
        </w:rPr>
      </w:pPr>
      <w:r>
        <w:rPr>
          <w:szCs w:val="24"/>
        </w:rPr>
        <w:t>Free zones issue four types of licences: (</w:t>
      </w:r>
      <w:proofErr w:type="spellStart"/>
      <w:r>
        <w:rPr>
          <w:szCs w:val="24"/>
        </w:rPr>
        <w:t>i</w:t>
      </w:r>
      <w:proofErr w:type="spellEnd"/>
      <w:r>
        <w:rPr>
          <w:szCs w:val="24"/>
        </w:rPr>
        <w:t>) general trading licences allow holders to import, export, distribute, and store all items as provided for by the free-zone rules and regulations; (ii) trading licences permit holders to import, export, distribute, and store items specified on the licence; (iii) industrial licences allow holders to import raw materials, carry out the manufacture of specified products, and export the finished product (subjected to clearance); and (iv) service licences permit holders to carry out the services specified in the licence, within the free zone.</w:t>
      </w:r>
      <w:r w:rsidRPr="00DE4516">
        <w:rPr>
          <w:rStyle w:val="FootnoteReference"/>
        </w:rPr>
        <w:footnoteReference w:id="143"/>
      </w:r>
    </w:p>
    <w:p w14:paraId="63041333" w14:textId="77777777" w:rsidR="00DE4516" w:rsidRDefault="00DE4516">
      <w:pPr>
        <w:pStyle w:val="BodyText0"/>
        <w:autoSpaceDE w:val="0"/>
        <w:autoSpaceDN w:val="0"/>
        <w:adjustRightInd w:val="0"/>
        <w:rPr>
          <w:szCs w:val="24"/>
        </w:rPr>
      </w:pPr>
      <w:r>
        <w:rPr>
          <w:szCs w:val="24"/>
        </w:rPr>
        <w:lastRenderedPageBreak/>
        <w:t>Free zones and SEZs are important elements of Oman Vision 2040 and Logistics Strategy 2040, which aim at positioning the Sultanate as a major trade hub.</w:t>
      </w:r>
      <w:r w:rsidRPr="00DE4516">
        <w:rPr>
          <w:rStyle w:val="FootnoteReference"/>
        </w:rPr>
        <w:footnoteReference w:id="144"/>
      </w:r>
      <w:r>
        <w:rPr>
          <w:szCs w:val="24"/>
        </w:rPr>
        <w:t xml:space="preserve"> A project to establish a new SEZ in Musandam is in progress.</w:t>
      </w:r>
      <w:r w:rsidRPr="00DE4516">
        <w:rPr>
          <w:rStyle w:val="FootnoteReference"/>
        </w:rPr>
        <w:footnoteReference w:id="145"/>
      </w:r>
    </w:p>
    <w:p w14:paraId="2E618058" w14:textId="77777777" w:rsidR="00DE4516" w:rsidRDefault="00DE4516">
      <w:pPr>
        <w:pStyle w:val="Heading30"/>
        <w:autoSpaceDE w:val="0"/>
        <w:autoSpaceDN w:val="0"/>
        <w:adjustRightInd w:val="0"/>
        <w:rPr>
          <w:szCs w:val="24"/>
        </w:rPr>
      </w:pPr>
      <w:r>
        <w:rPr>
          <w:szCs w:val="24"/>
        </w:rPr>
        <w:t>Export finance, insurance, and guarantees</w:t>
      </w:r>
    </w:p>
    <w:p w14:paraId="6D856A43" w14:textId="77777777" w:rsidR="00DE4516" w:rsidRDefault="00DE4516">
      <w:pPr>
        <w:pStyle w:val="BodyText0"/>
        <w:autoSpaceDE w:val="0"/>
        <w:autoSpaceDN w:val="0"/>
        <w:adjustRightInd w:val="0"/>
        <w:rPr>
          <w:szCs w:val="24"/>
        </w:rPr>
      </w:pPr>
      <w:r>
        <w:rPr>
          <w:szCs w:val="24"/>
        </w:rPr>
        <w:t>The fully government-funded Credit Oman SAOC, formerly Export Credit Guarantee Agency of Oman (ECGA), promotes Oman's exporters and manufacturers regardless of their ownership. Credit Oman provides credit insurance through the following programmes: export and domestic credit insurance, small and medium-sized enterprise (SME) credit insurance, multi-buyer credit insurance, and documentary credit insurance policy (DCIP). Credit Oman also advises exporters on the credit worthiness of overseas buyers and guides exporters on their credit collection and recovery of bad debts.</w:t>
      </w:r>
      <w:r w:rsidRPr="00DE4516">
        <w:rPr>
          <w:rStyle w:val="FootnoteReference"/>
        </w:rPr>
        <w:footnoteReference w:id="146"/>
      </w:r>
      <w:r>
        <w:rPr>
          <w:szCs w:val="24"/>
        </w:rPr>
        <w:t xml:space="preserve"> It has notably been supporting Oman's exporters through the COVID</w:t>
      </w:r>
      <w:r>
        <w:rPr>
          <w:szCs w:val="24"/>
        </w:rPr>
        <w:noBreakHyphen/>
        <w:t>19 crisis.</w:t>
      </w:r>
      <w:r w:rsidRPr="00DE4516">
        <w:rPr>
          <w:rStyle w:val="FootnoteReference"/>
        </w:rPr>
        <w:footnoteReference w:id="147"/>
      </w:r>
      <w:r>
        <w:rPr>
          <w:szCs w:val="24"/>
        </w:rPr>
        <w:t xml:space="preserve"> Its services are available to Oman-based exporters of any size, operating in any industrial or services sector.</w:t>
      </w:r>
    </w:p>
    <w:p w14:paraId="324A7252" w14:textId="77777777" w:rsidR="00DE4516" w:rsidRDefault="00DE4516">
      <w:pPr>
        <w:pStyle w:val="BodyText0"/>
        <w:autoSpaceDE w:val="0"/>
        <w:autoSpaceDN w:val="0"/>
        <w:adjustRightInd w:val="0"/>
        <w:rPr>
          <w:szCs w:val="24"/>
        </w:rPr>
      </w:pPr>
      <w:r>
        <w:rPr>
          <w:szCs w:val="24"/>
        </w:rPr>
        <w:t>Credit Oman's Export and Domestic Credit Insurance Policy provides protection of up to 80% against commercial risk and up to 85% against non</w:t>
      </w:r>
      <w:r>
        <w:rPr>
          <w:szCs w:val="24"/>
        </w:rPr>
        <w:noBreakHyphen/>
        <w:t>commercial risk. The SME policy is aimed to protect SMEs against losses. The Multi-Buyer Insurance provides protection to large companies of up to 10% of annual turnover. DCIP is an instrument available to commercial banks in which Credit Oman protects them against the risk of non</w:t>
      </w:r>
      <w:r>
        <w:rPr>
          <w:szCs w:val="24"/>
        </w:rPr>
        <w:noBreakHyphen/>
        <w:t>payment of an import letter of credit.</w:t>
      </w:r>
    </w:p>
    <w:p w14:paraId="6D106F81" w14:textId="77777777" w:rsidR="00DE4516" w:rsidRDefault="00DE4516">
      <w:pPr>
        <w:pStyle w:val="Heading20"/>
        <w:autoSpaceDE w:val="0"/>
        <w:autoSpaceDN w:val="0"/>
        <w:adjustRightInd w:val="0"/>
        <w:rPr>
          <w:szCs w:val="24"/>
        </w:rPr>
      </w:pPr>
      <w:r>
        <w:rPr>
          <w:szCs w:val="24"/>
        </w:rPr>
        <w:t>Measures Affecting Production and Trade</w:t>
      </w:r>
    </w:p>
    <w:p w14:paraId="2A929F27" w14:textId="77777777" w:rsidR="00DE4516" w:rsidRDefault="00DE4516">
      <w:pPr>
        <w:pStyle w:val="Heading30"/>
        <w:autoSpaceDE w:val="0"/>
        <w:autoSpaceDN w:val="0"/>
        <w:adjustRightInd w:val="0"/>
        <w:rPr>
          <w:szCs w:val="24"/>
        </w:rPr>
      </w:pPr>
      <w:r>
        <w:rPr>
          <w:szCs w:val="24"/>
        </w:rPr>
        <w:t>Incentives</w:t>
      </w:r>
    </w:p>
    <w:p w14:paraId="55F0553D" w14:textId="77777777" w:rsidR="00DE4516" w:rsidRDefault="00DE4516">
      <w:pPr>
        <w:pStyle w:val="BodyText0"/>
        <w:autoSpaceDE w:val="0"/>
        <w:autoSpaceDN w:val="0"/>
        <w:adjustRightInd w:val="0"/>
        <w:rPr>
          <w:szCs w:val="24"/>
        </w:rPr>
      </w:pPr>
      <w:r>
        <w:rPr>
          <w:szCs w:val="24"/>
        </w:rPr>
        <w:t xml:space="preserve">Incentives available for domestic and foreign investors in Oman comprise, </w:t>
      </w:r>
      <w:r>
        <w:rPr>
          <w:i/>
          <w:szCs w:val="24"/>
        </w:rPr>
        <w:t>inter alia</w:t>
      </w:r>
      <w:r>
        <w:rPr>
          <w:szCs w:val="24"/>
        </w:rPr>
        <w:t>: tax exemptions; no income tax for individuals (although its introduction is being studied); freedom of capital transfers; one-stop shop service</w:t>
      </w:r>
      <w:r w:rsidRPr="00DE4516">
        <w:rPr>
          <w:rStyle w:val="FootnoteReference"/>
        </w:rPr>
        <w:footnoteReference w:id="148"/>
      </w:r>
      <w:r>
        <w:rPr>
          <w:szCs w:val="24"/>
        </w:rPr>
        <w:t>; tariff exemptions on raw materials, machinery, and equipment imported for local production; and full foreign property rights (under certain conditions).</w:t>
      </w:r>
      <w:r w:rsidRPr="00DE4516">
        <w:rPr>
          <w:rStyle w:val="FootnoteReference"/>
        </w:rPr>
        <w:footnoteReference w:id="149"/>
      </w:r>
      <w:r>
        <w:rPr>
          <w:szCs w:val="24"/>
        </w:rPr>
        <w:t xml:space="preserve"> Incentives for foreign investment promulgated under the NFCIL are presented in Section 2.4.</w:t>
      </w:r>
    </w:p>
    <w:p w14:paraId="0002D63D" w14:textId="77777777" w:rsidR="00DE4516" w:rsidRDefault="00DE4516">
      <w:pPr>
        <w:pStyle w:val="BodyText0"/>
        <w:autoSpaceDE w:val="0"/>
        <w:autoSpaceDN w:val="0"/>
        <w:adjustRightInd w:val="0"/>
        <w:rPr>
          <w:szCs w:val="24"/>
        </w:rPr>
      </w:pPr>
      <w:r>
        <w:rPr>
          <w:szCs w:val="24"/>
        </w:rPr>
        <w:t>The 100% state-owned Oman Development Bank (ODB) is Oman's main financial development institution, providing support to micro, SME, and major ventures with the goal of diversifying the sources of national revenue.</w:t>
      </w:r>
      <w:r w:rsidRPr="00DE4516">
        <w:rPr>
          <w:rStyle w:val="FootnoteReference"/>
        </w:rPr>
        <w:footnoteReference w:id="150"/>
      </w:r>
      <w:r>
        <w:rPr>
          <w:szCs w:val="24"/>
        </w:rPr>
        <w:t xml:space="preserve"> Term loans, working capital, and seasonal agricultural loans are also provided through commercial rates of interest. The maximum loan is OMR 1 million, and the repayment period can go up to 10 years, with a grace period of a maximum of five years. The ODB charges a minimum interest rate of 3% per year, with flexible grace periods. The ODB also manages the Agriculture and Fisheries Development Fund. In 2020, the ODB provided more than 11,800 development and emergency loans, with a total loan value of some OMR 68.8 million.</w:t>
      </w:r>
    </w:p>
    <w:p w14:paraId="07E183CF" w14:textId="77777777" w:rsidR="00DE4516" w:rsidRDefault="00DE4516">
      <w:pPr>
        <w:pStyle w:val="BodyText0"/>
        <w:autoSpaceDE w:val="0"/>
        <w:autoSpaceDN w:val="0"/>
        <w:adjustRightInd w:val="0"/>
        <w:rPr>
          <w:szCs w:val="24"/>
        </w:rPr>
      </w:pPr>
      <w:r>
        <w:rPr>
          <w:szCs w:val="24"/>
        </w:rPr>
        <w:t>The Public Authority for the Development of Small and Medium Enterprises (</w:t>
      </w:r>
      <w:proofErr w:type="spellStart"/>
      <w:r>
        <w:rPr>
          <w:szCs w:val="24"/>
        </w:rPr>
        <w:t>Riyada</w:t>
      </w:r>
      <w:proofErr w:type="spellEnd"/>
      <w:r>
        <w:rPr>
          <w:szCs w:val="24"/>
        </w:rPr>
        <w:t>) was established through Royal Decree No. 36/2013 in June 2013 and is headquartered in the Muscat Governorate. Its objectives are to develop SMEs by enabling them to: (</w:t>
      </w:r>
      <w:proofErr w:type="spellStart"/>
      <w:r>
        <w:rPr>
          <w:szCs w:val="24"/>
        </w:rPr>
        <w:t>i</w:t>
      </w:r>
      <w:proofErr w:type="spellEnd"/>
      <w:r>
        <w:rPr>
          <w:szCs w:val="24"/>
        </w:rPr>
        <w:t>) access funding; (ii) instil a culture of entrepreneurship; (iii) promote employment opportunities, especially to young Omanis; (iv) assist entrepreneurs in implementation and leadership tasks; (v) enhance competitiveness; and (vi) support innovation and economic diversification.</w:t>
      </w:r>
      <w:r w:rsidRPr="00DE4516">
        <w:rPr>
          <w:rStyle w:val="FootnoteReference"/>
        </w:rPr>
        <w:footnoteReference w:id="151"/>
      </w:r>
      <w:r>
        <w:rPr>
          <w:szCs w:val="24"/>
        </w:rPr>
        <w:t xml:space="preserve"> To this end, </w:t>
      </w:r>
      <w:proofErr w:type="spellStart"/>
      <w:r>
        <w:rPr>
          <w:szCs w:val="24"/>
        </w:rPr>
        <w:t>Riyada</w:t>
      </w:r>
      <w:proofErr w:type="spellEnd"/>
      <w:r>
        <w:rPr>
          <w:szCs w:val="24"/>
        </w:rPr>
        <w:t xml:space="preserve"> provides training, support, and consulting services.</w:t>
      </w:r>
    </w:p>
    <w:p w14:paraId="718A3EAA" w14:textId="77777777" w:rsidR="00DE4516" w:rsidRDefault="00DE4516">
      <w:pPr>
        <w:pStyle w:val="BodyText0"/>
        <w:autoSpaceDE w:val="0"/>
        <w:autoSpaceDN w:val="0"/>
        <w:adjustRightInd w:val="0"/>
        <w:rPr>
          <w:szCs w:val="24"/>
        </w:rPr>
      </w:pPr>
      <w:r>
        <w:rPr>
          <w:szCs w:val="24"/>
        </w:rPr>
        <w:lastRenderedPageBreak/>
        <w:t xml:space="preserve">Another entity responsible for SMEs' development is the Al </w:t>
      </w:r>
      <w:proofErr w:type="spellStart"/>
      <w:r>
        <w:rPr>
          <w:szCs w:val="24"/>
        </w:rPr>
        <w:t>Raffd</w:t>
      </w:r>
      <w:proofErr w:type="spellEnd"/>
      <w:r>
        <w:rPr>
          <w:szCs w:val="24"/>
        </w:rPr>
        <w:t xml:space="preserve"> Fund, which is dedicated to support young Omanis who establish their own projects. The Fund was created by Royal Decree No. 6/2013 and financed OMR 99 million in projects from 2013 to April 2020. The Fund has provided more than 4,000 direct job opportunities, among which 35.3% for women.</w:t>
      </w:r>
      <w:r w:rsidRPr="00DE4516">
        <w:rPr>
          <w:rStyle w:val="FootnoteReference"/>
        </w:rPr>
        <w:footnoteReference w:id="152"/>
      </w:r>
    </w:p>
    <w:p w14:paraId="5F92FCB5" w14:textId="77777777" w:rsidR="00DE4516" w:rsidRDefault="00DE4516">
      <w:pPr>
        <w:pStyle w:val="BodyText0"/>
        <w:autoSpaceDE w:val="0"/>
        <w:autoSpaceDN w:val="0"/>
        <w:adjustRightInd w:val="0"/>
        <w:rPr>
          <w:szCs w:val="24"/>
        </w:rPr>
      </w:pPr>
      <w:r>
        <w:rPr>
          <w:szCs w:val="24"/>
        </w:rPr>
        <w:t>Several changes to the tax regime were introduced in 2017. Notably, the standard corporate income tax rate increased from 12% to 15%, while a new rate of 3% now applies for small businesses that meet certain conditions. The tax exemption threshold of OMR 30,000 was removed, electronic filling of tax document was introduced, certain tax exemptions were revoked, and stricter penalties were introduced.</w:t>
      </w:r>
      <w:r w:rsidRPr="00DE4516">
        <w:rPr>
          <w:rStyle w:val="FootnoteReference"/>
        </w:rPr>
        <w:footnoteReference w:id="153"/>
      </w:r>
    </w:p>
    <w:p w14:paraId="24F5A3B7" w14:textId="77777777" w:rsidR="00DE4516" w:rsidRDefault="00DE4516">
      <w:pPr>
        <w:pStyle w:val="BodyText0"/>
        <w:autoSpaceDE w:val="0"/>
        <w:autoSpaceDN w:val="0"/>
        <w:adjustRightInd w:val="0"/>
        <w:rPr>
          <w:szCs w:val="24"/>
        </w:rPr>
      </w:pPr>
      <w:r>
        <w:rPr>
          <w:szCs w:val="24"/>
        </w:rPr>
        <w:t>More recently, Royal Decree No. 23/2019 promulgated the Excise Tax Law, in accordance with the GCC Excise Tax Agreement of 2016, which applies to both locally produced and imported goods.</w:t>
      </w:r>
      <w:r w:rsidRPr="00DE4516">
        <w:rPr>
          <w:rStyle w:val="FootnoteReference"/>
        </w:rPr>
        <w:footnoteReference w:id="154"/>
      </w:r>
      <w:r>
        <w:rPr>
          <w:szCs w:val="24"/>
        </w:rPr>
        <w:t xml:space="preserve"> Finally, Royal Decree No. 118/2020 amended some provisions of the Income Tax Law, notably introducing the concept of tax residency.</w:t>
      </w:r>
      <w:r w:rsidRPr="00DE4516">
        <w:rPr>
          <w:rStyle w:val="FootnoteReference"/>
        </w:rPr>
        <w:footnoteReference w:id="155"/>
      </w:r>
      <w:r>
        <w:rPr>
          <w:szCs w:val="24"/>
        </w:rPr>
        <w:t xml:space="preserve"> On 1 November 2020, Oman's Minister of Finance announced that a personal income tax on wealthy individuals would be introduced in 2022, which would make the Sultanate the first GCC country to apply an income tax on individuals.</w:t>
      </w:r>
      <w:r w:rsidRPr="00DE4516">
        <w:rPr>
          <w:rStyle w:val="FootnoteReference"/>
        </w:rPr>
        <w:footnoteReference w:id="156"/>
      </w:r>
      <w:r>
        <w:rPr>
          <w:szCs w:val="24"/>
        </w:rPr>
        <w:t xml:space="preserve"> The authorities indicate that this plan is still being studied.</w:t>
      </w:r>
    </w:p>
    <w:p w14:paraId="7E9675E6" w14:textId="77777777" w:rsidR="00DE4516" w:rsidRDefault="00DE4516">
      <w:pPr>
        <w:pStyle w:val="Heading30"/>
        <w:autoSpaceDE w:val="0"/>
        <w:autoSpaceDN w:val="0"/>
        <w:adjustRightInd w:val="0"/>
        <w:rPr>
          <w:szCs w:val="24"/>
        </w:rPr>
      </w:pPr>
      <w:r>
        <w:rPr>
          <w:szCs w:val="24"/>
        </w:rPr>
        <w:t>Standards and other technical requirements</w:t>
      </w:r>
    </w:p>
    <w:p w14:paraId="6D35F143" w14:textId="77777777" w:rsidR="00DE4516" w:rsidRDefault="00DE4516">
      <w:pPr>
        <w:pStyle w:val="BodyText0"/>
        <w:autoSpaceDE w:val="0"/>
        <w:autoSpaceDN w:val="0"/>
        <w:adjustRightInd w:val="0"/>
        <w:rPr>
          <w:szCs w:val="24"/>
        </w:rPr>
      </w:pPr>
      <w:r>
        <w:rPr>
          <w:szCs w:val="24"/>
        </w:rPr>
        <w:t>The National Enquiry Point and Information Centre, under the MOCIIP, is Oman's national enquiry point established for implementation of the TBT Agreement.</w:t>
      </w:r>
      <w:r w:rsidRPr="00DE4516">
        <w:rPr>
          <w:rStyle w:val="FootnoteReference"/>
        </w:rPr>
        <w:footnoteReference w:id="157"/>
      </w:r>
      <w:r>
        <w:rPr>
          <w:szCs w:val="24"/>
        </w:rPr>
        <w:t xml:space="preserve"> The Directorate General for Standards and Metrology (DGSM) is responsible for standardization, metrology, testing, quality control and quality assurance, conformity assessment and certification, and accreditation activities.</w:t>
      </w:r>
      <w:r w:rsidRPr="00DE4516">
        <w:rPr>
          <w:rStyle w:val="FootnoteReference"/>
        </w:rPr>
        <w:footnoteReference w:id="158"/>
      </w:r>
      <w:r>
        <w:rPr>
          <w:szCs w:val="24"/>
        </w:rPr>
        <w:t xml:space="preserve"> Oman accepted the TBT Code of Good Practice on 18 December 2000.</w:t>
      </w:r>
      <w:r w:rsidRPr="00DE4516">
        <w:rPr>
          <w:rStyle w:val="FootnoteReference"/>
        </w:rPr>
        <w:footnoteReference w:id="159"/>
      </w:r>
      <w:r>
        <w:rPr>
          <w:szCs w:val="24"/>
        </w:rPr>
        <w:t xml:space="preserve"> Between August 2013 and June 2021, Oman made 298 notifications to the WTO's TBT Committee. No specific trade concerns have been raised about Oman's TBT measures.</w:t>
      </w:r>
    </w:p>
    <w:p w14:paraId="49758928" w14:textId="77777777" w:rsidR="00DE4516" w:rsidRDefault="00DE4516">
      <w:pPr>
        <w:pStyle w:val="BodyText0"/>
        <w:autoSpaceDE w:val="0"/>
        <w:autoSpaceDN w:val="0"/>
        <w:adjustRightInd w:val="0"/>
        <w:rPr>
          <w:szCs w:val="24"/>
        </w:rPr>
      </w:pPr>
      <w:r>
        <w:rPr>
          <w:szCs w:val="24"/>
        </w:rPr>
        <w:t>Oman is harmonizing its technical regulations and standards at the GCC level through the Gulf Standards Organization (GSO), which is based in Riyadh. GSO standards and technical regulations are developed by first being proposed as a draft to the Secretary of the GSO Committee by a working group or the member State in charge of the project, and then presented to the member States and tested through a study by the members. International standards go through a fast-track mechanism.</w:t>
      </w:r>
      <w:r w:rsidRPr="00DE4516">
        <w:rPr>
          <w:rStyle w:val="FootnoteReference"/>
        </w:rPr>
        <w:footnoteReference w:id="160"/>
      </w:r>
      <w:r>
        <w:rPr>
          <w:szCs w:val="24"/>
        </w:rPr>
        <w:t xml:space="preserve"> Once approved, GSO standards are circulated to all GCC member States for adoption. Members must withdraw any existing national standard that conflicts with the new GSO standard. In general, GCC and Omani standards are based on international standards.</w:t>
      </w:r>
    </w:p>
    <w:p w14:paraId="3D1B9A13" w14:textId="77777777" w:rsidR="00DE4516" w:rsidRDefault="00DE4516">
      <w:pPr>
        <w:pStyle w:val="BodyText0"/>
        <w:autoSpaceDE w:val="0"/>
        <w:autoSpaceDN w:val="0"/>
        <w:adjustRightInd w:val="0"/>
        <w:rPr>
          <w:szCs w:val="24"/>
        </w:rPr>
      </w:pPr>
      <w:r>
        <w:rPr>
          <w:szCs w:val="24"/>
        </w:rPr>
        <w:t>According to the authorities, Oman develops technical regulations and standards at the national level only if there is a pressing need. All standards and most technical regulations are processed by the DGSM; any proposed technical regulation or standard is examined by one of the seven technical committees under the DGSM</w:t>
      </w:r>
      <w:r w:rsidRPr="00DE4516">
        <w:rPr>
          <w:rStyle w:val="FootnoteReference"/>
        </w:rPr>
        <w:footnoteReference w:id="161"/>
      </w:r>
      <w:r>
        <w:rPr>
          <w:szCs w:val="24"/>
        </w:rPr>
        <w:t xml:space="preserve">, which has nine months to approve, finalize, and adopt it. All draft standards and technical regulations are made available for public comments for at </w:t>
      </w:r>
      <w:r>
        <w:rPr>
          <w:szCs w:val="24"/>
        </w:rPr>
        <w:lastRenderedPageBreak/>
        <w:t>least 60 days</w:t>
      </w:r>
      <w:r w:rsidRPr="00DE4516">
        <w:rPr>
          <w:rStyle w:val="FootnoteReference"/>
        </w:rPr>
        <w:footnoteReference w:id="162"/>
      </w:r>
      <w:r>
        <w:rPr>
          <w:szCs w:val="24"/>
        </w:rPr>
        <w:t xml:space="preserve"> before they are adopted. A Ministerial Decision is required for a standard to become compulsory. Technical regulations are published in the Official Gazette. Technical regulations and standards normally </w:t>
      </w:r>
      <w:proofErr w:type="gramStart"/>
      <w:r>
        <w:rPr>
          <w:szCs w:val="24"/>
        </w:rPr>
        <w:t>enter into</w:t>
      </w:r>
      <w:proofErr w:type="gramEnd"/>
      <w:r>
        <w:rPr>
          <w:szCs w:val="24"/>
        </w:rPr>
        <w:t xml:space="preserve"> effect six months after their publication, unless an emergency situation requires this period to be reduced.</w:t>
      </w:r>
    </w:p>
    <w:p w14:paraId="66F29CDF" w14:textId="77777777" w:rsidR="00DE4516" w:rsidRDefault="00DE4516">
      <w:pPr>
        <w:pStyle w:val="BodyText0"/>
        <w:autoSpaceDE w:val="0"/>
        <w:autoSpaceDN w:val="0"/>
        <w:adjustRightInd w:val="0"/>
        <w:rPr>
          <w:szCs w:val="24"/>
        </w:rPr>
      </w:pPr>
      <w:r>
        <w:rPr>
          <w:szCs w:val="24"/>
        </w:rPr>
        <w:t>As of January 2021, Oman had 23,508 standards in place, 22,262 of which were based on GCC standards as formulated by the GSO, and 1,264 technical regulations. Sixteen are purely national technical regulations, covering products such as gas cylinders, fluorescent induction lamps, and safety footwear.</w:t>
      </w:r>
      <w:r w:rsidRPr="00DE4516">
        <w:rPr>
          <w:rStyle w:val="FootnoteReference"/>
        </w:rPr>
        <w:footnoteReference w:id="163"/>
      </w:r>
    </w:p>
    <w:p w14:paraId="04790C47" w14:textId="77777777" w:rsidR="00DE4516" w:rsidRDefault="00DE4516">
      <w:pPr>
        <w:pStyle w:val="BodyText0"/>
        <w:autoSpaceDE w:val="0"/>
        <w:autoSpaceDN w:val="0"/>
        <w:adjustRightInd w:val="0"/>
        <w:rPr>
          <w:szCs w:val="24"/>
        </w:rPr>
      </w:pPr>
      <w:r>
        <w:rPr>
          <w:szCs w:val="24"/>
        </w:rPr>
        <w:t>All mandatory standards in Oman apply equally to locally produced and imported products. Mandatory standards apply mainly on food products, construction material, toys, cosmetics, and motor vehicles. Compliance of imported goods is verified by the customs authorities. Non</w:t>
      </w:r>
      <w:r>
        <w:rPr>
          <w:szCs w:val="24"/>
        </w:rPr>
        <w:noBreakHyphen/>
        <w:t xml:space="preserve">food products are allowed automatic entry </w:t>
      </w:r>
      <w:proofErr w:type="gramStart"/>
      <w:r>
        <w:rPr>
          <w:szCs w:val="24"/>
        </w:rPr>
        <w:t>on the basis of</w:t>
      </w:r>
      <w:proofErr w:type="gramEnd"/>
      <w:r>
        <w:rPr>
          <w:szCs w:val="24"/>
        </w:rPr>
        <w:t xml:space="preserve"> a Manufacturer's Declaration of Conformity Assessment Certificate, supported by a test report verified by the DGSM; in parallel, some samples are collected unless a mutual recognition agreement is in place. Imported products that are not covered by certificates are released temporarily and their samples tested. Oman has concluded mutual recognition agreements with the Kingdom of Bahrain, Egypt, the Islamic Republic of Iran, Iraq, Jordan, Qatar, Syria, Tunisia, Turkey, the United Arab Emirates, and Yemen.</w:t>
      </w:r>
    </w:p>
    <w:p w14:paraId="32D8BD89" w14:textId="77777777" w:rsidR="00DE4516" w:rsidRDefault="00DE4516">
      <w:pPr>
        <w:pStyle w:val="BodyText0"/>
        <w:autoSpaceDE w:val="0"/>
        <w:autoSpaceDN w:val="0"/>
        <w:adjustRightInd w:val="0"/>
        <w:rPr>
          <w:szCs w:val="24"/>
        </w:rPr>
      </w:pPr>
      <w:r>
        <w:rPr>
          <w:szCs w:val="24"/>
        </w:rPr>
        <w:t>Oman is a member of the Arab Centre for Standardization and Metrology in the Arab Industrial Development</w:t>
      </w:r>
      <w:r>
        <w:rPr>
          <w:szCs w:val="24"/>
          <w:highlight w:val="blue"/>
        </w:rPr>
        <w:t xml:space="preserve"> &amp; </w:t>
      </w:r>
      <w:r>
        <w:rPr>
          <w:szCs w:val="24"/>
        </w:rPr>
        <w:t>Mining Organization, the International Organization for Standardization (ISO), and the International Organization of Legal Metrology (OIML).</w:t>
      </w:r>
    </w:p>
    <w:p w14:paraId="3FEBFE05" w14:textId="77777777" w:rsidR="00DE4516" w:rsidRDefault="00DE4516">
      <w:pPr>
        <w:pStyle w:val="BodyText0"/>
        <w:autoSpaceDE w:val="0"/>
        <w:autoSpaceDN w:val="0"/>
        <w:adjustRightInd w:val="0"/>
        <w:rPr>
          <w:szCs w:val="24"/>
        </w:rPr>
      </w:pPr>
      <w:r>
        <w:rPr>
          <w:szCs w:val="24"/>
        </w:rPr>
        <w:t>Labels must be in Arabic or Arabic and English, although during the pandemic the MOCIIP temporarily waived the Arabic requirement in April 2020.</w:t>
      </w:r>
      <w:r w:rsidRPr="00DE4516">
        <w:rPr>
          <w:rStyle w:val="FootnoteReference"/>
        </w:rPr>
        <w:footnoteReference w:id="164"/>
      </w:r>
      <w:r>
        <w:rPr>
          <w:szCs w:val="24"/>
        </w:rPr>
        <w:t xml:space="preserve"> Food labels must contain product names, production and expiry dates, country of origin, name and address of the manufacturer, net contents in metric units, list of ingredients and additives in descending order of importance, lot identification, and instructions for storage and use (where applicable). Products shipped in bulk should conform to GSO labelling requirements.</w:t>
      </w:r>
      <w:r w:rsidRPr="00DE4516">
        <w:rPr>
          <w:rStyle w:val="FootnoteReference"/>
        </w:rPr>
        <w:footnoteReference w:id="165"/>
      </w:r>
    </w:p>
    <w:p w14:paraId="5B7CEA12" w14:textId="77777777" w:rsidR="00DE4516" w:rsidRDefault="00DE4516">
      <w:pPr>
        <w:pStyle w:val="BodyText0"/>
        <w:autoSpaceDE w:val="0"/>
        <w:autoSpaceDN w:val="0"/>
        <w:adjustRightInd w:val="0"/>
        <w:rPr>
          <w:szCs w:val="24"/>
        </w:rPr>
      </w:pPr>
      <w:r>
        <w:rPr>
          <w:szCs w:val="24"/>
        </w:rPr>
        <w:t>For meat and poultry products, Oman requires slaughtering according to Islamic halal procedures.</w:t>
      </w:r>
      <w:r w:rsidRPr="00DE4516">
        <w:rPr>
          <w:rStyle w:val="FootnoteReference"/>
        </w:rPr>
        <w:footnoteReference w:id="166"/>
      </w:r>
      <w:r>
        <w:rPr>
          <w:szCs w:val="24"/>
        </w:rPr>
        <w:t xml:space="preserve"> Packaged fresh or frozen meat and poultry must also carry the following information in Arabic: country of origin, production (slaughtering or freezing) and expiry dates, shelf life of the product, metric net weight, and product identification. Pre</w:t>
      </w:r>
      <w:r>
        <w:rPr>
          <w:szCs w:val="24"/>
        </w:rPr>
        <w:noBreakHyphen/>
        <w:t>packaged processed meat and poultry must be accompanied by production and expiry dates, as well as the net weight of the product.</w:t>
      </w:r>
    </w:p>
    <w:p w14:paraId="622C8FBA" w14:textId="77777777" w:rsidR="00DE4516" w:rsidRDefault="00DE4516">
      <w:pPr>
        <w:pStyle w:val="BodyText0"/>
        <w:autoSpaceDE w:val="0"/>
        <w:autoSpaceDN w:val="0"/>
        <w:adjustRightInd w:val="0"/>
        <w:rPr>
          <w:szCs w:val="24"/>
        </w:rPr>
      </w:pPr>
      <w:r>
        <w:rPr>
          <w:szCs w:val="24"/>
        </w:rPr>
        <w:t>The Telecommunications Regulatory Authority (TRA) issued labelling guidelines for telecommunication equipment in June 2010. Dealers of such equipment must register with the TRA. The label must contain the approval number and the dealer number. Imported goods may be labelled after customs clearance, but before entering the Omani market. Under Royal Decree No. 59/2015 issuing the Regulation for Dealing in Telecommunications Devices, failure to affix required labels can be sentenced to a fine of OMR 500.</w:t>
      </w:r>
    </w:p>
    <w:p w14:paraId="6292AE95" w14:textId="77777777" w:rsidR="00DE4516" w:rsidRDefault="00DE4516">
      <w:pPr>
        <w:pStyle w:val="BodyText0"/>
        <w:autoSpaceDE w:val="0"/>
        <w:autoSpaceDN w:val="0"/>
        <w:adjustRightInd w:val="0"/>
        <w:rPr>
          <w:szCs w:val="24"/>
        </w:rPr>
      </w:pPr>
      <w:r>
        <w:rPr>
          <w:szCs w:val="24"/>
        </w:rPr>
        <w:t>All precious metals, jewellery, and gemstones, whether imported or locally produced, must be hallmarked under Royal Decree No. 109/2000. The DGSM is responsible for assaying of precious metals and testing of gemstones, as well as providing quality controls, certification, and hallmarking of gold jewellery.</w:t>
      </w:r>
      <w:r w:rsidRPr="00DE4516">
        <w:rPr>
          <w:rStyle w:val="FootnoteReference"/>
        </w:rPr>
        <w:footnoteReference w:id="167"/>
      </w:r>
    </w:p>
    <w:p w14:paraId="30406611" w14:textId="77777777" w:rsidR="00DE4516" w:rsidRDefault="00DE4516">
      <w:pPr>
        <w:pStyle w:val="BodyText0"/>
        <w:autoSpaceDE w:val="0"/>
        <w:autoSpaceDN w:val="0"/>
        <w:adjustRightInd w:val="0"/>
        <w:rPr>
          <w:szCs w:val="24"/>
        </w:rPr>
      </w:pPr>
      <w:r>
        <w:rPr>
          <w:szCs w:val="24"/>
        </w:rPr>
        <w:t xml:space="preserve">In August 2011, the GSO adopted labelling requirements for tobacco products, introducing mandatory warnings on cigarette packages. Labels using terms such as "light" or "low" on packages are deemed misleading and thus prohibited. These rules were taken up by Oman through Ministerial </w:t>
      </w:r>
      <w:r>
        <w:rPr>
          <w:szCs w:val="24"/>
        </w:rPr>
        <w:lastRenderedPageBreak/>
        <w:t>Decree No. 12/2012.</w:t>
      </w:r>
      <w:r w:rsidRPr="00DE4516">
        <w:rPr>
          <w:rStyle w:val="FootnoteReference"/>
        </w:rPr>
        <w:footnoteReference w:id="168"/>
      </w:r>
      <w:r>
        <w:rPr>
          <w:szCs w:val="24"/>
        </w:rPr>
        <w:t xml:space="preserve"> GSO standard No. 223/2013 establishes that breast milk substitutes bear labels indicating the sources of the protein, and a statement expressing the superiority of breast feeding. Oman adopted the GSO standard on energy labelling requirements for air conditioners through Ministerial Decision No. 107/2018.</w:t>
      </w:r>
      <w:r w:rsidRPr="00DE4516">
        <w:rPr>
          <w:rStyle w:val="FootnoteReference"/>
        </w:rPr>
        <w:footnoteReference w:id="169"/>
      </w:r>
    </w:p>
    <w:p w14:paraId="31986F25" w14:textId="77777777" w:rsidR="00DE4516" w:rsidRDefault="00DE4516">
      <w:pPr>
        <w:pStyle w:val="BodyText0"/>
        <w:autoSpaceDE w:val="0"/>
        <w:autoSpaceDN w:val="0"/>
        <w:adjustRightInd w:val="0"/>
        <w:rPr>
          <w:szCs w:val="24"/>
        </w:rPr>
      </w:pPr>
      <w:r>
        <w:rPr>
          <w:szCs w:val="24"/>
        </w:rPr>
        <w:t>Cosmetic products should not have labels that are inconsistent with Islamic traditions and social values, and parts of the labels must be translated into Arabic.</w:t>
      </w:r>
      <w:r w:rsidRPr="00DE4516">
        <w:rPr>
          <w:rStyle w:val="FootnoteReference"/>
        </w:rPr>
        <w:footnoteReference w:id="170"/>
      </w:r>
      <w:r>
        <w:rPr>
          <w:szCs w:val="24"/>
        </w:rPr>
        <w:t xml:space="preserve"> The relevant norm for cosmetics is GSO standard No. 1943/2021. For simple fertilizers, complex compounds, and soil improvers, the relevant legislation on labelling is the GCC Law of Fertilizers and Agricultural Soil Improvers.</w:t>
      </w:r>
    </w:p>
    <w:p w14:paraId="3FECB788" w14:textId="77777777" w:rsidR="00DE4516" w:rsidRDefault="00DE4516">
      <w:pPr>
        <w:pStyle w:val="Heading30"/>
        <w:autoSpaceDE w:val="0"/>
        <w:autoSpaceDN w:val="0"/>
        <w:adjustRightInd w:val="0"/>
        <w:rPr>
          <w:szCs w:val="24"/>
        </w:rPr>
      </w:pPr>
      <w:r>
        <w:rPr>
          <w:szCs w:val="24"/>
        </w:rPr>
        <w:t>Sanitary and phytosanitary requirements</w:t>
      </w:r>
    </w:p>
    <w:p w14:paraId="7749B51E" w14:textId="77777777" w:rsidR="00DE4516" w:rsidRDefault="00DE4516">
      <w:pPr>
        <w:pStyle w:val="BodyText0"/>
        <w:autoSpaceDE w:val="0"/>
        <w:autoSpaceDN w:val="0"/>
        <w:adjustRightInd w:val="0"/>
        <w:rPr>
          <w:szCs w:val="24"/>
        </w:rPr>
      </w:pPr>
      <w:r>
        <w:rPr>
          <w:szCs w:val="24"/>
        </w:rPr>
        <w:t>The National Enquiry Point and Information Centre is the national enquiry point under the WTO SPS Agreement.</w:t>
      </w:r>
      <w:r w:rsidRPr="00DE4516">
        <w:rPr>
          <w:rStyle w:val="FootnoteReference"/>
        </w:rPr>
        <w:footnoteReference w:id="171"/>
      </w:r>
      <w:r>
        <w:rPr>
          <w:szCs w:val="24"/>
        </w:rPr>
        <w:t xml:space="preserve"> The Directorate General of Animal Wealth (DGAW) and the Directorate General of Agricultural Development (DGAD), under the Ministry of Agriculture, Fisheries and Water Resources, are the authorities on SPS matters including food safety and plant and animal health. No specific trade concern has been raised about Oman's SPS measures. In 2017, the GCC countries started to apply the GCC Guide for Control of Imported Foods to ensure that all imported food complies with the GCC regulations and requirements.</w:t>
      </w:r>
      <w:r w:rsidRPr="00DE4516">
        <w:rPr>
          <w:rStyle w:val="FootnoteReference"/>
        </w:rPr>
        <w:footnoteReference w:id="172"/>
      </w:r>
    </w:p>
    <w:p w14:paraId="61B6427F" w14:textId="77777777" w:rsidR="00DE4516" w:rsidRDefault="00DE4516">
      <w:pPr>
        <w:pStyle w:val="BodyText0"/>
        <w:autoSpaceDE w:val="0"/>
        <w:autoSpaceDN w:val="0"/>
        <w:adjustRightInd w:val="0"/>
        <w:rPr>
          <w:szCs w:val="24"/>
        </w:rPr>
      </w:pPr>
      <w:r>
        <w:rPr>
          <w:szCs w:val="24"/>
        </w:rPr>
        <w:t>Since 2004, Oman has been applying the GCC Laws on Veterinary Quarantine and Plant Quarantine.</w:t>
      </w:r>
      <w:r w:rsidRPr="00DE4516">
        <w:rPr>
          <w:rStyle w:val="FootnoteReference"/>
        </w:rPr>
        <w:footnoteReference w:id="173"/>
      </w:r>
      <w:r>
        <w:rPr>
          <w:szCs w:val="24"/>
        </w:rPr>
        <w:t xml:space="preserve"> Imports, exports, and domestic production of plants and animals are subject to inspection by the quarantine section of the Ministry of Agriculture, Fisheries and Water Resources, which also examines and issues SPS certificates for all agricultural products prior to their export. Prior permission from the DGAD is required for imports of agricultural seeds, plants, and plant parts and products, which generally takes a week.</w:t>
      </w:r>
      <w:r w:rsidRPr="00DE4516">
        <w:rPr>
          <w:rStyle w:val="FootnoteReference"/>
        </w:rPr>
        <w:footnoteReference w:id="174"/>
      </w:r>
    </w:p>
    <w:p w14:paraId="2821F30E" w14:textId="77777777" w:rsidR="00DE4516" w:rsidRDefault="00DE4516">
      <w:pPr>
        <w:pStyle w:val="BodyText0"/>
        <w:autoSpaceDE w:val="0"/>
        <w:autoSpaceDN w:val="0"/>
        <w:adjustRightInd w:val="0"/>
        <w:rPr>
          <w:szCs w:val="24"/>
        </w:rPr>
      </w:pPr>
      <w:r>
        <w:rPr>
          <w:szCs w:val="24"/>
        </w:rPr>
        <w:t>A health certificate and prior permission from the Department of Veterinary Licenses of the Ministry of Agriculture, Fisheries and Water Resources are required to import live animals from all countries, including GCC countries.</w:t>
      </w:r>
    </w:p>
    <w:p w14:paraId="39762FA9" w14:textId="77777777" w:rsidR="00DE4516" w:rsidRDefault="00DE4516">
      <w:pPr>
        <w:pStyle w:val="BodyText0"/>
        <w:autoSpaceDE w:val="0"/>
        <w:autoSpaceDN w:val="0"/>
        <w:adjustRightInd w:val="0"/>
        <w:rPr>
          <w:szCs w:val="24"/>
        </w:rPr>
      </w:pPr>
      <w:r>
        <w:rPr>
          <w:szCs w:val="24"/>
        </w:rPr>
        <w:t xml:space="preserve">Imports of foodstuffs of live animals and plants, animal feed, red meats, poultry meat, agricultural materials, timber, </w:t>
      </w:r>
      <w:proofErr w:type="gramStart"/>
      <w:r>
        <w:rPr>
          <w:szCs w:val="24"/>
        </w:rPr>
        <w:t>grains</w:t>
      </w:r>
      <w:proofErr w:type="gramEnd"/>
      <w:r>
        <w:rPr>
          <w:szCs w:val="24"/>
        </w:rPr>
        <w:t xml:space="preserve"> and other unprocessed agricultural products are inspected by the DGAW at any point of entry. They must be free from contaminants, and milk products must be accompanied by a certificate declaring them free of radiation and dioxin. The Health Quarantine Department is responsible for the inspection of imported semi- and fully processed food products, while municipalities have an additional role of inspection in the ports and markets. All consignments that are imported must be accompanied by a health certificate issued by the relevant authority in the country of origin to ensure that the items are fit for human consumption and that animal feed is fit for animals.</w:t>
      </w:r>
      <w:r>
        <w:rPr>
          <w:rStyle w:val="FootnoteReference"/>
          <w:szCs w:val="24"/>
        </w:rPr>
        <w:t xml:space="preserve"> </w:t>
      </w:r>
      <w:r>
        <w:rPr>
          <w:szCs w:val="24"/>
        </w:rPr>
        <w:t>Unfit foodstuff and animal feed are rejected at the port of entry; they are either destroyed at the supplier's expense or returned to the country of origin.</w:t>
      </w:r>
    </w:p>
    <w:p w14:paraId="060F3C7E" w14:textId="77777777" w:rsidR="00DE4516" w:rsidRDefault="00DE4516">
      <w:pPr>
        <w:pStyle w:val="BodyText0"/>
        <w:autoSpaceDE w:val="0"/>
        <w:autoSpaceDN w:val="0"/>
        <w:adjustRightInd w:val="0"/>
        <w:rPr>
          <w:szCs w:val="24"/>
        </w:rPr>
      </w:pPr>
      <w:r>
        <w:rPr>
          <w:szCs w:val="24"/>
        </w:rPr>
        <w:t>For plant and animal imports, the Ministry of Agriculture, Fisheries and Water Resources' quarantine section imposes additional inspections. In 2017, the Ministry imposed new verifications of imported vegetables and fruits regarding maximum levels of pesticides allowed.</w:t>
      </w:r>
    </w:p>
    <w:p w14:paraId="119055F0" w14:textId="77777777" w:rsidR="00DE4516" w:rsidRDefault="00DE4516">
      <w:pPr>
        <w:pStyle w:val="BodyText0"/>
        <w:autoSpaceDE w:val="0"/>
        <w:autoSpaceDN w:val="0"/>
        <w:adjustRightInd w:val="0"/>
        <w:rPr>
          <w:szCs w:val="24"/>
        </w:rPr>
      </w:pPr>
      <w:r>
        <w:rPr>
          <w:szCs w:val="24"/>
        </w:rPr>
        <w:t>Between August 2012 and October 2020, Oman made 65 SPS notifications to the WTO.</w:t>
      </w:r>
    </w:p>
    <w:p w14:paraId="693D9973" w14:textId="77777777" w:rsidR="00DE4516" w:rsidRDefault="00DE4516">
      <w:pPr>
        <w:pStyle w:val="BodyText0"/>
        <w:autoSpaceDE w:val="0"/>
        <w:autoSpaceDN w:val="0"/>
        <w:adjustRightInd w:val="0"/>
        <w:rPr>
          <w:szCs w:val="24"/>
        </w:rPr>
      </w:pPr>
      <w:r>
        <w:rPr>
          <w:szCs w:val="24"/>
        </w:rPr>
        <w:lastRenderedPageBreak/>
        <w:t>Oman is a member of the World Organization for Animal Health (OIE), the International Plant Protection Convention (IPPC), and Codex Alimentarius.</w:t>
      </w:r>
      <w:r w:rsidRPr="00DE4516">
        <w:rPr>
          <w:rStyle w:val="FootnoteReference"/>
        </w:rPr>
        <w:footnoteReference w:id="175"/>
      </w:r>
    </w:p>
    <w:p w14:paraId="7B34B2A1" w14:textId="77777777" w:rsidR="00DE4516" w:rsidRDefault="00DE4516">
      <w:pPr>
        <w:pStyle w:val="Heading30"/>
        <w:autoSpaceDE w:val="0"/>
        <w:autoSpaceDN w:val="0"/>
        <w:adjustRightInd w:val="0"/>
        <w:rPr>
          <w:szCs w:val="24"/>
        </w:rPr>
      </w:pPr>
      <w:r>
        <w:rPr>
          <w:szCs w:val="24"/>
        </w:rPr>
        <w:t>Competition policy, consumer protection, and price controls</w:t>
      </w:r>
    </w:p>
    <w:p w14:paraId="2FB5D33C" w14:textId="77777777" w:rsidR="00DE4516" w:rsidRDefault="00DE4516">
      <w:pPr>
        <w:pStyle w:val="BodyText0"/>
        <w:autoSpaceDE w:val="0"/>
        <w:autoSpaceDN w:val="0"/>
        <w:adjustRightInd w:val="0"/>
        <w:rPr>
          <w:szCs w:val="24"/>
        </w:rPr>
      </w:pPr>
      <w:r>
        <w:rPr>
          <w:szCs w:val="24"/>
        </w:rPr>
        <w:t>Since the last Review, Oman has introduced its first law on competition. The Anti-Monopoly and Competition Protection Law was issued in December 2014.</w:t>
      </w:r>
      <w:r w:rsidRPr="00DE4516">
        <w:rPr>
          <w:rStyle w:val="FootnoteReference"/>
        </w:rPr>
        <w:footnoteReference w:id="176"/>
      </w:r>
      <w:r>
        <w:rPr>
          <w:szCs w:val="24"/>
        </w:rPr>
        <w:t xml:space="preserve"> Under the Law, any production, trading, or services activity located in Oman or that has an influence on the Omani market is prohibited from engaging in practices that would undermine competition. Provisions of the Law do not apply to fully owned government entities. A business can be subjected to sanctions if it is abusing a dominant position (established at more than 35% of the relevant market) by engaging in certain practices without approval from the Consumer Protection Authority. If conducted by dominant market players, the following practices </w:t>
      </w:r>
      <w:proofErr w:type="gramStart"/>
      <w:r>
        <w:rPr>
          <w:szCs w:val="24"/>
        </w:rPr>
        <w:t>are considered to be</w:t>
      </w:r>
      <w:proofErr w:type="gramEnd"/>
      <w:r>
        <w:rPr>
          <w:szCs w:val="24"/>
        </w:rPr>
        <w:t xml:space="preserve"> abuse of dominant position: predatory pricing, imposing import restrictions, creating high barriers to entry, refusing to deal, price reselling creating shortages, and creating product surplus.</w:t>
      </w:r>
      <w:r w:rsidRPr="00DE4516">
        <w:rPr>
          <w:rStyle w:val="FootnoteReference"/>
        </w:rPr>
        <w:footnoteReference w:id="177"/>
      </w:r>
      <w:r>
        <w:rPr>
          <w:szCs w:val="24"/>
        </w:rPr>
        <w:t xml:space="preserve"> An approval may not be granted if the market share exceeds 50%. Royal Decree No. 2/2018 established and promulgated the Competition Protection and Monopoly Prevention Centre, an independent government institution, to review mergers and abuse cases. The Centre was incorporated into the MOCIIP in August 2020.</w:t>
      </w:r>
    </w:p>
    <w:p w14:paraId="6D756B4D" w14:textId="77777777" w:rsidR="00DE4516" w:rsidRDefault="00DE4516">
      <w:pPr>
        <w:pStyle w:val="BodyText0"/>
        <w:autoSpaceDE w:val="0"/>
        <w:autoSpaceDN w:val="0"/>
        <w:adjustRightInd w:val="0"/>
        <w:rPr>
          <w:szCs w:val="24"/>
        </w:rPr>
      </w:pPr>
      <w:r>
        <w:rPr>
          <w:szCs w:val="24"/>
        </w:rPr>
        <w:t xml:space="preserve">Under the Law, complaints from competitors and the </w:t>
      </w:r>
      <w:proofErr w:type="gramStart"/>
      <w:r>
        <w:rPr>
          <w:szCs w:val="24"/>
        </w:rPr>
        <w:t>general public</w:t>
      </w:r>
      <w:proofErr w:type="gramEnd"/>
      <w:r>
        <w:rPr>
          <w:szCs w:val="24"/>
        </w:rPr>
        <w:t xml:space="preserve"> can be addressed to the MOCIIP. Articles 19 through 27 explain the procedures and the penalties applied in case of a violation of the Law. Both imprisonment and financial penalties can apply.</w:t>
      </w:r>
      <w:r w:rsidRPr="00DE4516">
        <w:rPr>
          <w:rStyle w:val="FootnoteReference"/>
        </w:rPr>
        <w:footnoteReference w:id="178"/>
      </w:r>
    </w:p>
    <w:p w14:paraId="4CA26641" w14:textId="77777777" w:rsidR="00DE4516" w:rsidRDefault="00DE4516">
      <w:pPr>
        <w:pStyle w:val="BodyText0"/>
        <w:autoSpaceDE w:val="0"/>
        <w:autoSpaceDN w:val="0"/>
        <w:adjustRightInd w:val="0"/>
        <w:rPr>
          <w:szCs w:val="24"/>
        </w:rPr>
      </w:pPr>
      <w:r>
        <w:rPr>
          <w:szCs w:val="24"/>
        </w:rPr>
        <w:t>Royal Decree No. 66/2014 repealed Royal Decree No. 81/2002 on the Consumer Protection Law. It reinforced the powers of the Consumer Protection Authority (formerly the Public Authority for Consumer Protection</w:t>
      </w:r>
      <w:r w:rsidRPr="00DE4516">
        <w:rPr>
          <w:rStyle w:val="FootnoteReference"/>
        </w:rPr>
        <w:footnoteReference w:id="179"/>
      </w:r>
      <w:r>
        <w:rPr>
          <w:szCs w:val="24"/>
        </w:rPr>
        <w:t>), increased the potential penalties incurred, and overall strengthened transparency, consumer rights, and the legal framework for combating monopolistic behaviours.</w:t>
      </w:r>
      <w:r w:rsidRPr="00DE4516">
        <w:rPr>
          <w:rStyle w:val="FootnoteReference"/>
        </w:rPr>
        <w:footnoteReference w:id="180"/>
      </w:r>
    </w:p>
    <w:p w14:paraId="0D399A11" w14:textId="77777777" w:rsidR="00DE4516" w:rsidRDefault="00DE4516">
      <w:pPr>
        <w:pStyle w:val="BodyText0"/>
        <w:autoSpaceDE w:val="0"/>
        <w:autoSpaceDN w:val="0"/>
        <w:adjustRightInd w:val="0"/>
        <w:rPr>
          <w:szCs w:val="24"/>
        </w:rPr>
      </w:pPr>
      <w:r>
        <w:rPr>
          <w:szCs w:val="24"/>
        </w:rPr>
        <w:t>Certain products, such as gas, petroleum, electricity, and water, as well as some services (</w:t>
      </w:r>
      <w:proofErr w:type="gramStart"/>
      <w:r>
        <w:rPr>
          <w:szCs w:val="24"/>
        </w:rPr>
        <w:t>e.g.</w:t>
      </w:r>
      <w:proofErr w:type="gramEnd"/>
      <w:r>
        <w:rPr>
          <w:szCs w:val="24"/>
        </w:rPr>
        <w:t> telecommunications), may be subject to price controls when sold for household use. In general, the Government sets maximum prices for these goods and services, and the companies adjust their prices accordingly. On petroleum products, however, Oman moved in 2016 from a fixed price to a monthly adjusted price based on international prices, resulting in a significant increase. In December 2020, Oman announced that electricity subsidies for big non</w:t>
      </w:r>
      <w:r>
        <w:rPr>
          <w:szCs w:val="24"/>
        </w:rPr>
        <w:noBreakHyphen/>
        <w:t>residential consumers, including industrial and government entities, would be removed by January 2021. Support will continue to be granted to eligible low-income consumers under a new subsidy plan targeted to poorer households.</w:t>
      </w:r>
      <w:r w:rsidRPr="00DE4516">
        <w:rPr>
          <w:rStyle w:val="FootnoteReference"/>
        </w:rPr>
        <w:footnoteReference w:id="181"/>
      </w:r>
      <w:r>
        <w:rPr>
          <w:szCs w:val="24"/>
        </w:rPr>
        <w:t xml:space="preserve"> Personal and housing loans are subject to an interest rate ceiling set by the Central Bank of Oman (CBO).</w:t>
      </w:r>
    </w:p>
    <w:p w14:paraId="75D83878" w14:textId="77777777" w:rsidR="00DE4516" w:rsidRDefault="00DE4516">
      <w:pPr>
        <w:pStyle w:val="Heading30"/>
        <w:autoSpaceDE w:val="0"/>
        <w:autoSpaceDN w:val="0"/>
        <w:adjustRightInd w:val="0"/>
        <w:rPr>
          <w:szCs w:val="24"/>
        </w:rPr>
      </w:pPr>
      <w:r>
        <w:rPr>
          <w:szCs w:val="24"/>
        </w:rPr>
        <w:t>State trading, state-owned enterprises, and privatization</w:t>
      </w:r>
    </w:p>
    <w:p w14:paraId="02FB3993" w14:textId="77777777" w:rsidR="00DE4516" w:rsidRDefault="00DE4516">
      <w:pPr>
        <w:pStyle w:val="BodyText0"/>
        <w:autoSpaceDE w:val="0"/>
        <w:autoSpaceDN w:val="0"/>
        <w:adjustRightInd w:val="0"/>
        <w:rPr>
          <w:szCs w:val="24"/>
        </w:rPr>
      </w:pPr>
      <w:r>
        <w:rPr>
          <w:szCs w:val="24"/>
        </w:rPr>
        <w:t>Oman notified the WTO Working Party on State Trading Enterprises in 2014 that the Public Authority for Stores and Food Reserves (PASFR), the Petroleum Development Oman (PDO), and Oman Refineries and Petroleum Industries Company (</w:t>
      </w:r>
      <w:proofErr w:type="spellStart"/>
      <w:r>
        <w:rPr>
          <w:szCs w:val="24"/>
        </w:rPr>
        <w:t>Orpic</w:t>
      </w:r>
      <w:proofErr w:type="spellEnd"/>
      <w:r>
        <w:rPr>
          <w:szCs w:val="24"/>
        </w:rPr>
        <w:t>, now integrated within the global energy company OQ) are not state trading enterprises within the meaning of Article XVII:4(a) of the GATT 1994 and paragraph 1 of the Understanding on the Interpretation of Article XVII, as they have not been granted any exclusive right or privilege in their purchases or sales involving either imports or exports.</w:t>
      </w:r>
      <w:r w:rsidRPr="00DE4516">
        <w:rPr>
          <w:rStyle w:val="FootnoteReference"/>
        </w:rPr>
        <w:footnoteReference w:id="182"/>
      </w:r>
    </w:p>
    <w:p w14:paraId="7ADC781E" w14:textId="77777777" w:rsidR="00DE4516" w:rsidRDefault="00DE4516">
      <w:pPr>
        <w:pStyle w:val="BodyText0"/>
        <w:autoSpaceDE w:val="0"/>
        <w:autoSpaceDN w:val="0"/>
        <w:adjustRightInd w:val="0"/>
        <w:rPr>
          <w:szCs w:val="24"/>
        </w:rPr>
      </w:pPr>
      <w:r>
        <w:rPr>
          <w:szCs w:val="24"/>
        </w:rPr>
        <w:lastRenderedPageBreak/>
        <w:t>State-owned enterprises remain important in Oman's economy (</w:t>
      </w:r>
      <w:r>
        <w:rPr>
          <w:rStyle w:val="citetbl"/>
          <w:szCs w:val="24"/>
        </w:rPr>
        <w:t>Table 3.8</w:t>
      </w:r>
      <w:r>
        <w:rPr>
          <w:szCs w:val="24"/>
        </w:rPr>
        <w:t xml:space="preserve">). However, Oman has initiated several measures in recent years to speed up privatization. This stems from the dual objective of leveraging additional government revenues and increasing the contribution of the private sector in the economy. In 2017, the Implementation Support and Follow-up Unit of the </w:t>
      </w:r>
      <w:proofErr w:type="spellStart"/>
      <w:r>
        <w:rPr>
          <w:szCs w:val="24"/>
        </w:rPr>
        <w:t>Tanfeedh</w:t>
      </w:r>
      <w:proofErr w:type="spellEnd"/>
      <w:r>
        <w:rPr>
          <w:szCs w:val="24"/>
        </w:rPr>
        <w:t xml:space="preserve"> programme (paragraph 2.14) declared that there were around 70 state-owned enterprises in Oman and that between 2017 and 2021, the objective was to sell OMR 700 million of SOE assets to the private sector.</w:t>
      </w:r>
      <w:r w:rsidRPr="00DE4516">
        <w:rPr>
          <w:rStyle w:val="FootnoteReference"/>
        </w:rPr>
        <w:footnoteReference w:id="183"/>
      </w:r>
      <w:r>
        <w:rPr>
          <w:szCs w:val="24"/>
        </w:rPr>
        <w:t xml:space="preserve"> SOEs holding companies were asked to present a privatization plan to the Ministry of Finance.</w:t>
      </w:r>
    </w:p>
    <w:p w14:paraId="76F90E2F" w14:textId="77777777" w:rsidR="00DE4516" w:rsidRDefault="00DE4516">
      <w:pPr>
        <w:pStyle w:val="BodyText0"/>
        <w:autoSpaceDE w:val="0"/>
        <w:autoSpaceDN w:val="0"/>
        <w:adjustRightInd w:val="0"/>
        <w:rPr>
          <w:szCs w:val="24"/>
        </w:rPr>
      </w:pPr>
      <w:r>
        <w:rPr>
          <w:szCs w:val="24"/>
        </w:rPr>
        <w:t>To advance Oman's privatization objectives, various regulations were introduced in 2019 (Section 2.2). Royal Decrees No. 50/2019, No. 51/2019, and No. 54/2019 enacted the Privatization Law, the Public Private Partnership Law, and the Establishment of the Public Authority for Privatization and Partnership, respectively. Their aim is to facilitate domestic and foreign investment and sustain private sector growth. The new laws allow for 100% foreign ownership of the privatized entities.</w:t>
      </w:r>
      <w:r w:rsidRPr="00DE4516">
        <w:rPr>
          <w:rStyle w:val="FootnoteReference"/>
        </w:rPr>
        <w:footnoteReference w:id="184"/>
      </w:r>
      <w:r>
        <w:rPr>
          <w:szCs w:val="24"/>
        </w:rPr>
        <w:t xml:space="preserve"> In 2020, the Oman Investment Authority (OIA) was established to group together various state-owned entities.</w:t>
      </w:r>
      <w:r w:rsidRPr="00DE4516">
        <w:rPr>
          <w:rStyle w:val="FootnoteReference"/>
        </w:rPr>
        <w:footnoteReference w:id="185"/>
      </w:r>
      <w:r>
        <w:rPr>
          <w:szCs w:val="24"/>
        </w:rPr>
        <w:t xml:space="preserve"> As </w:t>
      </w:r>
      <w:proofErr w:type="gramStart"/>
      <w:r>
        <w:rPr>
          <w:szCs w:val="24"/>
        </w:rPr>
        <w:t>at</w:t>
      </w:r>
      <w:proofErr w:type="gramEnd"/>
      <w:r>
        <w:rPr>
          <w:szCs w:val="24"/>
        </w:rPr>
        <w:t xml:space="preserve"> June 2021, there are 29 companies in which OIA holds more than 40%.</w:t>
      </w:r>
    </w:p>
    <w:p w14:paraId="4BA21896" w14:textId="77777777" w:rsidR="00DE4516" w:rsidRDefault="00DE4516">
      <w:pPr>
        <w:pStyle w:val="TableTitle"/>
        <w:autoSpaceDE w:val="0"/>
        <w:autoSpaceDN w:val="0"/>
        <w:adjustRightInd w:val="0"/>
      </w:pPr>
      <w:r>
        <w:t>Table 3.8 Selected state-owned enterprises, 2021</w:t>
      </w:r>
    </w:p>
    <w:tbl>
      <w:tblPr>
        <w:tblStyle w:val="WTOTable1"/>
        <w:tblW w:w="0" w:type="auto"/>
        <w:tblLook w:val="05E0" w:firstRow="1" w:lastRow="1" w:firstColumn="1" w:lastColumn="1" w:noHBand="0" w:noVBand="1"/>
      </w:tblPr>
      <w:tblGrid>
        <w:gridCol w:w="3654"/>
        <w:gridCol w:w="4563"/>
        <w:gridCol w:w="799"/>
      </w:tblGrid>
      <w:tr w:rsidR="00DE4516" w:rsidRPr="007F015E" w14:paraId="50716DF5" w14:textId="77777777" w:rsidTr="002C718D">
        <w:trPr>
          <w:cnfStyle w:val="100000000000" w:firstRow="1" w:lastRow="0" w:firstColumn="0" w:lastColumn="0" w:oddVBand="0" w:evenVBand="0" w:oddHBand="0" w:evenHBand="0" w:firstRowFirstColumn="0" w:firstRowLastColumn="0" w:lastRowFirstColumn="0" w:lastRowLastColumn="0"/>
          <w:cantSplit/>
          <w:tblHeader/>
        </w:trPr>
        <w:tc>
          <w:tcPr>
            <w:tcW w:w="3654" w:type="dxa"/>
            <w:tcBorders>
              <w:top w:val="single" w:sz="4" w:space="0" w:color="auto"/>
            </w:tcBorders>
            <w:vAlign w:val="center"/>
            <w:hideMark/>
          </w:tcPr>
          <w:p w14:paraId="29C5FD2D" w14:textId="77777777" w:rsidR="00DE4516" w:rsidRPr="007F015E" w:rsidRDefault="00DE4516" w:rsidP="00DE4516">
            <w:pPr>
              <w:pStyle w:val="TableHead"/>
              <w:autoSpaceDE w:val="0"/>
              <w:autoSpaceDN w:val="0"/>
              <w:adjustRightInd w:val="0"/>
              <w:jc w:val="both"/>
              <w:rPr>
                <w:b/>
                <w:szCs w:val="16"/>
              </w:rPr>
            </w:pPr>
            <w:r w:rsidRPr="007F015E">
              <w:rPr>
                <w:b/>
              </w:rPr>
              <w:t>Company name</w:t>
            </w:r>
          </w:p>
        </w:tc>
        <w:tc>
          <w:tcPr>
            <w:tcW w:w="4563" w:type="dxa"/>
            <w:tcBorders>
              <w:top w:val="single" w:sz="4" w:space="0" w:color="auto"/>
            </w:tcBorders>
            <w:vAlign w:val="center"/>
            <w:hideMark/>
          </w:tcPr>
          <w:p w14:paraId="2B8E6C5C" w14:textId="77777777" w:rsidR="00DE4516" w:rsidRPr="007F015E" w:rsidRDefault="00DE4516" w:rsidP="00DE4516">
            <w:pPr>
              <w:pStyle w:val="TableHead"/>
              <w:autoSpaceDE w:val="0"/>
              <w:autoSpaceDN w:val="0"/>
              <w:adjustRightInd w:val="0"/>
              <w:jc w:val="both"/>
              <w:rPr>
                <w:b/>
                <w:szCs w:val="16"/>
              </w:rPr>
            </w:pPr>
            <w:r w:rsidRPr="007F015E">
              <w:rPr>
                <w:b/>
              </w:rPr>
              <w:t>Sector/Field of activity</w:t>
            </w:r>
          </w:p>
        </w:tc>
        <w:tc>
          <w:tcPr>
            <w:tcW w:w="799" w:type="dxa"/>
            <w:tcBorders>
              <w:top w:val="single" w:sz="4" w:space="0" w:color="auto"/>
            </w:tcBorders>
            <w:hideMark/>
          </w:tcPr>
          <w:p w14:paraId="11DFC411" w14:textId="77777777" w:rsidR="00DE4516" w:rsidRPr="007F015E" w:rsidRDefault="00DE4516" w:rsidP="00DE4516">
            <w:pPr>
              <w:pStyle w:val="TableHead"/>
              <w:autoSpaceDE w:val="0"/>
              <w:autoSpaceDN w:val="0"/>
              <w:adjustRightInd w:val="0"/>
              <w:jc w:val="right"/>
              <w:rPr>
                <w:b/>
                <w:szCs w:val="16"/>
              </w:rPr>
            </w:pPr>
            <w:r w:rsidRPr="007F015E">
              <w:rPr>
                <w:b/>
              </w:rPr>
              <w:t>OIA share (%)</w:t>
            </w:r>
          </w:p>
        </w:tc>
      </w:tr>
      <w:tr w:rsidR="00DE4516" w:rsidRPr="00225231" w14:paraId="6B1BFAFE" w14:textId="77777777" w:rsidTr="002C718D">
        <w:trPr>
          <w:cantSplit/>
        </w:trPr>
        <w:tc>
          <w:tcPr>
            <w:tcW w:w="3654" w:type="dxa"/>
            <w:hideMark/>
          </w:tcPr>
          <w:p w14:paraId="2A94292C" w14:textId="77777777" w:rsidR="00DE4516" w:rsidRPr="00A46ADC" w:rsidRDefault="00DE4516" w:rsidP="00DE4516">
            <w:pPr>
              <w:pStyle w:val="TableBody"/>
              <w:autoSpaceDE w:val="0"/>
              <w:autoSpaceDN w:val="0"/>
              <w:adjustRightInd w:val="0"/>
              <w:jc w:val="both"/>
              <w:rPr>
                <w:szCs w:val="16"/>
              </w:rPr>
            </w:pPr>
            <w:r w:rsidRPr="00A46ADC">
              <w:t>OQ</w:t>
            </w:r>
          </w:p>
        </w:tc>
        <w:tc>
          <w:tcPr>
            <w:tcW w:w="4563" w:type="dxa"/>
            <w:hideMark/>
          </w:tcPr>
          <w:p w14:paraId="10FC364F" w14:textId="77777777" w:rsidR="00DE4516" w:rsidRPr="00A46ADC" w:rsidRDefault="00DE4516" w:rsidP="00DE4516">
            <w:pPr>
              <w:pStyle w:val="TableBody"/>
              <w:autoSpaceDE w:val="0"/>
              <w:autoSpaceDN w:val="0"/>
              <w:adjustRightInd w:val="0"/>
              <w:jc w:val="both"/>
              <w:rPr>
                <w:szCs w:val="16"/>
              </w:rPr>
            </w:pPr>
            <w:r w:rsidRPr="00A46ADC">
              <w:t>Oil, refining, and gas</w:t>
            </w:r>
          </w:p>
        </w:tc>
        <w:tc>
          <w:tcPr>
            <w:tcW w:w="799" w:type="dxa"/>
            <w:hideMark/>
          </w:tcPr>
          <w:p w14:paraId="36BC2674"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4E01039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tcPr>
          <w:p w14:paraId="2B78CDB9" w14:textId="77777777" w:rsidR="00DE4516" w:rsidRPr="00A46ADC" w:rsidRDefault="00DE4516" w:rsidP="00DE4516">
            <w:pPr>
              <w:pStyle w:val="TableBody"/>
              <w:autoSpaceDE w:val="0"/>
              <w:autoSpaceDN w:val="0"/>
              <w:adjustRightInd w:val="0"/>
              <w:jc w:val="both"/>
              <w:rPr>
                <w:szCs w:val="16"/>
              </w:rPr>
            </w:pPr>
            <w:proofErr w:type="spellStart"/>
            <w:r w:rsidRPr="00A46ADC">
              <w:t>Qalhat</w:t>
            </w:r>
            <w:proofErr w:type="spellEnd"/>
            <w:r w:rsidRPr="00A46ADC">
              <w:t xml:space="preserve"> LNG</w:t>
            </w:r>
          </w:p>
        </w:tc>
        <w:tc>
          <w:tcPr>
            <w:tcW w:w="4563" w:type="dxa"/>
          </w:tcPr>
          <w:p w14:paraId="5478F7F7" w14:textId="77777777" w:rsidR="00DE4516" w:rsidRPr="00A46ADC" w:rsidRDefault="00DE4516" w:rsidP="00DE4516">
            <w:pPr>
              <w:pStyle w:val="TableBody"/>
              <w:autoSpaceDE w:val="0"/>
              <w:autoSpaceDN w:val="0"/>
              <w:adjustRightInd w:val="0"/>
              <w:jc w:val="both"/>
              <w:rPr>
                <w:szCs w:val="16"/>
              </w:rPr>
            </w:pPr>
            <w:r w:rsidRPr="00A46ADC">
              <w:t>Natural gas</w:t>
            </w:r>
          </w:p>
        </w:tc>
        <w:tc>
          <w:tcPr>
            <w:tcW w:w="799" w:type="dxa"/>
          </w:tcPr>
          <w:p w14:paraId="3FCD9CB1" w14:textId="77777777" w:rsidR="00DE4516" w:rsidRPr="00A46ADC" w:rsidRDefault="00DE4516" w:rsidP="00DE4516">
            <w:pPr>
              <w:pStyle w:val="TableBody"/>
              <w:autoSpaceDE w:val="0"/>
              <w:autoSpaceDN w:val="0"/>
              <w:adjustRightInd w:val="0"/>
              <w:jc w:val="right"/>
              <w:rPr>
                <w:szCs w:val="16"/>
              </w:rPr>
            </w:pPr>
            <w:r w:rsidRPr="00A46ADC">
              <w:t>46.84</w:t>
            </w:r>
          </w:p>
        </w:tc>
      </w:tr>
      <w:tr w:rsidR="00DE4516" w:rsidRPr="00225231" w14:paraId="3DF1CC07" w14:textId="77777777" w:rsidTr="002C718D">
        <w:trPr>
          <w:cantSplit/>
        </w:trPr>
        <w:tc>
          <w:tcPr>
            <w:tcW w:w="3654" w:type="dxa"/>
            <w:hideMark/>
          </w:tcPr>
          <w:p w14:paraId="17F3E17F" w14:textId="77777777" w:rsidR="00DE4516" w:rsidRPr="00A46ADC" w:rsidRDefault="00DE4516" w:rsidP="00DE4516">
            <w:pPr>
              <w:pStyle w:val="TableBody"/>
              <w:autoSpaceDE w:val="0"/>
              <w:autoSpaceDN w:val="0"/>
              <w:adjustRightInd w:val="0"/>
              <w:jc w:val="both"/>
              <w:rPr>
                <w:szCs w:val="16"/>
              </w:rPr>
            </w:pPr>
            <w:r w:rsidRPr="00A46ADC">
              <w:t>Petroleum Development Oman</w:t>
            </w:r>
          </w:p>
        </w:tc>
        <w:tc>
          <w:tcPr>
            <w:tcW w:w="4563" w:type="dxa"/>
            <w:hideMark/>
          </w:tcPr>
          <w:p w14:paraId="021E819C" w14:textId="77777777" w:rsidR="00DE4516" w:rsidRPr="00A46ADC" w:rsidRDefault="00DE4516" w:rsidP="00DE4516">
            <w:pPr>
              <w:pStyle w:val="TableBody"/>
              <w:autoSpaceDE w:val="0"/>
              <w:autoSpaceDN w:val="0"/>
              <w:adjustRightInd w:val="0"/>
              <w:jc w:val="both"/>
              <w:rPr>
                <w:szCs w:val="16"/>
              </w:rPr>
            </w:pPr>
            <w:r w:rsidRPr="00A46ADC">
              <w:t>Petroleum and natural gas production, refining</w:t>
            </w:r>
          </w:p>
        </w:tc>
        <w:tc>
          <w:tcPr>
            <w:tcW w:w="799" w:type="dxa"/>
            <w:hideMark/>
          </w:tcPr>
          <w:p w14:paraId="675EE130" w14:textId="77777777" w:rsidR="00DE4516" w:rsidRPr="00A46ADC" w:rsidRDefault="00DE4516" w:rsidP="00DE4516">
            <w:pPr>
              <w:pStyle w:val="TableBody"/>
              <w:autoSpaceDE w:val="0"/>
              <w:autoSpaceDN w:val="0"/>
              <w:adjustRightInd w:val="0"/>
              <w:jc w:val="right"/>
              <w:rPr>
                <w:szCs w:val="16"/>
              </w:rPr>
            </w:pPr>
            <w:r w:rsidRPr="00A46ADC">
              <w:t>60</w:t>
            </w:r>
          </w:p>
        </w:tc>
      </w:tr>
      <w:tr w:rsidR="00DE4516" w:rsidRPr="00225231" w14:paraId="0E9BAEC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002CEE01" w14:textId="77777777" w:rsidR="00DE4516" w:rsidRPr="00A46ADC" w:rsidRDefault="00DE4516" w:rsidP="00DE4516">
            <w:pPr>
              <w:pStyle w:val="TableBody"/>
              <w:autoSpaceDE w:val="0"/>
              <w:autoSpaceDN w:val="0"/>
              <w:adjustRightInd w:val="0"/>
              <w:jc w:val="both"/>
              <w:rPr>
                <w:szCs w:val="16"/>
              </w:rPr>
            </w:pPr>
            <w:r w:rsidRPr="00A46ADC">
              <w:t>Mineral Development Oman</w:t>
            </w:r>
          </w:p>
        </w:tc>
        <w:tc>
          <w:tcPr>
            <w:tcW w:w="4563" w:type="dxa"/>
            <w:hideMark/>
          </w:tcPr>
          <w:p w14:paraId="56B35E73" w14:textId="77777777" w:rsidR="00DE4516" w:rsidRPr="00A46ADC" w:rsidRDefault="00DE4516" w:rsidP="00DE4516">
            <w:pPr>
              <w:pStyle w:val="TableBody"/>
              <w:autoSpaceDE w:val="0"/>
              <w:autoSpaceDN w:val="0"/>
              <w:adjustRightInd w:val="0"/>
              <w:jc w:val="both"/>
              <w:rPr>
                <w:szCs w:val="16"/>
              </w:rPr>
            </w:pPr>
            <w:r w:rsidRPr="00A46ADC">
              <w:t>Mining</w:t>
            </w:r>
          </w:p>
        </w:tc>
        <w:tc>
          <w:tcPr>
            <w:tcW w:w="799" w:type="dxa"/>
            <w:hideMark/>
          </w:tcPr>
          <w:p w14:paraId="3A3B4390" w14:textId="77777777" w:rsidR="00DE4516" w:rsidRPr="00A46ADC" w:rsidRDefault="00DE4516" w:rsidP="00DE4516">
            <w:pPr>
              <w:pStyle w:val="TableBody"/>
              <w:autoSpaceDE w:val="0"/>
              <w:autoSpaceDN w:val="0"/>
              <w:adjustRightInd w:val="0"/>
              <w:jc w:val="right"/>
              <w:rPr>
                <w:bCs/>
                <w:szCs w:val="16"/>
              </w:rPr>
            </w:pPr>
            <w:r w:rsidRPr="00A46ADC">
              <w:t>100</w:t>
            </w:r>
          </w:p>
        </w:tc>
      </w:tr>
      <w:tr w:rsidR="00DE4516" w:rsidRPr="00225231" w14:paraId="5C576935" w14:textId="77777777" w:rsidTr="002C718D">
        <w:trPr>
          <w:cantSplit/>
        </w:trPr>
        <w:tc>
          <w:tcPr>
            <w:tcW w:w="3654" w:type="dxa"/>
            <w:hideMark/>
          </w:tcPr>
          <w:p w14:paraId="058BC183" w14:textId="77777777" w:rsidR="00DE4516" w:rsidRPr="00A46ADC" w:rsidRDefault="00DE4516" w:rsidP="00DE4516">
            <w:pPr>
              <w:pStyle w:val="TableBody"/>
              <w:autoSpaceDE w:val="0"/>
              <w:autoSpaceDN w:val="0"/>
              <w:adjustRightInd w:val="0"/>
              <w:jc w:val="both"/>
              <w:rPr>
                <w:szCs w:val="16"/>
              </w:rPr>
            </w:pPr>
            <w:r w:rsidRPr="00A46ADC">
              <w:t>Oman Global Logistics Group (</w:t>
            </w:r>
            <w:proofErr w:type="spellStart"/>
            <w:r w:rsidRPr="00A46ADC">
              <w:t>Asyad</w:t>
            </w:r>
            <w:proofErr w:type="spellEnd"/>
            <w:r w:rsidRPr="00A46ADC">
              <w:t>)</w:t>
            </w:r>
          </w:p>
        </w:tc>
        <w:tc>
          <w:tcPr>
            <w:tcW w:w="4563" w:type="dxa"/>
            <w:hideMark/>
          </w:tcPr>
          <w:p w14:paraId="5D8B762F" w14:textId="77777777" w:rsidR="00DE4516" w:rsidRPr="00A46ADC" w:rsidRDefault="00DE4516" w:rsidP="00DE4516">
            <w:pPr>
              <w:pStyle w:val="TableBody"/>
              <w:autoSpaceDE w:val="0"/>
              <w:autoSpaceDN w:val="0"/>
              <w:adjustRightInd w:val="0"/>
              <w:jc w:val="both"/>
              <w:rPr>
                <w:szCs w:val="16"/>
              </w:rPr>
            </w:pPr>
            <w:r w:rsidRPr="00A46ADC">
              <w:t>Transportation</w:t>
            </w:r>
            <w:r w:rsidRPr="00A46ADC">
              <w:rPr>
                <w:highlight w:val="blue"/>
              </w:rPr>
              <w:t xml:space="preserve"> &amp; </w:t>
            </w:r>
            <w:r w:rsidRPr="00A46ADC">
              <w:t>logistics</w:t>
            </w:r>
          </w:p>
        </w:tc>
        <w:tc>
          <w:tcPr>
            <w:tcW w:w="799" w:type="dxa"/>
            <w:hideMark/>
          </w:tcPr>
          <w:p w14:paraId="4A41E0BC"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5B69446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206BF916" w14:textId="77777777" w:rsidR="00DE4516" w:rsidRPr="00A46ADC" w:rsidRDefault="00DE4516" w:rsidP="00DE4516">
            <w:pPr>
              <w:pStyle w:val="TableBody"/>
              <w:autoSpaceDE w:val="0"/>
              <w:autoSpaceDN w:val="0"/>
              <w:adjustRightInd w:val="0"/>
              <w:jc w:val="both"/>
              <w:rPr>
                <w:szCs w:val="16"/>
              </w:rPr>
            </w:pPr>
            <w:r w:rsidRPr="00A46ADC">
              <w:t>Oman Information</w:t>
            </w:r>
            <w:r w:rsidRPr="00A46ADC">
              <w:rPr>
                <w:highlight w:val="blue"/>
              </w:rPr>
              <w:t xml:space="preserve"> &amp; </w:t>
            </w:r>
            <w:r w:rsidRPr="00A46ADC">
              <w:t>communication Technology Group (OICT)</w:t>
            </w:r>
          </w:p>
        </w:tc>
        <w:tc>
          <w:tcPr>
            <w:tcW w:w="4563" w:type="dxa"/>
            <w:hideMark/>
          </w:tcPr>
          <w:p w14:paraId="693F8ADF" w14:textId="77777777" w:rsidR="00DE4516" w:rsidRPr="00A46ADC" w:rsidRDefault="00DE4516" w:rsidP="00DE4516">
            <w:pPr>
              <w:pStyle w:val="TableBody"/>
              <w:autoSpaceDE w:val="0"/>
              <w:autoSpaceDN w:val="0"/>
              <w:adjustRightInd w:val="0"/>
              <w:jc w:val="both"/>
              <w:rPr>
                <w:szCs w:val="16"/>
              </w:rPr>
            </w:pPr>
            <w:r w:rsidRPr="00A46ADC">
              <w:t xml:space="preserve">Information, </w:t>
            </w:r>
            <w:r w:rsidRPr="00A46ADC">
              <w:rPr>
                <w:highlight w:val="blue"/>
              </w:rPr>
              <w:t>communication &amp; t</w:t>
            </w:r>
            <w:r w:rsidRPr="00A46ADC">
              <w:t>echnology</w:t>
            </w:r>
          </w:p>
        </w:tc>
        <w:tc>
          <w:tcPr>
            <w:tcW w:w="799" w:type="dxa"/>
            <w:hideMark/>
          </w:tcPr>
          <w:p w14:paraId="45BF6A99"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654115E3" w14:textId="77777777" w:rsidTr="002C718D">
        <w:trPr>
          <w:cantSplit/>
        </w:trPr>
        <w:tc>
          <w:tcPr>
            <w:tcW w:w="3654" w:type="dxa"/>
            <w:hideMark/>
          </w:tcPr>
          <w:p w14:paraId="7071EE92" w14:textId="77777777" w:rsidR="00DE4516" w:rsidRPr="00A46ADC" w:rsidRDefault="00DE4516" w:rsidP="00DE4516">
            <w:pPr>
              <w:pStyle w:val="TableBody"/>
              <w:autoSpaceDE w:val="0"/>
              <w:autoSpaceDN w:val="0"/>
              <w:adjustRightInd w:val="0"/>
              <w:jc w:val="both"/>
              <w:rPr>
                <w:szCs w:val="16"/>
              </w:rPr>
            </w:pPr>
            <w:r w:rsidRPr="00A46ADC">
              <w:t>Electricity Holding Company (NAMA)</w:t>
            </w:r>
          </w:p>
        </w:tc>
        <w:tc>
          <w:tcPr>
            <w:tcW w:w="4563" w:type="dxa"/>
            <w:hideMark/>
          </w:tcPr>
          <w:p w14:paraId="5DDA37FF" w14:textId="77777777" w:rsidR="00DE4516" w:rsidRPr="00A46ADC" w:rsidRDefault="00DE4516" w:rsidP="00DE4516">
            <w:pPr>
              <w:pStyle w:val="TableBody"/>
              <w:autoSpaceDE w:val="0"/>
              <w:autoSpaceDN w:val="0"/>
              <w:adjustRightInd w:val="0"/>
              <w:jc w:val="both"/>
              <w:rPr>
                <w:szCs w:val="16"/>
              </w:rPr>
            </w:pPr>
            <w:r w:rsidRPr="00A46ADC">
              <w:t>Electricity generation, transmission, and distribution</w:t>
            </w:r>
          </w:p>
        </w:tc>
        <w:tc>
          <w:tcPr>
            <w:tcW w:w="799" w:type="dxa"/>
            <w:hideMark/>
          </w:tcPr>
          <w:p w14:paraId="17A30D47"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0C3D72B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0CF18F0B" w14:textId="77777777" w:rsidR="00DE4516" w:rsidRPr="00A46ADC" w:rsidRDefault="00DE4516" w:rsidP="00DE4516">
            <w:pPr>
              <w:pStyle w:val="TableBody"/>
              <w:autoSpaceDE w:val="0"/>
              <w:autoSpaceDN w:val="0"/>
              <w:adjustRightInd w:val="0"/>
              <w:jc w:val="both"/>
              <w:rPr>
                <w:szCs w:val="16"/>
              </w:rPr>
            </w:pPr>
            <w:proofErr w:type="spellStart"/>
            <w:r w:rsidRPr="00A46ADC">
              <w:t>Omantel</w:t>
            </w:r>
            <w:proofErr w:type="spellEnd"/>
          </w:p>
        </w:tc>
        <w:tc>
          <w:tcPr>
            <w:tcW w:w="4563" w:type="dxa"/>
            <w:hideMark/>
          </w:tcPr>
          <w:p w14:paraId="2A0949DA" w14:textId="77777777" w:rsidR="00DE4516" w:rsidRPr="00A46ADC" w:rsidRDefault="00DE4516" w:rsidP="00DE4516">
            <w:pPr>
              <w:pStyle w:val="TableBody"/>
              <w:autoSpaceDE w:val="0"/>
              <w:autoSpaceDN w:val="0"/>
              <w:adjustRightInd w:val="0"/>
              <w:jc w:val="both"/>
              <w:rPr>
                <w:szCs w:val="16"/>
              </w:rPr>
            </w:pPr>
            <w:r w:rsidRPr="00A46ADC">
              <w:t>Telecommunications</w:t>
            </w:r>
          </w:p>
        </w:tc>
        <w:tc>
          <w:tcPr>
            <w:tcW w:w="799" w:type="dxa"/>
            <w:hideMark/>
          </w:tcPr>
          <w:p w14:paraId="4162F428" w14:textId="77777777" w:rsidR="00DE4516" w:rsidRPr="00A46ADC" w:rsidRDefault="00DE4516" w:rsidP="00DE4516">
            <w:pPr>
              <w:pStyle w:val="TableBody"/>
              <w:autoSpaceDE w:val="0"/>
              <w:autoSpaceDN w:val="0"/>
              <w:adjustRightInd w:val="0"/>
              <w:jc w:val="right"/>
              <w:rPr>
                <w:szCs w:val="16"/>
              </w:rPr>
            </w:pPr>
            <w:r w:rsidRPr="00A46ADC">
              <w:t>51</w:t>
            </w:r>
          </w:p>
        </w:tc>
      </w:tr>
      <w:tr w:rsidR="00DE4516" w:rsidRPr="00225231" w14:paraId="27E48ABC" w14:textId="77777777" w:rsidTr="002C718D">
        <w:trPr>
          <w:cantSplit/>
        </w:trPr>
        <w:tc>
          <w:tcPr>
            <w:tcW w:w="3654" w:type="dxa"/>
            <w:hideMark/>
          </w:tcPr>
          <w:p w14:paraId="2C664ADE" w14:textId="77777777" w:rsidR="00DE4516" w:rsidRPr="00A46ADC" w:rsidRDefault="00DE4516" w:rsidP="00DE4516">
            <w:pPr>
              <w:pStyle w:val="TableBody"/>
              <w:autoSpaceDE w:val="0"/>
              <w:autoSpaceDN w:val="0"/>
              <w:adjustRightInd w:val="0"/>
              <w:jc w:val="both"/>
              <w:rPr>
                <w:szCs w:val="16"/>
              </w:rPr>
            </w:pPr>
            <w:r w:rsidRPr="00A46ADC">
              <w:t>Oman Airport Management</w:t>
            </w:r>
          </w:p>
        </w:tc>
        <w:tc>
          <w:tcPr>
            <w:tcW w:w="4563" w:type="dxa"/>
            <w:hideMark/>
          </w:tcPr>
          <w:p w14:paraId="6B52FA91" w14:textId="77777777" w:rsidR="00DE4516" w:rsidRPr="00A46ADC" w:rsidRDefault="00DE4516" w:rsidP="00DE4516">
            <w:pPr>
              <w:pStyle w:val="TableBody"/>
              <w:autoSpaceDE w:val="0"/>
              <w:autoSpaceDN w:val="0"/>
              <w:adjustRightInd w:val="0"/>
              <w:jc w:val="both"/>
              <w:rPr>
                <w:szCs w:val="16"/>
                <w:lang w:bidi="ar-OM"/>
              </w:rPr>
            </w:pPr>
            <w:r w:rsidRPr="00A46ADC">
              <w:t>Aviation</w:t>
            </w:r>
          </w:p>
        </w:tc>
        <w:tc>
          <w:tcPr>
            <w:tcW w:w="799" w:type="dxa"/>
            <w:hideMark/>
          </w:tcPr>
          <w:p w14:paraId="6963774C"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7F7E2F9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tcPr>
          <w:p w14:paraId="05AB05E6" w14:textId="77777777" w:rsidR="00DE4516" w:rsidRPr="00A46ADC" w:rsidRDefault="00DE4516" w:rsidP="00DE4516">
            <w:pPr>
              <w:pStyle w:val="TableBody"/>
              <w:autoSpaceDE w:val="0"/>
              <w:autoSpaceDN w:val="0"/>
              <w:adjustRightInd w:val="0"/>
              <w:jc w:val="both"/>
              <w:rPr>
                <w:color w:val="000000" w:themeColor="text1"/>
                <w:szCs w:val="16"/>
              </w:rPr>
            </w:pPr>
            <w:r w:rsidRPr="00A46ADC">
              <w:t>Oman Air</w:t>
            </w:r>
          </w:p>
        </w:tc>
        <w:tc>
          <w:tcPr>
            <w:tcW w:w="4563" w:type="dxa"/>
          </w:tcPr>
          <w:p w14:paraId="0D0DF37E" w14:textId="77777777" w:rsidR="00DE4516" w:rsidRPr="00A46ADC" w:rsidRDefault="00DE4516" w:rsidP="00DE4516">
            <w:pPr>
              <w:pStyle w:val="TableBody"/>
              <w:autoSpaceDE w:val="0"/>
              <w:autoSpaceDN w:val="0"/>
              <w:adjustRightInd w:val="0"/>
              <w:jc w:val="both"/>
              <w:rPr>
                <w:color w:val="000000" w:themeColor="text1"/>
                <w:szCs w:val="16"/>
              </w:rPr>
            </w:pPr>
            <w:r w:rsidRPr="00A46ADC">
              <w:t>Aviation</w:t>
            </w:r>
          </w:p>
        </w:tc>
        <w:tc>
          <w:tcPr>
            <w:tcW w:w="799" w:type="dxa"/>
          </w:tcPr>
          <w:p w14:paraId="6B42DF52" w14:textId="77777777" w:rsidR="00DE4516" w:rsidRPr="00A46ADC" w:rsidRDefault="00DE4516" w:rsidP="00DE4516">
            <w:pPr>
              <w:pStyle w:val="TableBody"/>
              <w:autoSpaceDE w:val="0"/>
              <w:autoSpaceDN w:val="0"/>
              <w:adjustRightInd w:val="0"/>
              <w:jc w:val="right"/>
              <w:rPr>
                <w:color w:val="000000" w:themeColor="text1"/>
                <w:szCs w:val="16"/>
              </w:rPr>
            </w:pPr>
            <w:r w:rsidRPr="00A46ADC">
              <w:t>100</w:t>
            </w:r>
          </w:p>
        </w:tc>
      </w:tr>
      <w:tr w:rsidR="00DE4516" w:rsidRPr="00225231" w14:paraId="41744D83" w14:textId="77777777" w:rsidTr="002C718D">
        <w:trPr>
          <w:cantSplit/>
        </w:trPr>
        <w:tc>
          <w:tcPr>
            <w:tcW w:w="3654" w:type="dxa"/>
            <w:hideMark/>
          </w:tcPr>
          <w:p w14:paraId="26F5B0B8" w14:textId="77777777" w:rsidR="00DE4516" w:rsidRPr="00A46ADC" w:rsidRDefault="00DE4516" w:rsidP="00DE4516">
            <w:pPr>
              <w:pStyle w:val="TableBody"/>
              <w:autoSpaceDE w:val="0"/>
              <w:autoSpaceDN w:val="0"/>
              <w:adjustRightInd w:val="0"/>
              <w:jc w:val="both"/>
              <w:rPr>
                <w:szCs w:val="16"/>
              </w:rPr>
            </w:pPr>
            <w:r w:rsidRPr="00A46ADC">
              <w:t>Oman Fisheries Company</w:t>
            </w:r>
          </w:p>
        </w:tc>
        <w:tc>
          <w:tcPr>
            <w:tcW w:w="4563" w:type="dxa"/>
            <w:hideMark/>
          </w:tcPr>
          <w:p w14:paraId="3A89411C" w14:textId="77777777" w:rsidR="00DE4516" w:rsidRPr="00A46ADC" w:rsidRDefault="00DE4516" w:rsidP="00DE4516">
            <w:pPr>
              <w:pStyle w:val="TableBody"/>
              <w:autoSpaceDE w:val="0"/>
              <w:autoSpaceDN w:val="0"/>
              <w:adjustRightInd w:val="0"/>
              <w:jc w:val="both"/>
              <w:rPr>
                <w:szCs w:val="16"/>
              </w:rPr>
            </w:pPr>
            <w:r w:rsidRPr="00A46ADC">
              <w:t>Fisheries</w:t>
            </w:r>
          </w:p>
        </w:tc>
        <w:tc>
          <w:tcPr>
            <w:tcW w:w="799" w:type="dxa"/>
            <w:hideMark/>
          </w:tcPr>
          <w:p w14:paraId="3E93A6D7" w14:textId="77777777" w:rsidR="00DE4516" w:rsidRPr="00A46ADC" w:rsidRDefault="00DE4516" w:rsidP="00DE4516">
            <w:pPr>
              <w:pStyle w:val="TableBody"/>
              <w:autoSpaceDE w:val="0"/>
              <w:autoSpaceDN w:val="0"/>
              <w:adjustRightInd w:val="0"/>
              <w:jc w:val="right"/>
              <w:rPr>
                <w:szCs w:val="16"/>
              </w:rPr>
            </w:pPr>
            <w:r w:rsidRPr="00A46ADC">
              <w:t>24</w:t>
            </w:r>
          </w:p>
        </w:tc>
      </w:tr>
      <w:tr w:rsidR="00DE4516" w:rsidRPr="00225231" w14:paraId="2BA20CA6"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25CE7867" w14:textId="77777777" w:rsidR="00DE4516" w:rsidRPr="00A46ADC" w:rsidRDefault="00DE4516" w:rsidP="00DE4516">
            <w:pPr>
              <w:pStyle w:val="TableBody"/>
              <w:autoSpaceDE w:val="0"/>
              <w:autoSpaceDN w:val="0"/>
              <w:adjustRightInd w:val="0"/>
              <w:jc w:val="both"/>
              <w:rPr>
                <w:szCs w:val="16"/>
              </w:rPr>
            </w:pPr>
            <w:r w:rsidRPr="00A46ADC">
              <w:t>National Pharmaceutical Industries</w:t>
            </w:r>
          </w:p>
        </w:tc>
        <w:tc>
          <w:tcPr>
            <w:tcW w:w="4563" w:type="dxa"/>
            <w:hideMark/>
          </w:tcPr>
          <w:p w14:paraId="7CEDCAC6" w14:textId="77777777" w:rsidR="00DE4516" w:rsidRPr="00A46ADC" w:rsidRDefault="00DE4516" w:rsidP="00DE4516">
            <w:pPr>
              <w:pStyle w:val="TableBody"/>
              <w:autoSpaceDE w:val="0"/>
              <w:autoSpaceDN w:val="0"/>
              <w:adjustRightInd w:val="0"/>
              <w:jc w:val="both"/>
              <w:rPr>
                <w:szCs w:val="16"/>
              </w:rPr>
            </w:pPr>
            <w:r w:rsidRPr="00A46ADC">
              <w:t>Drug industries</w:t>
            </w:r>
          </w:p>
        </w:tc>
        <w:tc>
          <w:tcPr>
            <w:tcW w:w="799" w:type="dxa"/>
            <w:hideMark/>
          </w:tcPr>
          <w:p w14:paraId="49891972" w14:textId="77777777" w:rsidR="00DE4516" w:rsidRPr="00A46ADC" w:rsidRDefault="00DE4516" w:rsidP="00DE4516">
            <w:pPr>
              <w:pStyle w:val="TableBody"/>
              <w:autoSpaceDE w:val="0"/>
              <w:autoSpaceDN w:val="0"/>
              <w:adjustRightInd w:val="0"/>
              <w:jc w:val="right"/>
              <w:rPr>
                <w:szCs w:val="16"/>
              </w:rPr>
            </w:pPr>
            <w:r w:rsidRPr="00A46ADC">
              <w:t>70</w:t>
            </w:r>
          </w:p>
        </w:tc>
      </w:tr>
      <w:tr w:rsidR="00DE4516" w:rsidRPr="00225231" w14:paraId="164E3F19" w14:textId="77777777" w:rsidTr="002C718D">
        <w:trPr>
          <w:cantSplit/>
        </w:trPr>
        <w:tc>
          <w:tcPr>
            <w:tcW w:w="3654" w:type="dxa"/>
            <w:hideMark/>
          </w:tcPr>
          <w:p w14:paraId="02CBF4CE" w14:textId="77777777" w:rsidR="00DE4516" w:rsidRPr="00A46ADC" w:rsidRDefault="00DE4516" w:rsidP="00DE4516">
            <w:pPr>
              <w:pStyle w:val="TableBody"/>
              <w:autoSpaceDE w:val="0"/>
              <w:autoSpaceDN w:val="0"/>
              <w:adjustRightInd w:val="0"/>
              <w:jc w:val="both"/>
              <w:rPr>
                <w:szCs w:val="16"/>
              </w:rPr>
            </w:pPr>
            <w:r w:rsidRPr="00A46ADC">
              <w:t>Oman LNG</w:t>
            </w:r>
          </w:p>
        </w:tc>
        <w:tc>
          <w:tcPr>
            <w:tcW w:w="4563" w:type="dxa"/>
            <w:hideMark/>
          </w:tcPr>
          <w:p w14:paraId="657B34A9" w14:textId="77777777" w:rsidR="00DE4516" w:rsidRPr="00A46ADC" w:rsidRDefault="00DE4516" w:rsidP="00DE4516">
            <w:pPr>
              <w:pStyle w:val="TableBody"/>
              <w:autoSpaceDE w:val="0"/>
              <w:autoSpaceDN w:val="0"/>
              <w:adjustRightInd w:val="0"/>
              <w:jc w:val="both"/>
              <w:rPr>
                <w:szCs w:val="16"/>
              </w:rPr>
            </w:pPr>
            <w:r w:rsidRPr="00A46ADC">
              <w:t>Natural gas</w:t>
            </w:r>
          </w:p>
        </w:tc>
        <w:tc>
          <w:tcPr>
            <w:tcW w:w="799" w:type="dxa"/>
            <w:hideMark/>
          </w:tcPr>
          <w:p w14:paraId="42A02F95" w14:textId="77777777" w:rsidR="00DE4516" w:rsidRPr="00A46ADC" w:rsidRDefault="00DE4516" w:rsidP="00DE4516">
            <w:pPr>
              <w:pStyle w:val="TableBody"/>
              <w:autoSpaceDE w:val="0"/>
              <w:autoSpaceDN w:val="0"/>
              <w:adjustRightInd w:val="0"/>
              <w:jc w:val="right"/>
              <w:rPr>
                <w:szCs w:val="16"/>
              </w:rPr>
            </w:pPr>
            <w:r w:rsidRPr="00A46ADC">
              <w:t>51</w:t>
            </w:r>
          </w:p>
        </w:tc>
      </w:tr>
      <w:tr w:rsidR="00DE4516" w:rsidRPr="00225231" w14:paraId="07A618F2"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52D75EFF" w14:textId="77777777" w:rsidR="00DE4516" w:rsidRPr="00A46ADC" w:rsidRDefault="00DE4516" w:rsidP="00DE4516">
            <w:pPr>
              <w:pStyle w:val="TableBody"/>
              <w:autoSpaceDE w:val="0"/>
              <w:autoSpaceDN w:val="0"/>
              <w:adjustRightInd w:val="0"/>
              <w:jc w:val="both"/>
              <w:rPr>
                <w:szCs w:val="16"/>
              </w:rPr>
            </w:pPr>
            <w:r w:rsidRPr="00A46ADC">
              <w:t>TANMIA</w:t>
            </w:r>
          </w:p>
        </w:tc>
        <w:tc>
          <w:tcPr>
            <w:tcW w:w="4563" w:type="dxa"/>
            <w:hideMark/>
          </w:tcPr>
          <w:p w14:paraId="2B645054" w14:textId="77777777" w:rsidR="00DE4516" w:rsidRPr="00A46ADC" w:rsidRDefault="00DE4516" w:rsidP="00DE4516">
            <w:pPr>
              <w:pStyle w:val="TableBody"/>
              <w:autoSpaceDE w:val="0"/>
              <w:autoSpaceDN w:val="0"/>
              <w:adjustRightInd w:val="0"/>
              <w:jc w:val="both"/>
              <w:rPr>
                <w:szCs w:val="16"/>
              </w:rPr>
            </w:pPr>
            <w:r w:rsidRPr="00A46ADC">
              <w:t>Investments</w:t>
            </w:r>
          </w:p>
        </w:tc>
        <w:tc>
          <w:tcPr>
            <w:tcW w:w="799" w:type="dxa"/>
            <w:hideMark/>
          </w:tcPr>
          <w:p w14:paraId="426A6B60" w14:textId="77777777" w:rsidR="00DE4516" w:rsidRPr="00A46ADC" w:rsidRDefault="00DE4516" w:rsidP="00DE4516">
            <w:pPr>
              <w:pStyle w:val="TableBody"/>
              <w:autoSpaceDE w:val="0"/>
              <w:autoSpaceDN w:val="0"/>
              <w:adjustRightInd w:val="0"/>
              <w:jc w:val="right"/>
              <w:rPr>
                <w:szCs w:val="16"/>
              </w:rPr>
            </w:pPr>
            <w:r w:rsidRPr="00A46ADC">
              <w:t>42.44</w:t>
            </w:r>
          </w:p>
        </w:tc>
      </w:tr>
      <w:tr w:rsidR="00DE4516" w:rsidRPr="00225231" w14:paraId="39386F73" w14:textId="77777777" w:rsidTr="002C718D">
        <w:trPr>
          <w:cantSplit/>
        </w:trPr>
        <w:tc>
          <w:tcPr>
            <w:tcW w:w="3654" w:type="dxa"/>
            <w:hideMark/>
          </w:tcPr>
          <w:p w14:paraId="0A17B1F1" w14:textId="77777777" w:rsidR="00DE4516" w:rsidRPr="00A46ADC" w:rsidRDefault="00DE4516" w:rsidP="00DE4516">
            <w:pPr>
              <w:pStyle w:val="TableBody"/>
              <w:autoSpaceDE w:val="0"/>
              <w:autoSpaceDN w:val="0"/>
              <w:adjustRightInd w:val="0"/>
              <w:jc w:val="both"/>
              <w:rPr>
                <w:szCs w:val="16"/>
              </w:rPr>
            </w:pPr>
            <w:r w:rsidRPr="00A46ADC">
              <w:t>Oman Infrastructure Investment Management (RAKIZA)</w:t>
            </w:r>
          </w:p>
        </w:tc>
        <w:tc>
          <w:tcPr>
            <w:tcW w:w="4563" w:type="dxa"/>
            <w:hideMark/>
          </w:tcPr>
          <w:p w14:paraId="4A121C9A" w14:textId="77777777" w:rsidR="00DE4516" w:rsidRPr="00A46ADC" w:rsidRDefault="00DE4516" w:rsidP="00DE4516">
            <w:pPr>
              <w:pStyle w:val="TableBody"/>
              <w:autoSpaceDE w:val="0"/>
              <w:autoSpaceDN w:val="0"/>
              <w:adjustRightInd w:val="0"/>
              <w:jc w:val="both"/>
              <w:rPr>
                <w:szCs w:val="16"/>
              </w:rPr>
            </w:pPr>
            <w:r w:rsidRPr="00A46ADC">
              <w:t>Infrastructure projects</w:t>
            </w:r>
          </w:p>
        </w:tc>
        <w:tc>
          <w:tcPr>
            <w:tcW w:w="799" w:type="dxa"/>
            <w:hideMark/>
          </w:tcPr>
          <w:p w14:paraId="33E026AC"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2B1663F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451855E2" w14:textId="77777777" w:rsidR="00DE4516" w:rsidRPr="00A46ADC" w:rsidRDefault="00DE4516" w:rsidP="00DE4516">
            <w:pPr>
              <w:pStyle w:val="TableBody"/>
              <w:autoSpaceDE w:val="0"/>
              <w:autoSpaceDN w:val="0"/>
              <w:adjustRightInd w:val="0"/>
              <w:jc w:val="both"/>
              <w:rPr>
                <w:szCs w:val="16"/>
              </w:rPr>
            </w:pPr>
            <w:r w:rsidRPr="00A46ADC">
              <w:t>Sohar Aluminium Company</w:t>
            </w:r>
          </w:p>
        </w:tc>
        <w:tc>
          <w:tcPr>
            <w:tcW w:w="4563" w:type="dxa"/>
            <w:hideMark/>
          </w:tcPr>
          <w:p w14:paraId="51A3A767" w14:textId="77777777" w:rsidR="00DE4516" w:rsidRPr="00A46ADC" w:rsidRDefault="00DE4516" w:rsidP="00DE4516">
            <w:pPr>
              <w:pStyle w:val="TableBody"/>
              <w:autoSpaceDE w:val="0"/>
              <w:autoSpaceDN w:val="0"/>
              <w:adjustRightInd w:val="0"/>
              <w:jc w:val="both"/>
              <w:rPr>
                <w:szCs w:val="16"/>
              </w:rPr>
            </w:pPr>
            <w:r w:rsidRPr="00A46ADC">
              <w:t>Manufacturing</w:t>
            </w:r>
          </w:p>
        </w:tc>
        <w:tc>
          <w:tcPr>
            <w:tcW w:w="799" w:type="dxa"/>
            <w:hideMark/>
          </w:tcPr>
          <w:p w14:paraId="0E59EE44" w14:textId="77777777" w:rsidR="00DE4516" w:rsidRPr="00A46ADC" w:rsidRDefault="00DE4516" w:rsidP="00DE4516">
            <w:pPr>
              <w:pStyle w:val="TableBody"/>
              <w:autoSpaceDE w:val="0"/>
              <w:autoSpaceDN w:val="0"/>
              <w:adjustRightInd w:val="0"/>
              <w:jc w:val="right"/>
              <w:rPr>
                <w:szCs w:val="16"/>
              </w:rPr>
            </w:pPr>
            <w:r w:rsidRPr="00A46ADC">
              <w:t>40</w:t>
            </w:r>
          </w:p>
        </w:tc>
      </w:tr>
      <w:tr w:rsidR="00DE4516" w:rsidRPr="00225231" w14:paraId="5CEAA597" w14:textId="77777777" w:rsidTr="002C718D">
        <w:trPr>
          <w:cantSplit/>
        </w:trPr>
        <w:tc>
          <w:tcPr>
            <w:tcW w:w="3654" w:type="dxa"/>
            <w:hideMark/>
          </w:tcPr>
          <w:p w14:paraId="1506F772" w14:textId="77777777" w:rsidR="00DE4516" w:rsidRPr="00A46ADC" w:rsidRDefault="00DE4516" w:rsidP="00DE4516">
            <w:pPr>
              <w:pStyle w:val="TableBody"/>
              <w:autoSpaceDE w:val="0"/>
              <w:autoSpaceDN w:val="0"/>
              <w:adjustRightInd w:val="0"/>
              <w:jc w:val="both"/>
              <w:rPr>
                <w:szCs w:val="16"/>
              </w:rPr>
            </w:pPr>
            <w:r w:rsidRPr="00A46ADC">
              <w:lastRenderedPageBreak/>
              <w:t>Oman Cement Company</w:t>
            </w:r>
          </w:p>
        </w:tc>
        <w:tc>
          <w:tcPr>
            <w:tcW w:w="4563" w:type="dxa"/>
            <w:hideMark/>
          </w:tcPr>
          <w:p w14:paraId="474F80AB" w14:textId="77777777" w:rsidR="00DE4516" w:rsidRPr="00A46ADC" w:rsidRDefault="00DE4516" w:rsidP="00DE4516">
            <w:pPr>
              <w:pStyle w:val="TableBody"/>
              <w:autoSpaceDE w:val="0"/>
              <w:autoSpaceDN w:val="0"/>
              <w:adjustRightInd w:val="0"/>
              <w:jc w:val="both"/>
              <w:rPr>
                <w:szCs w:val="16"/>
              </w:rPr>
            </w:pPr>
            <w:r w:rsidRPr="00A46ADC">
              <w:t>Manufacturing</w:t>
            </w:r>
          </w:p>
        </w:tc>
        <w:tc>
          <w:tcPr>
            <w:tcW w:w="799" w:type="dxa"/>
            <w:hideMark/>
          </w:tcPr>
          <w:p w14:paraId="5007F90F" w14:textId="77777777" w:rsidR="00DE4516" w:rsidRPr="00A46ADC" w:rsidRDefault="00DE4516" w:rsidP="00DE4516">
            <w:pPr>
              <w:pStyle w:val="TableBody"/>
              <w:autoSpaceDE w:val="0"/>
              <w:autoSpaceDN w:val="0"/>
              <w:adjustRightInd w:val="0"/>
              <w:jc w:val="right"/>
              <w:rPr>
                <w:szCs w:val="16"/>
              </w:rPr>
            </w:pPr>
            <w:r w:rsidRPr="00A46ADC">
              <w:t>53.51</w:t>
            </w:r>
          </w:p>
        </w:tc>
      </w:tr>
      <w:tr w:rsidR="00DE4516" w:rsidRPr="00225231" w14:paraId="46B7E2DF"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30DF7656" w14:textId="77777777" w:rsidR="00DE4516" w:rsidRPr="00A46ADC" w:rsidRDefault="00DE4516" w:rsidP="00DE4516">
            <w:pPr>
              <w:pStyle w:val="TableBody"/>
              <w:autoSpaceDE w:val="0"/>
              <w:autoSpaceDN w:val="0"/>
              <w:adjustRightInd w:val="0"/>
              <w:jc w:val="both"/>
              <w:rPr>
                <w:szCs w:val="16"/>
              </w:rPr>
            </w:pPr>
            <w:r w:rsidRPr="00A46ADC">
              <w:t>Oman Flour Mills Company</w:t>
            </w:r>
          </w:p>
        </w:tc>
        <w:tc>
          <w:tcPr>
            <w:tcW w:w="4563" w:type="dxa"/>
            <w:hideMark/>
          </w:tcPr>
          <w:p w14:paraId="07CB8AFA" w14:textId="77777777" w:rsidR="00DE4516" w:rsidRPr="00A46ADC" w:rsidRDefault="00DE4516" w:rsidP="00DE4516">
            <w:pPr>
              <w:pStyle w:val="TableBody"/>
              <w:autoSpaceDE w:val="0"/>
              <w:autoSpaceDN w:val="0"/>
              <w:adjustRightInd w:val="0"/>
              <w:jc w:val="both"/>
              <w:rPr>
                <w:szCs w:val="16"/>
              </w:rPr>
            </w:pPr>
            <w:r w:rsidRPr="00A46ADC">
              <w:t>Manufacturing</w:t>
            </w:r>
          </w:p>
        </w:tc>
        <w:tc>
          <w:tcPr>
            <w:tcW w:w="799" w:type="dxa"/>
            <w:hideMark/>
          </w:tcPr>
          <w:p w14:paraId="269F421C" w14:textId="77777777" w:rsidR="00DE4516" w:rsidRPr="00A46ADC" w:rsidRDefault="00DE4516" w:rsidP="00DE4516">
            <w:pPr>
              <w:pStyle w:val="TableBody"/>
              <w:autoSpaceDE w:val="0"/>
              <w:autoSpaceDN w:val="0"/>
              <w:adjustRightInd w:val="0"/>
              <w:jc w:val="right"/>
              <w:rPr>
                <w:szCs w:val="16"/>
              </w:rPr>
            </w:pPr>
            <w:r w:rsidRPr="00A46ADC">
              <w:t>51</w:t>
            </w:r>
          </w:p>
        </w:tc>
      </w:tr>
      <w:tr w:rsidR="00DE4516" w:rsidRPr="00225231" w14:paraId="4C31DC16" w14:textId="77777777" w:rsidTr="002C718D">
        <w:trPr>
          <w:cantSplit/>
        </w:trPr>
        <w:tc>
          <w:tcPr>
            <w:tcW w:w="3654" w:type="dxa"/>
            <w:hideMark/>
          </w:tcPr>
          <w:p w14:paraId="17874F6B" w14:textId="77777777" w:rsidR="00DE4516" w:rsidRPr="00A46ADC" w:rsidRDefault="00DE4516" w:rsidP="00DE4516">
            <w:pPr>
              <w:pStyle w:val="TableBody"/>
              <w:autoSpaceDE w:val="0"/>
              <w:autoSpaceDN w:val="0"/>
              <w:adjustRightInd w:val="0"/>
              <w:jc w:val="both"/>
              <w:rPr>
                <w:szCs w:val="16"/>
              </w:rPr>
            </w:pPr>
            <w:proofErr w:type="spellStart"/>
            <w:r w:rsidRPr="00A46ADC">
              <w:t>Majan</w:t>
            </w:r>
            <w:proofErr w:type="spellEnd"/>
            <w:r w:rsidRPr="00A46ADC">
              <w:t xml:space="preserve"> Glass</w:t>
            </w:r>
          </w:p>
        </w:tc>
        <w:tc>
          <w:tcPr>
            <w:tcW w:w="4563" w:type="dxa"/>
            <w:hideMark/>
          </w:tcPr>
          <w:p w14:paraId="3CFE7D82" w14:textId="77777777" w:rsidR="00DE4516" w:rsidRPr="00A46ADC" w:rsidRDefault="00DE4516" w:rsidP="00DE4516">
            <w:pPr>
              <w:pStyle w:val="TableBody"/>
              <w:autoSpaceDE w:val="0"/>
              <w:autoSpaceDN w:val="0"/>
              <w:adjustRightInd w:val="0"/>
              <w:jc w:val="both"/>
              <w:rPr>
                <w:szCs w:val="16"/>
              </w:rPr>
            </w:pPr>
            <w:r w:rsidRPr="00A46ADC">
              <w:t>Industrial</w:t>
            </w:r>
          </w:p>
        </w:tc>
        <w:tc>
          <w:tcPr>
            <w:tcW w:w="799" w:type="dxa"/>
            <w:hideMark/>
          </w:tcPr>
          <w:p w14:paraId="0A21C291" w14:textId="77777777" w:rsidR="00DE4516" w:rsidRPr="00A46ADC" w:rsidRDefault="00DE4516" w:rsidP="00DE4516">
            <w:pPr>
              <w:pStyle w:val="TableBody"/>
              <w:autoSpaceDE w:val="0"/>
              <w:autoSpaceDN w:val="0"/>
              <w:adjustRightInd w:val="0"/>
              <w:jc w:val="right"/>
              <w:rPr>
                <w:szCs w:val="16"/>
              </w:rPr>
            </w:pPr>
            <w:r w:rsidRPr="00A46ADC">
              <w:t>75.25</w:t>
            </w:r>
          </w:p>
        </w:tc>
      </w:tr>
      <w:tr w:rsidR="00DE4516" w:rsidRPr="00225231" w14:paraId="7EB31520"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2FD526AA" w14:textId="77777777" w:rsidR="00DE4516" w:rsidRPr="00A46ADC" w:rsidRDefault="00DE4516" w:rsidP="00DE4516">
            <w:pPr>
              <w:pStyle w:val="TableBody"/>
              <w:autoSpaceDE w:val="0"/>
              <w:autoSpaceDN w:val="0"/>
              <w:adjustRightInd w:val="0"/>
              <w:jc w:val="both"/>
              <w:rPr>
                <w:szCs w:val="16"/>
              </w:rPr>
            </w:pPr>
            <w:r w:rsidRPr="00A46ADC">
              <w:t>Oman Development Bank</w:t>
            </w:r>
          </w:p>
        </w:tc>
        <w:tc>
          <w:tcPr>
            <w:tcW w:w="4563" w:type="dxa"/>
            <w:hideMark/>
          </w:tcPr>
          <w:p w14:paraId="1F39061A" w14:textId="77777777" w:rsidR="00DE4516" w:rsidRPr="00A46ADC" w:rsidRDefault="00DE4516" w:rsidP="00DE4516">
            <w:pPr>
              <w:pStyle w:val="TableBody"/>
              <w:autoSpaceDE w:val="0"/>
              <w:autoSpaceDN w:val="0"/>
              <w:adjustRightInd w:val="0"/>
              <w:jc w:val="both"/>
              <w:rPr>
                <w:szCs w:val="16"/>
              </w:rPr>
            </w:pPr>
            <w:r w:rsidRPr="00A46ADC">
              <w:t>Financial services</w:t>
            </w:r>
          </w:p>
        </w:tc>
        <w:tc>
          <w:tcPr>
            <w:tcW w:w="799" w:type="dxa"/>
            <w:hideMark/>
          </w:tcPr>
          <w:p w14:paraId="69ABCBB7"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7FB79163" w14:textId="77777777" w:rsidTr="002C718D">
        <w:trPr>
          <w:cantSplit/>
        </w:trPr>
        <w:tc>
          <w:tcPr>
            <w:tcW w:w="3654" w:type="dxa"/>
            <w:hideMark/>
          </w:tcPr>
          <w:p w14:paraId="373E712D" w14:textId="77777777" w:rsidR="00DE4516" w:rsidRPr="00A46ADC" w:rsidRDefault="00DE4516" w:rsidP="00DE4516">
            <w:pPr>
              <w:pStyle w:val="TableBody"/>
              <w:autoSpaceDE w:val="0"/>
              <w:autoSpaceDN w:val="0"/>
              <w:adjustRightInd w:val="0"/>
              <w:jc w:val="both"/>
              <w:rPr>
                <w:szCs w:val="16"/>
              </w:rPr>
            </w:pPr>
            <w:r w:rsidRPr="00A46ADC">
              <w:t>Oman Housing Bank</w:t>
            </w:r>
          </w:p>
        </w:tc>
        <w:tc>
          <w:tcPr>
            <w:tcW w:w="4563" w:type="dxa"/>
            <w:hideMark/>
          </w:tcPr>
          <w:p w14:paraId="71888B42" w14:textId="77777777" w:rsidR="00DE4516" w:rsidRPr="00A46ADC" w:rsidRDefault="00DE4516" w:rsidP="00DE4516">
            <w:pPr>
              <w:pStyle w:val="TableBody"/>
              <w:autoSpaceDE w:val="0"/>
              <w:autoSpaceDN w:val="0"/>
              <w:adjustRightInd w:val="0"/>
              <w:jc w:val="both"/>
              <w:rPr>
                <w:szCs w:val="16"/>
              </w:rPr>
            </w:pPr>
            <w:r w:rsidRPr="00A46ADC">
              <w:t>Housing financing</w:t>
            </w:r>
          </w:p>
        </w:tc>
        <w:tc>
          <w:tcPr>
            <w:tcW w:w="799" w:type="dxa"/>
            <w:hideMark/>
          </w:tcPr>
          <w:p w14:paraId="1E5360DC" w14:textId="77777777" w:rsidR="00DE4516" w:rsidRPr="00A46ADC" w:rsidRDefault="00DE4516" w:rsidP="00DE4516">
            <w:pPr>
              <w:pStyle w:val="TableBody"/>
              <w:autoSpaceDE w:val="0"/>
              <w:autoSpaceDN w:val="0"/>
              <w:adjustRightInd w:val="0"/>
              <w:jc w:val="right"/>
              <w:rPr>
                <w:szCs w:val="16"/>
              </w:rPr>
            </w:pPr>
            <w:r w:rsidRPr="00A46ADC">
              <w:t>61</w:t>
            </w:r>
          </w:p>
        </w:tc>
      </w:tr>
      <w:tr w:rsidR="00DE4516" w:rsidRPr="00225231" w14:paraId="5CD34845"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40518F61" w14:textId="77777777" w:rsidR="00DE4516" w:rsidRPr="00A46ADC" w:rsidRDefault="00DE4516" w:rsidP="00DE4516">
            <w:pPr>
              <w:pStyle w:val="TableBody"/>
              <w:autoSpaceDE w:val="0"/>
              <w:autoSpaceDN w:val="0"/>
              <w:adjustRightInd w:val="0"/>
              <w:jc w:val="both"/>
              <w:rPr>
                <w:szCs w:val="16"/>
              </w:rPr>
            </w:pPr>
            <w:proofErr w:type="spellStart"/>
            <w:r w:rsidRPr="00A46ADC">
              <w:t>Majis</w:t>
            </w:r>
            <w:proofErr w:type="spellEnd"/>
            <w:r w:rsidRPr="00A46ADC">
              <w:t xml:space="preserve"> Industrial Services</w:t>
            </w:r>
          </w:p>
        </w:tc>
        <w:tc>
          <w:tcPr>
            <w:tcW w:w="4563" w:type="dxa"/>
            <w:hideMark/>
          </w:tcPr>
          <w:p w14:paraId="13F6655E" w14:textId="77777777" w:rsidR="00DE4516" w:rsidRPr="00A46ADC" w:rsidRDefault="00DE4516" w:rsidP="00DE4516">
            <w:pPr>
              <w:pStyle w:val="TableBody"/>
              <w:autoSpaceDE w:val="0"/>
              <w:autoSpaceDN w:val="0"/>
              <w:adjustRightInd w:val="0"/>
              <w:jc w:val="both"/>
              <w:rPr>
                <w:szCs w:val="16"/>
              </w:rPr>
            </w:pPr>
            <w:r w:rsidRPr="00A46ADC">
              <w:t>Industrial</w:t>
            </w:r>
          </w:p>
        </w:tc>
        <w:tc>
          <w:tcPr>
            <w:tcW w:w="799" w:type="dxa"/>
            <w:hideMark/>
          </w:tcPr>
          <w:p w14:paraId="6E9B748D"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050B1FFD" w14:textId="77777777" w:rsidTr="002C718D">
        <w:trPr>
          <w:cantSplit/>
        </w:trPr>
        <w:tc>
          <w:tcPr>
            <w:tcW w:w="3654" w:type="dxa"/>
            <w:hideMark/>
          </w:tcPr>
          <w:p w14:paraId="3088736E" w14:textId="77777777" w:rsidR="00DE4516" w:rsidRPr="00A46ADC" w:rsidRDefault="00DE4516" w:rsidP="00DE4516">
            <w:pPr>
              <w:pStyle w:val="TableBody"/>
              <w:autoSpaceDE w:val="0"/>
              <w:autoSpaceDN w:val="0"/>
              <w:adjustRightInd w:val="0"/>
              <w:jc w:val="both"/>
              <w:rPr>
                <w:szCs w:val="16"/>
              </w:rPr>
            </w:pPr>
            <w:proofErr w:type="spellStart"/>
            <w:r w:rsidRPr="00A46ADC">
              <w:t>Tageer</w:t>
            </w:r>
            <w:proofErr w:type="spellEnd"/>
            <w:r w:rsidRPr="00A46ADC">
              <w:t xml:space="preserve"> Finance</w:t>
            </w:r>
          </w:p>
        </w:tc>
        <w:tc>
          <w:tcPr>
            <w:tcW w:w="4563" w:type="dxa"/>
            <w:hideMark/>
          </w:tcPr>
          <w:p w14:paraId="7DC1202B" w14:textId="77777777" w:rsidR="00DE4516" w:rsidRPr="00A46ADC" w:rsidRDefault="00DE4516" w:rsidP="00DE4516">
            <w:pPr>
              <w:pStyle w:val="TableBody"/>
              <w:autoSpaceDE w:val="0"/>
              <w:autoSpaceDN w:val="0"/>
              <w:adjustRightInd w:val="0"/>
              <w:jc w:val="both"/>
              <w:rPr>
                <w:szCs w:val="16"/>
              </w:rPr>
            </w:pPr>
            <w:r w:rsidRPr="00A46ADC">
              <w:t>Financial services</w:t>
            </w:r>
          </w:p>
        </w:tc>
        <w:tc>
          <w:tcPr>
            <w:tcW w:w="799" w:type="dxa"/>
            <w:hideMark/>
          </w:tcPr>
          <w:p w14:paraId="74FC1052" w14:textId="77777777" w:rsidR="00DE4516" w:rsidRPr="00A46ADC" w:rsidRDefault="00DE4516" w:rsidP="00DE4516">
            <w:pPr>
              <w:pStyle w:val="TableBody"/>
              <w:autoSpaceDE w:val="0"/>
              <w:autoSpaceDN w:val="0"/>
              <w:adjustRightInd w:val="0"/>
              <w:jc w:val="right"/>
              <w:rPr>
                <w:szCs w:val="16"/>
              </w:rPr>
            </w:pPr>
            <w:r w:rsidRPr="00A46ADC">
              <w:t>33.63</w:t>
            </w:r>
          </w:p>
        </w:tc>
      </w:tr>
      <w:tr w:rsidR="00DE4516" w:rsidRPr="00225231" w14:paraId="5A2956C9"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hideMark/>
          </w:tcPr>
          <w:p w14:paraId="16D6ECAD" w14:textId="77777777" w:rsidR="00DE4516" w:rsidRPr="00A46ADC" w:rsidRDefault="00DE4516" w:rsidP="00DE4516">
            <w:pPr>
              <w:pStyle w:val="TableBody"/>
              <w:autoSpaceDE w:val="0"/>
              <w:autoSpaceDN w:val="0"/>
              <w:adjustRightInd w:val="0"/>
              <w:jc w:val="both"/>
              <w:rPr>
                <w:szCs w:val="16"/>
              </w:rPr>
            </w:pPr>
            <w:r w:rsidRPr="00A46ADC">
              <w:t>Oman Food Investment Holding Company</w:t>
            </w:r>
          </w:p>
        </w:tc>
        <w:tc>
          <w:tcPr>
            <w:tcW w:w="4563" w:type="dxa"/>
            <w:hideMark/>
          </w:tcPr>
          <w:p w14:paraId="4E42726D" w14:textId="77777777" w:rsidR="00DE4516" w:rsidRPr="00A46ADC" w:rsidRDefault="00DE4516" w:rsidP="00DE4516">
            <w:pPr>
              <w:pStyle w:val="TableBody"/>
              <w:autoSpaceDE w:val="0"/>
              <w:autoSpaceDN w:val="0"/>
              <w:adjustRightInd w:val="0"/>
              <w:jc w:val="both"/>
              <w:rPr>
                <w:szCs w:val="16"/>
              </w:rPr>
            </w:pPr>
            <w:r w:rsidRPr="00A46ADC">
              <w:t>Food products</w:t>
            </w:r>
          </w:p>
        </w:tc>
        <w:tc>
          <w:tcPr>
            <w:tcW w:w="799" w:type="dxa"/>
            <w:hideMark/>
          </w:tcPr>
          <w:p w14:paraId="662CA7AC"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2B5FA9A9" w14:textId="77777777" w:rsidTr="002C718D">
        <w:trPr>
          <w:cantSplit/>
        </w:trPr>
        <w:tc>
          <w:tcPr>
            <w:tcW w:w="3654" w:type="dxa"/>
            <w:hideMark/>
          </w:tcPr>
          <w:p w14:paraId="7EF34D09" w14:textId="77777777" w:rsidR="00DE4516" w:rsidRPr="00A46ADC" w:rsidRDefault="00DE4516" w:rsidP="00DE4516">
            <w:pPr>
              <w:pStyle w:val="TableBody"/>
              <w:autoSpaceDE w:val="0"/>
              <w:autoSpaceDN w:val="0"/>
              <w:adjustRightInd w:val="0"/>
              <w:jc w:val="both"/>
              <w:rPr>
                <w:szCs w:val="16"/>
              </w:rPr>
            </w:pPr>
            <w:r w:rsidRPr="00A46ADC">
              <w:t>OMRAN</w:t>
            </w:r>
          </w:p>
        </w:tc>
        <w:tc>
          <w:tcPr>
            <w:tcW w:w="4563" w:type="dxa"/>
            <w:hideMark/>
          </w:tcPr>
          <w:p w14:paraId="56DF4150" w14:textId="77777777" w:rsidR="00DE4516" w:rsidRPr="00A46ADC" w:rsidRDefault="00DE4516" w:rsidP="00DE4516">
            <w:pPr>
              <w:pStyle w:val="TableBody"/>
              <w:autoSpaceDE w:val="0"/>
              <w:autoSpaceDN w:val="0"/>
              <w:adjustRightInd w:val="0"/>
              <w:jc w:val="both"/>
              <w:rPr>
                <w:szCs w:val="16"/>
              </w:rPr>
            </w:pPr>
            <w:r w:rsidRPr="00A46ADC">
              <w:t>Tourism</w:t>
            </w:r>
          </w:p>
        </w:tc>
        <w:tc>
          <w:tcPr>
            <w:tcW w:w="799" w:type="dxa"/>
            <w:hideMark/>
          </w:tcPr>
          <w:p w14:paraId="4DD97B65" w14:textId="77777777" w:rsidR="00DE4516" w:rsidRPr="00A46ADC" w:rsidRDefault="00DE4516" w:rsidP="00DE4516">
            <w:pPr>
              <w:pStyle w:val="TableBody"/>
              <w:autoSpaceDE w:val="0"/>
              <w:autoSpaceDN w:val="0"/>
              <w:adjustRightInd w:val="0"/>
              <w:jc w:val="right"/>
              <w:rPr>
                <w:szCs w:val="16"/>
              </w:rPr>
            </w:pPr>
            <w:r w:rsidRPr="00A46ADC">
              <w:t>100</w:t>
            </w:r>
          </w:p>
        </w:tc>
      </w:tr>
      <w:tr w:rsidR="00DE4516" w:rsidRPr="00225231" w14:paraId="56BE0881"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tcPr>
          <w:p w14:paraId="0FFC7551" w14:textId="77777777" w:rsidR="00DE4516" w:rsidRPr="00A46ADC" w:rsidRDefault="00DE4516" w:rsidP="00DE4516">
            <w:pPr>
              <w:pStyle w:val="TableBody"/>
              <w:autoSpaceDE w:val="0"/>
              <w:autoSpaceDN w:val="0"/>
              <w:adjustRightInd w:val="0"/>
              <w:jc w:val="both"/>
              <w:rPr>
                <w:color w:val="000000" w:themeColor="text1"/>
                <w:szCs w:val="16"/>
              </w:rPr>
            </w:pPr>
            <w:r w:rsidRPr="00A46ADC">
              <w:t>Fisheries Development Oman</w:t>
            </w:r>
          </w:p>
        </w:tc>
        <w:tc>
          <w:tcPr>
            <w:tcW w:w="4563" w:type="dxa"/>
          </w:tcPr>
          <w:p w14:paraId="632D4B63" w14:textId="77777777" w:rsidR="00DE4516" w:rsidRPr="00A46ADC" w:rsidRDefault="00DE4516" w:rsidP="00DE4516">
            <w:pPr>
              <w:pStyle w:val="TableBody"/>
              <w:autoSpaceDE w:val="0"/>
              <w:autoSpaceDN w:val="0"/>
              <w:adjustRightInd w:val="0"/>
              <w:jc w:val="both"/>
              <w:rPr>
                <w:color w:val="000000" w:themeColor="text1"/>
                <w:szCs w:val="16"/>
              </w:rPr>
            </w:pPr>
            <w:r w:rsidRPr="00A46ADC">
              <w:t>Fisheries</w:t>
            </w:r>
          </w:p>
        </w:tc>
        <w:tc>
          <w:tcPr>
            <w:tcW w:w="799" w:type="dxa"/>
          </w:tcPr>
          <w:p w14:paraId="5BB20030" w14:textId="77777777" w:rsidR="00DE4516" w:rsidRPr="00A46ADC" w:rsidRDefault="00DE4516" w:rsidP="00DE4516">
            <w:pPr>
              <w:pStyle w:val="TableBody"/>
              <w:autoSpaceDE w:val="0"/>
              <w:autoSpaceDN w:val="0"/>
              <w:adjustRightInd w:val="0"/>
              <w:jc w:val="right"/>
              <w:rPr>
                <w:color w:val="000000" w:themeColor="text1"/>
                <w:szCs w:val="16"/>
              </w:rPr>
            </w:pPr>
            <w:r w:rsidRPr="00A46ADC">
              <w:t>100</w:t>
            </w:r>
          </w:p>
        </w:tc>
      </w:tr>
      <w:tr w:rsidR="00DE4516" w:rsidRPr="00225231" w14:paraId="2725F403" w14:textId="77777777" w:rsidTr="002C718D">
        <w:trPr>
          <w:cantSplit/>
        </w:trPr>
        <w:tc>
          <w:tcPr>
            <w:tcW w:w="3654" w:type="dxa"/>
          </w:tcPr>
          <w:p w14:paraId="53591940" w14:textId="77777777" w:rsidR="00DE4516" w:rsidRPr="00A46ADC" w:rsidRDefault="00DE4516" w:rsidP="00DE4516">
            <w:pPr>
              <w:pStyle w:val="TableBody"/>
              <w:autoSpaceDE w:val="0"/>
              <w:autoSpaceDN w:val="0"/>
              <w:adjustRightInd w:val="0"/>
              <w:jc w:val="both"/>
              <w:rPr>
                <w:color w:val="000000" w:themeColor="text1"/>
                <w:szCs w:val="16"/>
              </w:rPr>
            </w:pPr>
            <w:r w:rsidRPr="00A46ADC">
              <w:t>Oman Environmental Services Holding Company (Haya)</w:t>
            </w:r>
          </w:p>
        </w:tc>
        <w:tc>
          <w:tcPr>
            <w:tcW w:w="4563" w:type="dxa"/>
          </w:tcPr>
          <w:p w14:paraId="1C2A84AB" w14:textId="77777777" w:rsidR="00DE4516" w:rsidRPr="00A46ADC" w:rsidRDefault="00DE4516" w:rsidP="00DE4516">
            <w:pPr>
              <w:pStyle w:val="TableBody"/>
              <w:autoSpaceDE w:val="0"/>
              <w:autoSpaceDN w:val="0"/>
              <w:adjustRightInd w:val="0"/>
              <w:jc w:val="both"/>
              <w:rPr>
                <w:color w:val="000000" w:themeColor="text1"/>
                <w:szCs w:val="16"/>
              </w:rPr>
            </w:pPr>
            <w:r w:rsidRPr="00A46ADC">
              <w:t>Utility</w:t>
            </w:r>
          </w:p>
        </w:tc>
        <w:tc>
          <w:tcPr>
            <w:tcW w:w="799" w:type="dxa"/>
          </w:tcPr>
          <w:p w14:paraId="2630547D" w14:textId="77777777" w:rsidR="00DE4516" w:rsidRPr="00A46ADC" w:rsidRDefault="00DE4516" w:rsidP="00DE4516">
            <w:pPr>
              <w:pStyle w:val="TableBody"/>
              <w:autoSpaceDE w:val="0"/>
              <w:autoSpaceDN w:val="0"/>
              <w:adjustRightInd w:val="0"/>
              <w:jc w:val="right"/>
              <w:rPr>
                <w:color w:val="000000" w:themeColor="text1"/>
                <w:szCs w:val="16"/>
              </w:rPr>
            </w:pPr>
            <w:r w:rsidRPr="00A46ADC">
              <w:t>100</w:t>
            </w:r>
          </w:p>
        </w:tc>
      </w:tr>
      <w:tr w:rsidR="00DE4516" w:rsidRPr="00225231" w14:paraId="54558D8E" w14:textId="77777777" w:rsidTr="002C718D">
        <w:trPr>
          <w:cnfStyle w:val="000000010000" w:firstRow="0" w:lastRow="0" w:firstColumn="0" w:lastColumn="0" w:oddVBand="0" w:evenVBand="0" w:oddHBand="0" w:evenHBand="1" w:firstRowFirstColumn="0" w:firstRowLastColumn="0" w:lastRowFirstColumn="0" w:lastRowLastColumn="0"/>
          <w:cantSplit/>
        </w:trPr>
        <w:tc>
          <w:tcPr>
            <w:tcW w:w="3654" w:type="dxa"/>
          </w:tcPr>
          <w:p w14:paraId="760EDE32" w14:textId="77777777" w:rsidR="00DE4516" w:rsidRPr="00A46ADC" w:rsidRDefault="00DE4516" w:rsidP="00DE4516">
            <w:pPr>
              <w:pStyle w:val="TableBody"/>
              <w:autoSpaceDE w:val="0"/>
              <w:autoSpaceDN w:val="0"/>
              <w:adjustRightInd w:val="0"/>
              <w:jc w:val="both"/>
              <w:rPr>
                <w:color w:val="000000" w:themeColor="text1"/>
                <w:szCs w:val="16"/>
              </w:rPr>
            </w:pPr>
            <w:r w:rsidRPr="00A46ADC">
              <w:t xml:space="preserve">Al </w:t>
            </w:r>
            <w:proofErr w:type="spellStart"/>
            <w:r w:rsidRPr="00A46ADC">
              <w:t>Hosn</w:t>
            </w:r>
            <w:proofErr w:type="spellEnd"/>
            <w:r w:rsidRPr="00A46ADC">
              <w:t xml:space="preserve"> Investments</w:t>
            </w:r>
          </w:p>
        </w:tc>
        <w:tc>
          <w:tcPr>
            <w:tcW w:w="4563" w:type="dxa"/>
          </w:tcPr>
          <w:p w14:paraId="336F0C77" w14:textId="77777777" w:rsidR="00DE4516" w:rsidRPr="00A46ADC" w:rsidRDefault="00DE4516" w:rsidP="00DE4516">
            <w:pPr>
              <w:pStyle w:val="TableBody"/>
              <w:autoSpaceDE w:val="0"/>
              <w:autoSpaceDN w:val="0"/>
              <w:adjustRightInd w:val="0"/>
              <w:jc w:val="both"/>
              <w:rPr>
                <w:color w:val="000000" w:themeColor="text1"/>
                <w:szCs w:val="16"/>
              </w:rPr>
            </w:pPr>
            <w:r w:rsidRPr="00A46ADC">
              <w:t>Investments</w:t>
            </w:r>
          </w:p>
        </w:tc>
        <w:tc>
          <w:tcPr>
            <w:tcW w:w="799" w:type="dxa"/>
          </w:tcPr>
          <w:p w14:paraId="463E0513" w14:textId="77777777" w:rsidR="00DE4516" w:rsidRPr="00A46ADC" w:rsidRDefault="00DE4516" w:rsidP="00DE4516">
            <w:pPr>
              <w:pStyle w:val="TableBody"/>
              <w:autoSpaceDE w:val="0"/>
              <w:autoSpaceDN w:val="0"/>
              <w:adjustRightInd w:val="0"/>
              <w:jc w:val="right"/>
              <w:rPr>
                <w:color w:val="000000" w:themeColor="text1"/>
                <w:szCs w:val="16"/>
              </w:rPr>
            </w:pPr>
            <w:r w:rsidRPr="00A46ADC">
              <w:t>50</w:t>
            </w:r>
          </w:p>
        </w:tc>
      </w:tr>
      <w:tr w:rsidR="00DE4516" w:rsidRPr="00225231" w14:paraId="6D348427" w14:textId="77777777" w:rsidTr="002C718D">
        <w:trPr>
          <w:cantSplit/>
        </w:trPr>
        <w:tc>
          <w:tcPr>
            <w:tcW w:w="3654" w:type="dxa"/>
            <w:tcBorders>
              <w:bottom w:val="single" w:sz="4" w:space="0" w:color="auto"/>
            </w:tcBorders>
          </w:tcPr>
          <w:p w14:paraId="712470C0" w14:textId="77777777" w:rsidR="00DE4516" w:rsidRPr="00A46ADC" w:rsidRDefault="00DE4516" w:rsidP="00DE4516">
            <w:pPr>
              <w:pStyle w:val="TableBody"/>
              <w:autoSpaceDE w:val="0"/>
              <w:autoSpaceDN w:val="0"/>
              <w:adjustRightInd w:val="0"/>
              <w:jc w:val="both"/>
              <w:rPr>
                <w:color w:val="000000" w:themeColor="text1"/>
                <w:szCs w:val="16"/>
              </w:rPr>
            </w:pPr>
            <w:r w:rsidRPr="00A46ADC">
              <w:t>Blue City Project</w:t>
            </w:r>
          </w:p>
        </w:tc>
        <w:tc>
          <w:tcPr>
            <w:tcW w:w="4563" w:type="dxa"/>
            <w:tcBorders>
              <w:bottom w:val="single" w:sz="4" w:space="0" w:color="auto"/>
            </w:tcBorders>
          </w:tcPr>
          <w:p w14:paraId="1E0672BC" w14:textId="77777777" w:rsidR="00DE4516" w:rsidRPr="00A46ADC" w:rsidRDefault="00DE4516" w:rsidP="00DE4516">
            <w:pPr>
              <w:pStyle w:val="TableBody"/>
              <w:autoSpaceDE w:val="0"/>
              <w:autoSpaceDN w:val="0"/>
              <w:adjustRightInd w:val="0"/>
              <w:jc w:val="both"/>
              <w:rPr>
                <w:color w:val="000000" w:themeColor="text1"/>
                <w:szCs w:val="16"/>
              </w:rPr>
            </w:pPr>
            <w:r w:rsidRPr="00A46ADC">
              <w:t>Tourism</w:t>
            </w:r>
          </w:p>
        </w:tc>
        <w:tc>
          <w:tcPr>
            <w:tcW w:w="799" w:type="dxa"/>
            <w:tcBorders>
              <w:bottom w:val="single" w:sz="4" w:space="0" w:color="auto"/>
            </w:tcBorders>
          </w:tcPr>
          <w:p w14:paraId="786C48DF" w14:textId="77777777" w:rsidR="00DE4516" w:rsidRPr="00A46ADC" w:rsidRDefault="00DE4516" w:rsidP="00DE4516">
            <w:pPr>
              <w:pStyle w:val="TableBody"/>
              <w:autoSpaceDE w:val="0"/>
              <w:autoSpaceDN w:val="0"/>
              <w:adjustRightInd w:val="0"/>
              <w:jc w:val="right"/>
              <w:rPr>
                <w:color w:val="000000" w:themeColor="text1"/>
                <w:szCs w:val="16"/>
              </w:rPr>
            </w:pPr>
            <w:r w:rsidRPr="00A46ADC">
              <w:t>100</w:t>
            </w:r>
          </w:p>
        </w:tc>
      </w:tr>
    </w:tbl>
    <w:p w14:paraId="389159DA" w14:textId="6D17E14B" w:rsidR="00DE4516" w:rsidRDefault="00DE4516">
      <w:pPr>
        <w:pStyle w:val="TableSource"/>
        <w:autoSpaceDE w:val="0"/>
        <w:autoSpaceDN w:val="0"/>
        <w:adjustRightInd w:val="0"/>
        <w:rPr>
          <w:szCs w:val="24"/>
        </w:rPr>
      </w:pPr>
      <w:r>
        <w:rPr>
          <w:szCs w:val="24"/>
        </w:rPr>
        <w:t>Source:</w:t>
      </w:r>
      <w:r>
        <w:rPr>
          <w:szCs w:val="24"/>
        </w:rPr>
        <w:tab/>
        <w:t>WTO Secretariat, based on information provided by the authorities.</w:t>
      </w:r>
    </w:p>
    <w:p w14:paraId="3B30CE92" w14:textId="77777777" w:rsidR="00DE4516" w:rsidRDefault="00DE4516">
      <w:pPr>
        <w:pStyle w:val="BodyText0"/>
        <w:autoSpaceDE w:val="0"/>
        <w:autoSpaceDN w:val="0"/>
        <w:adjustRightInd w:val="0"/>
        <w:rPr>
          <w:szCs w:val="24"/>
        </w:rPr>
      </w:pPr>
      <w:r>
        <w:rPr>
          <w:szCs w:val="24"/>
        </w:rPr>
        <w:t>In 2019, Oman created the fully state-owned energy conglomerate OQ, which integrated nine companies of the oil and gas industry.</w:t>
      </w:r>
      <w:r w:rsidRPr="00DE4516">
        <w:rPr>
          <w:rStyle w:val="FootnoteReference"/>
        </w:rPr>
        <w:footnoteReference w:id="186"/>
      </w:r>
      <w:r>
        <w:rPr>
          <w:szCs w:val="24"/>
        </w:rPr>
        <w:t xml:space="preserve"> Ownership was transferred from the Ministry of Finance to the OIA.</w:t>
      </w:r>
    </w:p>
    <w:p w14:paraId="5A7190BA" w14:textId="77777777" w:rsidR="00DE4516" w:rsidRDefault="00DE4516">
      <w:pPr>
        <w:pStyle w:val="BodyText0"/>
        <w:autoSpaceDE w:val="0"/>
        <w:autoSpaceDN w:val="0"/>
        <w:adjustRightInd w:val="0"/>
        <w:rPr>
          <w:szCs w:val="24"/>
        </w:rPr>
      </w:pPr>
      <w:r>
        <w:rPr>
          <w:szCs w:val="24"/>
        </w:rPr>
        <w:t xml:space="preserve">Since the last Review, the Government sold some of its shares to private investors (which, for example, reduced the state share in </w:t>
      </w:r>
      <w:proofErr w:type="spellStart"/>
      <w:r>
        <w:rPr>
          <w:szCs w:val="24"/>
        </w:rPr>
        <w:t>Omantel</w:t>
      </w:r>
      <w:proofErr w:type="spellEnd"/>
      <w:r>
        <w:rPr>
          <w:szCs w:val="24"/>
        </w:rPr>
        <w:t xml:space="preserve"> from 70% to 51%). In 2019, the Oman Electricity Transmission Company was sold at 49% to the China National Electricity Grid Corporation for around USD 1 billion.</w:t>
      </w:r>
      <w:r w:rsidRPr="00DE4516">
        <w:rPr>
          <w:rStyle w:val="FootnoteReference"/>
        </w:rPr>
        <w:footnoteReference w:id="187"/>
      </w:r>
    </w:p>
    <w:p w14:paraId="51CA19AB" w14:textId="77777777" w:rsidR="00DE4516" w:rsidRDefault="00DE4516">
      <w:pPr>
        <w:pStyle w:val="Heading30"/>
        <w:autoSpaceDE w:val="0"/>
        <w:autoSpaceDN w:val="0"/>
        <w:adjustRightInd w:val="0"/>
        <w:rPr>
          <w:szCs w:val="24"/>
        </w:rPr>
      </w:pPr>
      <w:r>
        <w:rPr>
          <w:szCs w:val="24"/>
        </w:rPr>
        <w:t>Government procurement</w:t>
      </w:r>
    </w:p>
    <w:p w14:paraId="514796C0" w14:textId="77777777" w:rsidR="00DE4516" w:rsidRDefault="00DE4516">
      <w:pPr>
        <w:pStyle w:val="BodyText0"/>
        <w:autoSpaceDE w:val="0"/>
        <w:autoSpaceDN w:val="0"/>
        <w:adjustRightInd w:val="0"/>
        <w:rPr>
          <w:szCs w:val="24"/>
        </w:rPr>
      </w:pPr>
      <w:r>
        <w:rPr>
          <w:szCs w:val="24"/>
        </w:rPr>
        <w:t>The main legal instruments relating to government procurement are the Tender Law (Royal Decree No. 36/2008, amended by Royal Decrees No. 120/2011 and No. 60/2013) and the 1986 Unified Rules for Giving Priority in Government Purchases to National Products and Products of GCC Origin. Tendering is required for all units of the administrative apparatus of the State, and public organizations and establishments.</w:t>
      </w:r>
      <w:r w:rsidRPr="00DE4516">
        <w:rPr>
          <w:rStyle w:val="FootnoteReference"/>
        </w:rPr>
        <w:footnoteReference w:id="188"/>
      </w:r>
      <w:r>
        <w:rPr>
          <w:szCs w:val="24"/>
        </w:rPr>
        <w:t xml:space="preserve"> After the 2013 amendment, wholly state-owned companies became subject to the Tender Law, with their internal committees managing the tenders. According to the 2019 Privatization Law, privatization projects and company transformation projects are not subject to the Tender Law.</w:t>
      </w:r>
      <w:r w:rsidRPr="00DE4516">
        <w:rPr>
          <w:rStyle w:val="FootnoteReference"/>
        </w:rPr>
        <w:footnoteReference w:id="189"/>
      </w:r>
    </w:p>
    <w:p w14:paraId="426F3797" w14:textId="77777777" w:rsidR="00DE4516" w:rsidRDefault="00DE4516">
      <w:pPr>
        <w:pStyle w:val="BodyText0"/>
        <w:autoSpaceDE w:val="0"/>
        <w:autoSpaceDN w:val="0"/>
        <w:adjustRightInd w:val="0"/>
        <w:rPr>
          <w:szCs w:val="24"/>
        </w:rPr>
      </w:pPr>
      <w:r>
        <w:rPr>
          <w:szCs w:val="24"/>
        </w:rPr>
        <w:lastRenderedPageBreak/>
        <w:t>The Tender Board was created in 1972; its members are appointed by the Government. Projects above OMR 3 million must be floated and awarded through the Tender Board, while projects below this threshold can be processed through the Government's Internal Procurement Committees.</w:t>
      </w:r>
    </w:p>
    <w:p w14:paraId="3FB46EA7" w14:textId="77777777" w:rsidR="00DE4516" w:rsidRDefault="00DE4516">
      <w:pPr>
        <w:pStyle w:val="BodyText0"/>
        <w:autoSpaceDE w:val="0"/>
        <w:autoSpaceDN w:val="0"/>
        <w:adjustRightInd w:val="0"/>
        <w:rPr>
          <w:szCs w:val="24"/>
        </w:rPr>
      </w:pPr>
      <w:r>
        <w:rPr>
          <w:szCs w:val="24"/>
        </w:rPr>
        <w:t>According to the General Secretariat of the Tender Board, tenders can be general (open tender) or limited for qualified companies, and both can be either local, for companies registered in Oman, or international. The Tender Board's mission is to register companies to participate in a tender, review the tender documents, float the tender and selling documents to qualified companies, publish the tender, check the evaluation report from the ministries, send the recommendation report for awarding the tender, and check variation orders for the awarded projects.</w:t>
      </w:r>
    </w:p>
    <w:p w14:paraId="0805CB7F" w14:textId="77777777" w:rsidR="00DE4516" w:rsidRDefault="00DE4516">
      <w:pPr>
        <w:pStyle w:val="BodyText0"/>
        <w:autoSpaceDE w:val="0"/>
        <w:autoSpaceDN w:val="0"/>
        <w:adjustRightInd w:val="0"/>
        <w:rPr>
          <w:szCs w:val="24"/>
        </w:rPr>
      </w:pPr>
      <w:r>
        <w:rPr>
          <w:szCs w:val="24"/>
        </w:rPr>
        <w:t>Under the Tender Law, public tender is the main method for procurement of goods and services. For specific circumstances, four other methods apply: (</w:t>
      </w:r>
      <w:proofErr w:type="spellStart"/>
      <w:r>
        <w:rPr>
          <w:szCs w:val="24"/>
        </w:rPr>
        <w:t>i</w:t>
      </w:r>
      <w:proofErr w:type="spellEnd"/>
      <w:r>
        <w:rPr>
          <w:szCs w:val="24"/>
        </w:rPr>
        <w:t>) restricted tender to specific suppliers, contractors, or consultants within or outside the Sultanate; (ii) direct assignment; (iii) negotiation under specific conditions with the bidder of the lowest bid; and (iv) competition for the purpose of conducting studies or preparing designs, layouts, models, or other technical works required for a specific project. Restricted tendering applies to tenders of a special nature with pre</w:t>
      </w:r>
      <w:r>
        <w:rPr>
          <w:szCs w:val="24"/>
        </w:rPr>
        <w:noBreakHyphen/>
        <w:t>qualified bidders. Direct assignments are allowed in four situations: (</w:t>
      </w:r>
      <w:proofErr w:type="spellStart"/>
      <w:r>
        <w:rPr>
          <w:szCs w:val="24"/>
        </w:rPr>
        <w:t>i</w:t>
      </w:r>
      <w:proofErr w:type="spellEnd"/>
      <w:r>
        <w:rPr>
          <w:szCs w:val="24"/>
        </w:rPr>
        <w:t>) special cases (not specified); (ii) when a contract is awarded to another government office, organization, or company; (iii) assignment with a supplier, contractor, or consultancy, if the value of the contract does not exceed OMR 10,000; or (iv) in the case of urgency, with a supplier, contractor, or consultancy, if the value of the contract does not exceed OMR 25,000.</w:t>
      </w:r>
      <w:r w:rsidRPr="00DE4516">
        <w:rPr>
          <w:rStyle w:val="FootnoteReference"/>
        </w:rPr>
        <w:footnoteReference w:id="190"/>
      </w:r>
    </w:p>
    <w:p w14:paraId="615C7DE8" w14:textId="77777777" w:rsidR="00DE4516" w:rsidRDefault="00DE4516">
      <w:pPr>
        <w:pStyle w:val="BodyText0"/>
        <w:autoSpaceDE w:val="0"/>
        <w:autoSpaceDN w:val="0"/>
        <w:adjustRightInd w:val="0"/>
        <w:rPr>
          <w:szCs w:val="24"/>
        </w:rPr>
      </w:pPr>
      <w:r>
        <w:rPr>
          <w:szCs w:val="24"/>
        </w:rPr>
        <w:t>Under Article 18 of the Law, tender notices should be published early in time in a "widely circulated Arabic and English language newspaper", and possibly online. Purchases of at least OMR 500,000 must be published in the Official Gazette. Non</w:t>
      </w:r>
      <w:r>
        <w:rPr>
          <w:szCs w:val="24"/>
        </w:rPr>
        <w:noBreakHyphen/>
        <w:t xml:space="preserve">Omani companies and establishments </w:t>
      </w:r>
      <w:proofErr w:type="gramStart"/>
      <w:r>
        <w:rPr>
          <w:szCs w:val="24"/>
        </w:rPr>
        <w:t>can</w:t>
      </w:r>
      <w:proofErr w:type="gramEnd"/>
      <w:r>
        <w:rPr>
          <w:szCs w:val="24"/>
        </w:rPr>
        <w:t xml:space="preserve"> participate in international tenders if they registered under the relevant procedures. Successful candidates should submit a guarantee within 10 days that is equivalent to 5% of the total awarded value or submit a professional insurance policy. Successful international bidders are required to enrol in the Commercial Registration Department of the MOCIIP and become members of the Oman Chamber of Commerce and Industry within 30 days of award of the contract.</w:t>
      </w:r>
      <w:r w:rsidRPr="00DE4516">
        <w:rPr>
          <w:rStyle w:val="FootnoteReference"/>
        </w:rPr>
        <w:footnoteReference w:id="191"/>
      </w:r>
      <w:r>
        <w:rPr>
          <w:szCs w:val="24"/>
        </w:rPr>
        <w:t xml:space="preserve"> Pursuant to Article 59 of the Executive Regulations of the Tender Law, unsuccessful bidders may appeal to the Tender Board, and ultimately to the administrative courts. The authorities note that several cases of complaints have been filed over the last years.</w:t>
      </w:r>
    </w:p>
    <w:p w14:paraId="34572505" w14:textId="77777777" w:rsidR="00DE4516" w:rsidRDefault="00DE4516">
      <w:pPr>
        <w:pStyle w:val="BodyText0"/>
        <w:autoSpaceDE w:val="0"/>
        <w:autoSpaceDN w:val="0"/>
        <w:adjustRightInd w:val="0"/>
        <w:rPr>
          <w:szCs w:val="24"/>
        </w:rPr>
      </w:pPr>
      <w:r>
        <w:rPr>
          <w:szCs w:val="24"/>
        </w:rPr>
        <w:t>Article 36 of the Tender Law provides that priority must be given to national products of small and medium industries that meet required conditions and that a price preference of 10% should be granted to the products of Omani SMEs. An extension of this preference to SMEs from other GCC countries is currently under consideration. The authorities indicate that, in practice, a 5% preference is already applied.</w:t>
      </w:r>
    </w:p>
    <w:p w14:paraId="0E33EE56" w14:textId="77777777" w:rsidR="00DE4516" w:rsidRDefault="00DE4516">
      <w:pPr>
        <w:pStyle w:val="BodyText0"/>
        <w:autoSpaceDE w:val="0"/>
        <w:autoSpaceDN w:val="0"/>
        <w:adjustRightInd w:val="0"/>
        <w:rPr>
          <w:szCs w:val="24"/>
        </w:rPr>
      </w:pPr>
      <w:r>
        <w:rPr>
          <w:szCs w:val="24"/>
        </w:rPr>
        <w:t>The total amount of tenders awarded was OMR 381 million in 2020, OMR 688 million in 2019, and OMR 129 million in 2018. According to the Electronic Tendering Services, 8,372 tenders were published as of October 2020. Most of the tenders related to the construction of roads and dams and to the provision of medical care.</w:t>
      </w:r>
    </w:p>
    <w:p w14:paraId="794B1196" w14:textId="77777777" w:rsidR="00DE4516" w:rsidRDefault="00DE4516">
      <w:pPr>
        <w:pStyle w:val="BodyText0"/>
        <w:autoSpaceDE w:val="0"/>
        <w:autoSpaceDN w:val="0"/>
        <w:adjustRightInd w:val="0"/>
        <w:rPr>
          <w:szCs w:val="24"/>
        </w:rPr>
      </w:pPr>
      <w:r>
        <w:rPr>
          <w:szCs w:val="24"/>
        </w:rPr>
        <w:t>Oman is an observer to the WTO Agreement on Government Procurement.</w:t>
      </w:r>
    </w:p>
    <w:p w14:paraId="4FEE981C" w14:textId="77777777" w:rsidR="00DE4516" w:rsidRDefault="00DE4516">
      <w:pPr>
        <w:pStyle w:val="Heading30"/>
        <w:autoSpaceDE w:val="0"/>
        <w:autoSpaceDN w:val="0"/>
        <w:adjustRightInd w:val="0"/>
        <w:rPr>
          <w:szCs w:val="24"/>
        </w:rPr>
      </w:pPr>
      <w:r>
        <w:rPr>
          <w:szCs w:val="24"/>
        </w:rPr>
        <w:t>Intellectual property rights</w:t>
      </w:r>
    </w:p>
    <w:p w14:paraId="0F4E4450" w14:textId="77777777" w:rsidR="00DE4516" w:rsidRDefault="00DE4516">
      <w:pPr>
        <w:pStyle w:val="Heading40"/>
        <w:autoSpaceDE w:val="0"/>
        <w:autoSpaceDN w:val="0"/>
        <w:adjustRightInd w:val="0"/>
        <w:rPr>
          <w:szCs w:val="24"/>
        </w:rPr>
      </w:pPr>
      <w:r>
        <w:rPr>
          <w:szCs w:val="24"/>
        </w:rPr>
        <w:t>Overview</w:t>
      </w:r>
    </w:p>
    <w:p w14:paraId="489F783F" w14:textId="77777777" w:rsidR="00DE4516" w:rsidRDefault="00DE4516">
      <w:pPr>
        <w:pStyle w:val="BodyText0"/>
        <w:autoSpaceDE w:val="0"/>
        <w:autoSpaceDN w:val="0"/>
        <w:adjustRightInd w:val="0"/>
        <w:rPr>
          <w:szCs w:val="24"/>
        </w:rPr>
      </w:pPr>
      <w:r>
        <w:rPr>
          <w:szCs w:val="24"/>
        </w:rPr>
        <w:t xml:space="preserve">The MOCIIP, through its National Office of Intellectual Property, is responsible for policy formulation and implementation on intellectual property (IP)-related matters. The MOCIIP cooperates with other relevant ministries in implementing IP legislation. Other institutions responsible for IP matters are the Directorate General of Customs for issues related to border </w:t>
      </w:r>
      <w:r>
        <w:rPr>
          <w:szCs w:val="24"/>
        </w:rPr>
        <w:lastRenderedPageBreak/>
        <w:t>measures, courts of law for enforcement issues, the GCC Patent Office (based in Riyadh, Kingdom of Saudi Arabia), and the GCC Training Centre on IP, based in the State of Kuwait.</w:t>
      </w:r>
    </w:p>
    <w:p w14:paraId="28D4D1CB" w14:textId="77777777" w:rsidR="00DE4516" w:rsidRDefault="00DE4516">
      <w:pPr>
        <w:pStyle w:val="BodyText0"/>
        <w:autoSpaceDE w:val="0"/>
        <w:autoSpaceDN w:val="0"/>
        <w:adjustRightInd w:val="0"/>
        <w:rPr>
          <w:szCs w:val="24"/>
        </w:rPr>
      </w:pPr>
      <w:r>
        <w:rPr>
          <w:szCs w:val="24"/>
        </w:rPr>
        <w:t>The MOCIIP has been working closely with the World Intellectual Property Organization (WIPO) to formulate its future National Strategy for Intellectual Property. The aim of the Strategy is to build a knowledge-based economy and to promote innovation and competitiveness in accordance with Oman Vision 2040.</w:t>
      </w:r>
      <w:r w:rsidRPr="00DE4516">
        <w:rPr>
          <w:rStyle w:val="FootnoteReference"/>
        </w:rPr>
        <w:footnoteReference w:id="192"/>
      </w:r>
    </w:p>
    <w:p w14:paraId="07812879" w14:textId="77777777" w:rsidR="00DE4516" w:rsidRDefault="00DE4516">
      <w:pPr>
        <w:pStyle w:val="BodyText0"/>
        <w:autoSpaceDE w:val="0"/>
        <w:autoSpaceDN w:val="0"/>
        <w:adjustRightInd w:val="0"/>
        <w:rPr>
          <w:szCs w:val="24"/>
        </w:rPr>
      </w:pPr>
      <w:proofErr w:type="gramStart"/>
      <w:r>
        <w:rPr>
          <w:szCs w:val="24"/>
        </w:rPr>
        <w:t>The majority of</w:t>
      </w:r>
      <w:proofErr w:type="gramEnd"/>
      <w:r>
        <w:rPr>
          <w:szCs w:val="24"/>
        </w:rPr>
        <w:t xml:space="preserve"> Oman's IP rights were established under Royal Decrees No. 65/2008 and No. 67/2008 (</w:t>
      </w:r>
      <w:r>
        <w:rPr>
          <w:rStyle w:val="citetbl"/>
          <w:szCs w:val="24"/>
        </w:rPr>
        <w:t>Table 3.9</w:t>
      </w:r>
      <w:r>
        <w:rPr>
          <w:szCs w:val="24"/>
        </w:rPr>
        <w:t>).</w:t>
      </w:r>
    </w:p>
    <w:p w14:paraId="00FA67A1" w14:textId="77777777" w:rsidR="00DE4516" w:rsidRDefault="00DE4516">
      <w:pPr>
        <w:pStyle w:val="TableTitle"/>
        <w:autoSpaceDE w:val="0"/>
        <w:autoSpaceDN w:val="0"/>
        <w:adjustRightInd w:val="0"/>
      </w:pPr>
      <w:r>
        <w:t>Table 3.9 Overview of intellectual property rights (IPRs) legislation, June 2021</w:t>
      </w:r>
    </w:p>
    <w:tbl>
      <w:tblPr>
        <w:tblStyle w:val="WTOTable1"/>
        <w:tblW w:w="5000" w:type="pct"/>
        <w:tblLook w:val="05E0" w:firstRow="1" w:lastRow="1" w:firstColumn="1" w:lastColumn="1" w:noHBand="0" w:noVBand="1"/>
      </w:tblPr>
      <w:tblGrid>
        <w:gridCol w:w="1496"/>
        <w:gridCol w:w="3320"/>
        <w:gridCol w:w="2144"/>
        <w:gridCol w:w="2056"/>
      </w:tblGrid>
      <w:tr w:rsidR="00DE4516" w:rsidRPr="007F015E" w14:paraId="15060F17" w14:textId="77777777" w:rsidTr="002C718D">
        <w:trPr>
          <w:cnfStyle w:val="100000000000" w:firstRow="1" w:lastRow="0" w:firstColumn="0" w:lastColumn="0" w:oddVBand="0" w:evenVBand="0" w:oddHBand="0" w:evenHBand="0" w:firstRowFirstColumn="0" w:firstRowLastColumn="0" w:lastRowFirstColumn="0" w:lastRowLastColumn="0"/>
          <w:tblHeader/>
        </w:trPr>
        <w:tc>
          <w:tcPr>
            <w:tcW w:w="830" w:type="pct"/>
            <w:tcBorders>
              <w:top w:val="single" w:sz="4" w:space="0" w:color="auto"/>
            </w:tcBorders>
            <w:vAlign w:val="center"/>
            <w:hideMark/>
          </w:tcPr>
          <w:p w14:paraId="679C1D28" w14:textId="77777777" w:rsidR="00DE4516" w:rsidRPr="007F015E" w:rsidRDefault="00DE4516" w:rsidP="00DE4516">
            <w:pPr>
              <w:pStyle w:val="TableHead"/>
              <w:autoSpaceDE w:val="0"/>
              <w:autoSpaceDN w:val="0"/>
              <w:adjustRightInd w:val="0"/>
              <w:jc w:val="both"/>
              <w:rPr>
                <w:rFonts w:ascii="Times New Roman" w:hAnsi="Times New Roman"/>
                <w:b/>
                <w:color w:val="FFFFFF" w:themeColor="background1"/>
                <w:szCs w:val="16"/>
              </w:rPr>
            </w:pPr>
            <w:r w:rsidRPr="007F015E">
              <w:rPr>
                <w:b/>
              </w:rPr>
              <w:t>IPR</w:t>
            </w:r>
          </w:p>
        </w:tc>
        <w:tc>
          <w:tcPr>
            <w:tcW w:w="1841" w:type="pct"/>
            <w:tcBorders>
              <w:top w:val="single" w:sz="4" w:space="0" w:color="auto"/>
            </w:tcBorders>
            <w:vAlign w:val="center"/>
            <w:hideMark/>
          </w:tcPr>
          <w:p w14:paraId="6B176DD8" w14:textId="77777777" w:rsidR="00DE4516" w:rsidRPr="007F015E" w:rsidRDefault="00DE4516" w:rsidP="00DE4516">
            <w:pPr>
              <w:pStyle w:val="TableHead"/>
              <w:autoSpaceDE w:val="0"/>
              <w:autoSpaceDN w:val="0"/>
              <w:adjustRightInd w:val="0"/>
              <w:jc w:val="both"/>
              <w:rPr>
                <w:rFonts w:ascii="Times New Roman" w:hAnsi="Times New Roman"/>
                <w:b/>
                <w:color w:val="FFFFFF" w:themeColor="background1"/>
                <w:szCs w:val="16"/>
              </w:rPr>
            </w:pPr>
            <w:r w:rsidRPr="007F015E">
              <w:rPr>
                <w:b/>
              </w:rPr>
              <w:t>Main legislation</w:t>
            </w:r>
          </w:p>
        </w:tc>
        <w:tc>
          <w:tcPr>
            <w:tcW w:w="1189" w:type="pct"/>
            <w:tcBorders>
              <w:top w:val="single" w:sz="4" w:space="0" w:color="auto"/>
            </w:tcBorders>
            <w:vAlign w:val="center"/>
            <w:hideMark/>
          </w:tcPr>
          <w:p w14:paraId="7CDDE59C" w14:textId="77777777" w:rsidR="00DE4516" w:rsidRPr="007F015E" w:rsidRDefault="00DE4516" w:rsidP="00DE4516">
            <w:pPr>
              <w:pStyle w:val="TableHead"/>
              <w:autoSpaceDE w:val="0"/>
              <w:autoSpaceDN w:val="0"/>
              <w:adjustRightInd w:val="0"/>
              <w:jc w:val="both"/>
              <w:rPr>
                <w:rFonts w:ascii="Times New Roman" w:hAnsi="Times New Roman"/>
                <w:b/>
                <w:color w:val="FFFFFF" w:themeColor="background1"/>
                <w:szCs w:val="16"/>
              </w:rPr>
            </w:pPr>
            <w:r w:rsidRPr="007F015E">
              <w:rPr>
                <w:b/>
              </w:rPr>
              <w:t>Duration of protection</w:t>
            </w:r>
          </w:p>
        </w:tc>
        <w:tc>
          <w:tcPr>
            <w:tcW w:w="1140" w:type="pct"/>
            <w:tcBorders>
              <w:top w:val="single" w:sz="4" w:space="0" w:color="auto"/>
            </w:tcBorders>
            <w:vAlign w:val="center"/>
            <w:hideMark/>
          </w:tcPr>
          <w:p w14:paraId="67BE9279" w14:textId="77777777" w:rsidR="00DE4516" w:rsidRPr="007F015E" w:rsidRDefault="00DE4516" w:rsidP="00DE4516">
            <w:pPr>
              <w:pStyle w:val="TableHead"/>
              <w:autoSpaceDE w:val="0"/>
              <w:autoSpaceDN w:val="0"/>
              <w:adjustRightInd w:val="0"/>
              <w:jc w:val="both"/>
              <w:rPr>
                <w:rFonts w:ascii="Times New Roman" w:hAnsi="Times New Roman"/>
                <w:b/>
                <w:color w:val="FFFFFF" w:themeColor="background1"/>
                <w:szCs w:val="16"/>
              </w:rPr>
            </w:pPr>
            <w:r w:rsidRPr="007F015E">
              <w:rPr>
                <w:b/>
              </w:rPr>
              <w:t>Minimum duration of protection under the TRIPS Agreement</w:t>
            </w:r>
          </w:p>
        </w:tc>
      </w:tr>
      <w:tr w:rsidR="00DE4516" w:rsidRPr="00225231" w14:paraId="0E61A245" w14:textId="77777777" w:rsidTr="002C718D">
        <w:tc>
          <w:tcPr>
            <w:tcW w:w="830" w:type="pct"/>
            <w:hideMark/>
          </w:tcPr>
          <w:p w14:paraId="247DA4BF"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Copyright</w:t>
            </w:r>
          </w:p>
        </w:tc>
        <w:tc>
          <w:tcPr>
            <w:tcW w:w="1841" w:type="pct"/>
            <w:hideMark/>
          </w:tcPr>
          <w:p w14:paraId="0326007E"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Royal Decree No. 65/2008 on Copyright and Neighbouring Rights, amended by Royal Decree No. 132/2008</w:t>
            </w:r>
          </w:p>
        </w:tc>
        <w:tc>
          <w:tcPr>
            <w:tcW w:w="1189" w:type="pct"/>
            <w:hideMark/>
          </w:tcPr>
          <w:p w14:paraId="63ED91BA" w14:textId="77777777" w:rsidR="00DE4516" w:rsidRPr="00A46ADC" w:rsidRDefault="00DE4516" w:rsidP="00DE4516">
            <w:pPr>
              <w:pStyle w:val="TableBody"/>
              <w:autoSpaceDE w:val="0"/>
              <w:autoSpaceDN w:val="0"/>
              <w:adjustRightInd w:val="0"/>
              <w:jc w:val="both"/>
              <w:rPr>
                <w:rFonts w:cs="Verdana"/>
                <w:szCs w:val="16"/>
              </w:rPr>
            </w:pPr>
            <w:r w:rsidRPr="00A46ADC">
              <w:t xml:space="preserve">Life of author plus 70 years (general </w:t>
            </w:r>
            <w:proofErr w:type="gramStart"/>
            <w:r w:rsidRPr="00A46ADC">
              <w:t>rule)</w:t>
            </w:r>
            <w:r w:rsidRPr="00A46ADC">
              <w:rPr>
                <w:vertAlign w:val="superscript"/>
              </w:rPr>
              <w:t>a</w:t>
            </w:r>
            <w:proofErr w:type="gramEnd"/>
          </w:p>
        </w:tc>
        <w:tc>
          <w:tcPr>
            <w:tcW w:w="1140" w:type="pct"/>
            <w:hideMark/>
          </w:tcPr>
          <w:p w14:paraId="2BFC7001"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Life of author plus 50 years</w:t>
            </w:r>
          </w:p>
        </w:tc>
      </w:tr>
      <w:tr w:rsidR="00DE4516" w:rsidRPr="00225231" w14:paraId="483DA88C" w14:textId="77777777" w:rsidTr="002C718D">
        <w:trPr>
          <w:cnfStyle w:val="000000010000" w:firstRow="0" w:lastRow="0" w:firstColumn="0" w:lastColumn="0" w:oddVBand="0" w:evenVBand="0" w:oddHBand="0" w:evenHBand="1" w:firstRowFirstColumn="0" w:firstRowLastColumn="0" w:lastRowFirstColumn="0" w:lastRowLastColumn="0"/>
        </w:trPr>
        <w:tc>
          <w:tcPr>
            <w:tcW w:w="830" w:type="pct"/>
            <w:hideMark/>
          </w:tcPr>
          <w:p w14:paraId="529AE49E"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Patents</w:t>
            </w:r>
          </w:p>
        </w:tc>
        <w:tc>
          <w:tcPr>
            <w:tcW w:w="1841" w:type="pct"/>
            <w:hideMark/>
          </w:tcPr>
          <w:p w14:paraId="1B415A0B"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Royal Decree No. 67/2008 on Industrial Property Rights and Their Enforcement</w:t>
            </w:r>
          </w:p>
        </w:tc>
        <w:tc>
          <w:tcPr>
            <w:tcW w:w="1189" w:type="pct"/>
            <w:hideMark/>
          </w:tcPr>
          <w:p w14:paraId="352806E7"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20 years from the date of filing for patents</w:t>
            </w:r>
          </w:p>
        </w:tc>
        <w:tc>
          <w:tcPr>
            <w:tcW w:w="1140" w:type="pct"/>
            <w:hideMark/>
          </w:tcPr>
          <w:p w14:paraId="5B9D9A84"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20 years from date of filing</w:t>
            </w:r>
          </w:p>
        </w:tc>
      </w:tr>
      <w:tr w:rsidR="00DE4516" w:rsidRPr="00225231" w14:paraId="4E407D22" w14:textId="77777777" w:rsidTr="002C718D">
        <w:tc>
          <w:tcPr>
            <w:tcW w:w="830" w:type="pct"/>
            <w:hideMark/>
          </w:tcPr>
          <w:p w14:paraId="0077E099"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Trademarks</w:t>
            </w:r>
          </w:p>
        </w:tc>
        <w:tc>
          <w:tcPr>
            <w:tcW w:w="1841" w:type="pct"/>
            <w:hideMark/>
          </w:tcPr>
          <w:p w14:paraId="11F009FA"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Royal Decree No. 67/2008 on Industrial Property Rights and Their Enforcement</w:t>
            </w:r>
          </w:p>
        </w:tc>
        <w:tc>
          <w:tcPr>
            <w:tcW w:w="1189" w:type="pct"/>
            <w:hideMark/>
          </w:tcPr>
          <w:p w14:paraId="40BB7EBC"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Trademarks: 10 years, renewable indefinitely for periods of 10 years</w:t>
            </w:r>
          </w:p>
        </w:tc>
        <w:tc>
          <w:tcPr>
            <w:tcW w:w="1140" w:type="pct"/>
            <w:hideMark/>
          </w:tcPr>
          <w:p w14:paraId="73F9B924"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Trademarks: at least 7 years; renewable indefinitely</w:t>
            </w:r>
          </w:p>
        </w:tc>
      </w:tr>
      <w:tr w:rsidR="00DE4516" w:rsidRPr="00225231" w14:paraId="6F488DA9" w14:textId="77777777" w:rsidTr="002C718D">
        <w:trPr>
          <w:cnfStyle w:val="000000010000" w:firstRow="0" w:lastRow="0" w:firstColumn="0" w:lastColumn="0" w:oddVBand="0" w:evenVBand="0" w:oddHBand="0" w:evenHBand="1" w:firstRowFirstColumn="0" w:firstRowLastColumn="0" w:lastRowFirstColumn="0" w:lastRowLastColumn="0"/>
        </w:trPr>
        <w:tc>
          <w:tcPr>
            <w:tcW w:w="830" w:type="pct"/>
            <w:hideMark/>
          </w:tcPr>
          <w:p w14:paraId="1B0D604A"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Geographical indications</w:t>
            </w:r>
          </w:p>
        </w:tc>
        <w:tc>
          <w:tcPr>
            <w:tcW w:w="1841" w:type="pct"/>
            <w:hideMark/>
          </w:tcPr>
          <w:p w14:paraId="6B33AFAD"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Royal Decree No. 67/2008 on Industrial Property Rights and Their Enforcement</w:t>
            </w:r>
          </w:p>
        </w:tc>
        <w:tc>
          <w:tcPr>
            <w:tcW w:w="1189" w:type="pct"/>
            <w:hideMark/>
          </w:tcPr>
          <w:p w14:paraId="38E773EA"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Unlimited</w:t>
            </w:r>
          </w:p>
        </w:tc>
        <w:tc>
          <w:tcPr>
            <w:tcW w:w="1140" w:type="pct"/>
            <w:hideMark/>
          </w:tcPr>
          <w:p w14:paraId="2256996C"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Unlimited</w:t>
            </w:r>
          </w:p>
        </w:tc>
      </w:tr>
      <w:tr w:rsidR="00DE4516" w:rsidRPr="00225231" w14:paraId="0F67544A" w14:textId="77777777" w:rsidTr="002C718D">
        <w:tc>
          <w:tcPr>
            <w:tcW w:w="830" w:type="pct"/>
            <w:hideMark/>
          </w:tcPr>
          <w:p w14:paraId="4D6F8CE5"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Integrated circuits</w:t>
            </w:r>
          </w:p>
        </w:tc>
        <w:tc>
          <w:tcPr>
            <w:tcW w:w="1841" w:type="pct"/>
            <w:hideMark/>
          </w:tcPr>
          <w:p w14:paraId="4B7D1AD0"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Royal Decree No. 67/2008 on Industrial Property Rights and Their Enforcement</w:t>
            </w:r>
          </w:p>
        </w:tc>
        <w:tc>
          <w:tcPr>
            <w:tcW w:w="1189" w:type="pct"/>
            <w:hideMark/>
          </w:tcPr>
          <w:p w14:paraId="197A6D70"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10 years</w:t>
            </w:r>
          </w:p>
        </w:tc>
        <w:tc>
          <w:tcPr>
            <w:tcW w:w="1140" w:type="pct"/>
            <w:hideMark/>
          </w:tcPr>
          <w:p w14:paraId="08C52D4B"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10 years from first commercial exploitation</w:t>
            </w:r>
          </w:p>
        </w:tc>
      </w:tr>
      <w:tr w:rsidR="00DE4516" w:rsidRPr="00225231" w14:paraId="6F2FEB14" w14:textId="77777777" w:rsidTr="002C718D">
        <w:trPr>
          <w:cnfStyle w:val="000000010000" w:firstRow="0" w:lastRow="0" w:firstColumn="0" w:lastColumn="0" w:oddVBand="0" w:evenVBand="0" w:oddHBand="0" w:evenHBand="1" w:firstRowFirstColumn="0" w:firstRowLastColumn="0" w:lastRowFirstColumn="0" w:lastRowLastColumn="0"/>
        </w:trPr>
        <w:tc>
          <w:tcPr>
            <w:tcW w:w="830" w:type="pct"/>
            <w:hideMark/>
          </w:tcPr>
          <w:p w14:paraId="0A195DA6"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Industrial designs</w:t>
            </w:r>
          </w:p>
        </w:tc>
        <w:tc>
          <w:tcPr>
            <w:tcW w:w="1841" w:type="pct"/>
            <w:hideMark/>
          </w:tcPr>
          <w:p w14:paraId="0A2A56B7"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Royal Decree No. 67/2008 on Industrial Property Rights and Their Enforcement</w:t>
            </w:r>
          </w:p>
        </w:tc>
        <w:tc>
          <w:tcPr>
            <w:tcW w:w="1189" w:type="pct"/>
            <w:hideMark/>
          </w:tcPr>
          <w:p w14:paraId="154D60CE"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5 years, renewable for 2 periods of 5 years</w:t>
            </w:r>
          </w:p>
        </w:tc>
        <w:tc>
          <w:tcPr>
            <w:tcW w:w="1140" w:type="pct"/>
            <w:hideMark/>
          </w:tcPr>
          <w:p w14:paraId="54878CC3"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At least 10 years</w:t>
            </w:r>
          </w:p>
        </w:tc>
      </w:tr>
      <w:tr w:rsidR="00DE4516" w:rsidRPr="00225231" w14:paraId="5BB3C8FC" w14:textId="77777777" w:rsidTr="002C718D">
        <w:tc>
          <w:tcPr>
            <w:tcW w:w="830" w:type="pct"/>
            <w:tcBorders>
              <w:bottom w:val="single" w:sz="4" w:space="0" w:color="auto"/>
            </w:tcBorders>
            <w:hideMark/>
          </w:tcPr>
          <w:p w14:paraId="1C5A6118"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Plant breeders' rights</w:t>
            </w:r>
          </w:p>
        </w:tc>
        <w:tc>
          <w:tcPr>
            <w:tcW w:w="1841" w:type="pct"/>
            <w:tcBorders>
              <w:bottom w:val="single" w:sz="4" w:space="0" w:color="auto"/>
            </w:tcBorders>
            <w:hideMark/>
          </w:tcPr>
          <w:p w14:paraId="524B8EE3"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Royal Decree No. 49/2009 on the Protection of Breeders' Rights in New Varieties of Plants</w:t>
            </w:r>
          </w:p>
        </w:tc>
        <w:tc>
          <w:tcPr>
            <w:tcW w:w="1189" w:type="pct"/>
            <w:tcBorders>
              <w:bottom w:val="single" w:sz="4" w:space="0" w:color="auto"/>
            </w:tcBorders>
            <w:hideMark/>
          </w:tcPr>
          <w:p w14:paraId="37B58B02"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20 years from the date of granting (25 years for trees and vines)</w:t>
            </w:r>
          </w:p>
        </w:tc>
        <w:tc>
          <w:tcPr>
            <w:tcW w:w="1140" w:type="pct"/>
            <w:tcBorders>
              <w:bottom w:val="single" w:sz="4" w:space="0" w:color="auto"/>
            </w:tcBorders>
            <w:hideMark/>
          </w:tcPr>
          <w:p w14:paraId="4AA29ED2"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20 years from the date of filing</w:t>
            </w:r>
          </w:p>
        </w:tc>
      </w:tr>
    </w:tbl>
    <w:p w14:paraId="76628D2E" w14:textId="0EAD6307" w:rsidR="00DE4516" w:rsidRDefault="00DE4516">
      <w:pPr>
        <w:pStyle w:val="TableNote"/>
        <w:autoSpaceDE w:val="0"/>
        <w:autoSpaceDN w:val="0"/>
        <w:adjustRightInd w:val="0"/>
        <w:contextualSpacing w:val="0"/>
      </w:pPr>
      <w:r>
        <w:t>a</w:t>
      </w:r>
      <w:r>
        <w:tab/>
        <w:t>Co-authored, collective, and anonymous works and works published 25 years after their creation may follow longer protection lengths. UNESCO World Anti-Piracy Observatory, Oman.</w:t>
      </w:r>
    </w:p>
    <w:p w14:paraId="3DCF19DE" w14:textId="77777777" w:rsidR="00DE4516" w:rsidRDefault="00DE4516">
      <w:pPr>
        <w:pStyle w:val="TableSource"/>
        <w:autoSpaceDE w:val="0"/>
        <w:autoSpaceDN w:val="0"/>
        <w:adjustRightInd w:val="0"/>
        <w:rPr>
          <w:szCs w:val="24"/>
        </w:rPr>
      </w:pPr>
      <w:r>
        <w:rPr>
          <w:szCs w:val="24"/>
        </w:rPr>
        <w:t>Source:</w:t>
      </w:r>
      <w:r>
        <w:rPr>
          <w:szCs w:val="24"/>
        </w:rPr>
        <w:tab/>
        <w:t>WTO Secretariat, based on information provided by the authorities.</w:t>
      </w:r>
    </w:p>
    <w:p w14:paraId="4D2032BD" w14:textId="77777777" w:rsidR="00DE4516" w:rsidRDefault="00DE4516">
      <w:pPr>
        <w:pStyle w:val="BodyText0"/>
        <w:autoSpaceDE w:val="0"/>
        <w:autoSpaceDN w:val="0"/>
        <w:adjustRightInd w:val="0"/>
        <w:rPr>
          <w:szCs w:val="24"/>
        </w:rPr>
      </w:pPr>
      <w:r>
        <w:rPr>
          <w:szCs w:val="24"/>
        </w:rPr>
        <w:t>Oman is a party to various international IP treaties and conventions (</w:t>
      </w:r>
      <w:r>
        <w:rPr>
          <w:rStyle w:val="citetbl"/>
          <w:szCs w:val="24"/>
        </w:rPr>
        <w:t>Table 3.10</w:t>
      </w:r>
      <w:r>
        <w:rPr>
          <w:szCs w:val="24"/>
        </w:rPr>
        <w:t>). Since its last Review in 2014, Oman has accepted the Protocol Amending the WTO TRIPS Agreement for better access to affordable medicines and the Geneva Act of the Lisbon Agreement on Appellations of Origin and Geographical Indications.</w:t>
      </w:r>
    </w:p>
    <w:p w14:paraId="67475560" w14:textId="77777777" w:rsidR="00DE4516" w:rsidRDefault="00DE4516">
      <w:pPr>
        <w:pStyle w:val="TableTitle"/>
        <w:autoSpaceDE w:val="0"/>
        <w:autoSpaceDN w:val="0"/>
        <w:adjustRightInd w:val="0"/>
      </w:pPr>
      <w:r>
        <w:t>Table 3.10 Participation in international IPR agreements, 2021</w:t>
      </w:r>
    </w:p>
    <w:tbl>
      <w:tblPr>
        <w:tblStyle w:val="WTOTable1"/>
        <w:tblW w:w="5000" w:type="pct"/>
        <w:tblLook w:val="05E0" w:firstRow="1" w:lastRow="1" w:firstColumn="1" w:lastColumn="1" w:noHBand="0" w:noVBand="1"/>
      </w:tblPr>
      <w:tblGrid>
        <w:gridCol w:w="7083"/>
        <w:gridCol w:w="1933"/>
      </w:tblGrid>
      <w:tr w:rsidR="00DE4516" w:rsidRPr="007F015E" w14:paraId="51F2CEAA" w14:textId="77777777" w:rsidTr="002C718D">
        <w:trPr>
          <w:cnfStyle w:val="100000000000" w:firstRow="1" w:lastRow="0" w:firstColumn="0" w:lastColumn="0" w:oddVBand="0" w:evenVBand="0" w:oddHBand="0" w:evenHBand="0" w:firstRowFirstColumn="0" w:firstRowLastColumn="0" w:lastRowFirstColumn="0" w:lastRowLastColumn="0"/>
          <w:tblHeader/>
        </w:trPr>
        <w:tc>
          <w:tcPr>
            <w:tcW w:w="3928" w:type="pct"/>
            <w:tcBorders>
              <w:top w:val="single" w:sz="4" w:space="0" w:color="auto"/>
            </w:tcBorders>
            <w:vAlign w:val="center"/>
            <w:hideMark/>
          </w:tcPr>
          <w:p w14:paraId="2B13C304" w14:textId="77777777" w:rsidR="00DE4516" w:rsidRPr="007F015E" w:rsidRDefault="00DE4516" w:rsidP="00DE4516">
            <w:pPr>
              <w:pStyle w:val="TableHead"/>
              <w:autoSpaceDE w:val="0"/>
              <w:autoSpaceDN w:val="0"/>
              <w:adjustRightInd w:val="0"/>
              <w:jc w:val="both"/>
              <w:rPr>
                <w:rFonts w:ascii="Verdana Bold" w:hAnsi="Verdana Bold"/>
                <w:b/>
                <w:color w:val="FFFFFF" w:themeColor="background1"/>
                <w:szCs w:val="16"/>
              </w:rPr>
            </w:pPr>
            <w:r w:rsidRPr="007F015E">
              <w:rPr>
                <w:b/>
              </w:rPr>
              <w:t>Treaty or convention</w:t>
            </w:r>
          </w:p>
        </w:tc>
        <w:tc>
          <w:tcPr>
            <w:tcW w:w="1072" w:type="pct"/>
            <w:tcBorders>
              <w:top w:val="single" w:sz="4" w:space="0" w:color="auto"/>
            </w:tcBorders>
            <w:vAlign w:val="center"/>
            <w:hideMark/>
          </w:tcPr>
          <w:p w14:paraId="302D390F" w14:textId="77777777" w:rsidR="00DE4516" w:rsidRPr="007F015E" w:rsidRDefault="00DE4516" w:rsidP="00DE4516">
            <w:pPr>
              <w:pStyle w:val="TableHead"/>
              <w:autoSpaceDE w:val="0"/>
              <w:autoSpaceDN w:val="0"/>
              <w:adjustRightInd w:val="0"/>
              <w:jc w:val="both"/>
              <w:rPr>
                <w:rFonts w:ascii="Verdana Bold" w:hAnsi="Verdana Bold"/>
                <w:b/>
                <w:color w:val="FFFFFF" w:themeColor="background1"/>
                <w:szCs w:val="16"/>
              </w:rPr>
            </w:pPr>
            <w:r w:rsidRPr="007F015E">
              <w:rPr>
                <w:b/>
              </w:rPr>
              <w:t>Entry into force</w:t>
            </w:r>
          </w:p>
        </w:tc>
      </w:tr>
      <w:tr w:rsidR="00DE4516" w:rsidRPr="00225231" w14:paraId="3090A436" w14:textId="77777777" w:rsidTr="002C718D">
        <w:tc>
          <w:tcPr>
            <w:tcW w:w="3928" w:type="pct"/>
            <w:hideMark/>
          </w:tcPr>
          <w:p w14:paraId="6AEF1DE8"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Berne Convention</w:t>
            </w:r>
          </w:p>
        </w:tc>
        <w:tc>
          <w:tcPr>
            <w:tcW w:w="1072" w:type="pct"/>
            <w:hideMark/>
          </w:tcPr>
          <w:p w14:paraId="725B386D"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9 September 1886</w:t>
            </w:r>
          </w:p>
        </w:tc>
      </w:tr>
      <w:tr w:rsidR="00DE4516" w:rsidRPr="00225231" w14:paraId="74DE188A" w14:textId="77777777" w:rsidTr="002C718D">
        <w:trPr>
          <w:cnfStyle w:val="000000010000" w:firstRow="0" w:lastRow="0" w:firstColumn="0" w:lastColumn="0" w:oddVBand="0" w:evenVBand="0" w:oddHBand="0" w:evenHBand="1" w:firstRowFirstColumn="0" w:firstRowLastColumn="0" w:lastRowFirstColumn="0" w:lastRowLastColumn="0"/>
        </w:trPr>
        <w:tc>
          <w:tcPr>
            <w:tcW w:w="3928" w:type="pct"/>
            <w:hideMark/>
          </w:tcPr>
          <w:p w14:paraId="37F873C6" w14:textId="77777777" w:rsidR="00DE4516" w:rsidRPr="00A46ADC" w:rsidRDefault="00DE4516" w:rsidP="00DE4516">
            <w:pPr>
              <w:pStyle w:val="TableBody"/>
              <w:autoSpaceDE w:val="0"/>
              <w:autoSpaceDN w:val="0"/>
              <w:adjustRightInd w:val="0"/>
              <w:jc w:val="both"/>
              <w:rPr>
                <w:szCs w:val="16"/>
              </w:rPr>
            </w:pPr>
            <w:r w:rsidRPr="00A46ADC">
              <w:lastRenderedPageBreak/>
              <w:t>Washington Treaty on Intellectual Property in Respect of Integrated Circuit</w:t>
            </w:r>
          </w:p>
        </w:tc>
        <w:tc>
          <w:tcPr>
            <w:tcW w:w="1072" w:type="pct"/>
            <w:hideMark/>
          </w:tcPr>
          <w:p w14:paraId="517E49B2"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26 May 1989</w:t>
            </w:r>
          </w:p>
        </w:tc>
      </w:tr>
      <w:tr w:rsidR="00DE4516" w:rsidRPr="00225231" w14:paraId="5CB1C066" w14:textId="77777777" w:rsidTr="002C718D">
        <w:tc>
          <w:tcPr>
            <w:tcW w:w="3928" w:type="pct"/>
            <w:hideMark/>
          </w:tcPr>
          <w:p w14:paraId="07604F09"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TRIPS Agreement</w:t>
            </w:r>
          </w:p>
        </w:tc>
        <w:tc>
          <w:tcPr>
            <w:tcW w:w="1072" w:type="pct"/>
            <w:hideMark/>
          </w:tcPr>
          <w:p w14:paraId="14C4CB23"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 January 1995</w:t>
            </w:r>
          </w:p>
        </w:tc>
      </w:tr>
      <w:tr w:rsidR="00DE4516" w:rsidRPr="00225231" w14:paraId="6CFA92B7" w14:textId="77777777" w:rsidTr="002C718D">
        <w:trPr>
          <w:cnfStyle w:val="000000010000" w:firstRow="0" w:lastRow="0" w:firstColumn="0" w:lastColumn="0" w:oddVBand="0" w:evenVBand="0" w:oddHBand="0" w:evenHBand="1" w:firstRowFirstColumn="0" w:firstRowLastColumn="0" w:lastRowFirstColumn="0" w:lastRowLastColumn="0"/>
        </w:trPr>
        <w:tc>
          <w:tcPr>
            <w:tcW w:w="3928" w:type="pct"/>
            <w:hideMark/>
          </w:tcPr>
          <w:p w14:paraId="2A2EFC39"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WIPO Convention</w:t>
            </w:r>
          </w:p>
        </w:tc>
        <w:tc>
          <w:tcPr>
            <w:tcW w:w="1072" w:type="pct"/>
            <w:hideMark/>
          </w:tcPr>
          <w:p w14:paraId="678ED126"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19 February 1997</w:t>
            </w:r>
          </w:p>
        </w:tc>
      </w:tr>
      <w:tr w:rsidR="00DE4516" w:rsidRPr="00225231" w14:paraId="4D144520" w14:textId="77777777" w:rsidTr="002C718D">
        <w:tc>
          <w:tcPr>
            <w:tcW w:w="3928" w:type="pct"/>
            <w:hideMark/>
          </w:tcPr>
          <w:p w14:paraId="63DB769B"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Berne Convention for the Protection of Literary and Artistic Work</w:t>
            </w:r>
          </w:p>
        </w:tc>
        <w:tc>
          <w:tcPr>
            <w:tcW w:w="1072" w:type="pct"/>
            <w:hideMark/>
          </w:tcPr>
          <w:p w14:paraId="75620986"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14 July 1997</w:t>
            </w:r>
          </w:p>
        </w:tc>
      </w:tr>
      <w:tr w:rsidR="00DE4516" w:rsidRPr="00225231" w14:paraId="360B98A1" w14:textId="77777777" w:rsidTr="002C718D">
        <w:trPr>
          <w:cnfStyle w:val="000000010000" w:firstRow="0" w:lastRow="0" w:firstColumn="0" w:lastColumn="0" w:oddVBand="0" w:evenVBand="0" w:oddHBand="0" w:evenHBand="1" w:firstRowFirstColumn="0" w:firstRowLastColumn="0" w:lastRowFirstColumn="0" w:lastRowLastColumn="0"/>
        </w:trPr>
        <w:tc>
          <w:tcPr>
            <w:tcW w:w="3928" w:type="pct"/>
            <w:hideMark/>
          </w:tcPr>
          <w:p w14:paraId="1DACC8C0"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Patent Cooperation Treaty</w:t>
            </w:r>
          </w:p>
        </w:tc>
        <w:tc>
          <w:tcPr>
            <w:tcW w:w="1072" w:type="pct"/>
            <w:hideMark/>
          </w:tcPr>
          <w:p w14:paraId="089E255A"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14 July 1997</w:t>
            </w:r>
          </w:p>
        </w:tc>
      </w:tr>
      <w:tr w:rsidR="00DE4516" w:rsidRPr="00225231" w14:paraId="699A0A6B" w14:textId="77777777" w:rsidTr="002C718D">
        <w:tc>
          <w:tcPr>
            <w:tcW w:w="3928" w:type="pct"/>
            <w:hideMark/>
          </w:tcPr>
          <w:p w14:paraId="75EB3565"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Paris Convention for the Protection of Intellectual Property</w:t>
            </w:r>
          </w:p>
        </w:tc>
        <w:tc>
          <w:tcPr>
            <w:tcW w:w="1072" w:type="pct"/>
            <w:hideMark/>
          </w:tcPr>
          <w:p w14:paraId="5B6C6CE2"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14 July 1999</w:t>
            </w:r>
          </w:p>
        </w:tc>
      </w:tr>
      <w:tr w:rsidR="00DE4516" w:rsidRPr="00225231" w14:paraId="65D44423" w14:textId="77777777" w:rsidTr="002C718D">
        <w:trPr>
          <w:cnfStyle w:val="000000010000" w:firstRow="0" w:lastRow="0" w:firstColumn="0" w:lastColumn="0" w:oddVBand="0" w:evenVBand="0" w:oddHBand="0" w:evenHBand="1" w:firstRowFirstColumn="0" w:firstRowLastColumn="0" w:lastRowFirstColumn="0" w:lastRowLastColumn="0"/>
        </w:trPr>
        <w:tc>
          <w:tcPr>
            <w:tcW w:w="3928" w:type="pct"/>
            <w:hideMark/>
          </w:tcPr>
          <w:p w14:paraId="558E8F6D"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WIPO Performances and Phonograms Treaty</w:t>
            </w:r>
          </w:p>
        </w:tc>
        <w:tc>
          <w:tcPr>
            <w:tcW w:w="1072" w:type="pct"/>
            <w:hideMark/>
          </w:tcPr>
          <w:p w14:paraId="5921194B"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20 September 2005</w:t>
            </w:r>
          </w:p>
        </w:tc>
      </w:tr>
      <w:tr w:rsidR="00DE4516" w:rsidRPr="00225231" w14:paraId="1695D91F" w14:textId="77777777" w:rsidTr="002C718D">
        <w:tc>
          <w:tcPr>
            <w:tcW w:w="3928" w:type="pct"/>
            <w:hideMark/>
          </w:tcPr>
          <w:p w14:paraId="1B46D027"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WIPO Copyright Treaty</w:t>
            </w:r>
          </w:p>
        </w:tc>
        <w:tc>
          <w:tcPr>
            <w:tcW w:w="1072" w:type="pct"/>
            <w:hideMark/>
          </w:tcPr>
          <w:p w14:paraId="06AC2F0E"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20 September 2005</w:t>
            </w:r>
          </w:p>
        </w:tc>
      </w:tr>
      <w:tr w:rsidR="00DE4516" w:rsidRPr="00225231" w14:paraId="45D027FA" w14:textId="77777777" w:rsidTr="002C718D">
        <w:trPr>
          <w:cnfStyle w:val="000000010000" w:firstRow="0" w:lastRow="0" w:firstColumn="0" w:lastColumn="0" w:oddVBand="0" w:evenVBand="0" w:oddHBand="0" w:evenHBand="1" w:firstRowFirstColumn="0" w:firstRowLastColumn="0" w:lastRowFirstColumn="0" w:lastRowLastColumn="0"/>
        </w:trPr>
        <w:tc>
          <w:tcPr>
            <w:tcW w:w="3928" w:type="pct"/>
            <w:hideMark/>
          </w:tcPr>
          <w:p w14:paraId="0DB7341C"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Budapest Treaty on the International Recognition of the Deposit of Microorganisms for the Purposes of Patent Procedure and Regulations</w:t>
            </w:r>
          </w:p>
        </w:tc>
        <w:tc>
          <w:tcPr>
            <w:tcW w:w="1072" w:type="pct"/>
            <w:hideMark/>
          </w:tcPr>
          <w:p w14:paraId="4856D257"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16 October 2007</w:t>
            </w:r>
          </w:p>
        </w:tc>
      </w:tr>
      <w:tr w:rsidR="00DE4516" w:rsidRPr="00225231" w14:paraId="32F25007" w14:textId="77777777" w:rsidTr="002C718D">
        <w:tc>
          <w:tcPr>
            <w:tcW w:w="3928" w:type="pct"/>
            <w:hideMark/>
          </w:tcPr>
          <w:p w14:paraId="5D9A6986"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Protocol relating to the Madrid Agreement concerning the International Registration of Marks (Madrid Protocol)</w:t>
            </w:r>
          </w:p>
        </w:tc>
        <w:tc>
          <w:tcPr>
            <w:tcW w:w="1072" w:type="pct"/>
            <w:hideMark/>
          </w:tcPr>
          <w:p w14:paraId="07CF335E"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16 October 2007</w:t>
            </w:r>
          </w:p>
        </w:tc>
      </w:tr>
      <w:tr w:rsidR="00DE4516" w:rsidRPr="00225231" w14:paraId="7D634D19" w14:textId="77777777" w:rsidTr="002C718D">
        <w:trPr>
          <w:cnfStyle w:val="000000010000" w:firstRow="0" w:lastRow="0" w:firstColumn="0" w:lastColumn="0" w:oddVBand="0" w:evenVBand="0" w:oddHBand="0" w:evenHBand="1" w:firstRowFirstColumn="0" w:firstRowLastColumn="0" w:lastRowFirstColumn="0" w:lastRowLastColumn="0"/>
        </w:trPr>
        <w:tc>
          <w:tcPr>
            <w:tcW w:w="3928" w:type="pct"/>
            <w:hideMark/>
          </w:tcPr>
          <w:p w14:paraId="14F4DCD6"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Patent Law Treaty</w:t>
            </w:r>
          </w:p>
        </w:tc>
        <w:tc>
          <w:tcPr>
            <w:tcW w:w="1072" w:type="pct"/>
            <w:hideMark/>
          </w:tcPr>
          <w:p w14:paraId="10C8AB60"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16 October 2007</w:t>
            </w:r>
          </w:p>
        </w:tc>
      </w:tr>
      <w:tr w:rsidR="00DE4516" w:rsidRPr="00225231" w14:paraId="117BC682" w14:textId="77777777" w:rsidTr="002C718D">
        <w:tc>
          <w:tcPr>
            <w:tcW w:w="3928" w:type="pct"/>
            <w:hideMark/>
          </w:tcPr>
          <w:p w14:paraId="6591C65E"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Trademark Law Treaty</w:t>
            </w:r>
          </w:p>
        </w:tc>
        <w:tc>
          <w:tcPr>
            <w:tcW w:w="1072" w:type="pct"/>
            <w:hideMark/>
          </w:tcPr>
          <w:p w14:paraId="247401F4"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16 October 2007</w:t>
            </w:r>
          </w:p>
        </w:tc>
      </w:tr>
      <w:tr w:rsidR="00DE4516" w:rsidRPr="00225231" w14:paraId="64F1265D" w14:textId="77777777" w:rsidTr="002C718D">
        <w:trPr>
          <w:cnfStyle w:val="000000010000" w:firstRow="0" w:lastRow="0" w:firstColumn="0" w:lastColumn="0" w:oddVBand="0" w:evenVBand="0" w:oddHBand="0" w:evenHBand="1" w:firstRowFirstColumn="0" w:firstRowLastColumn="0" w:lastRowFirstColumn="0" w:lastRowLastColumn="0"/>
        </w:trPr>
        <w:tc>
          <w:tcPr>
            <w:tcW w:w="3928" w:type="pct"/>
            <w:hideMark/>
          </w:tcPr>
          <w:p w14:paraId="547B2D09"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Brussels Convention relating to the Distribution of Programme-Carrying Signals Transmitted by Satellite</w:t>
            </w:r>
          </w:p>
        </w:tc>
        <w:tc>
          <w:tcPr>
            <w:tcW w:w="1072" w:type="pct"/>
            <w:hideMark/>
          </w:tcPr>
          <w:p w14:paraId="147B9ADF"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18 March 2008</w:t>
            </w:r>
          </w:p>
        </w:tc>
      </w:tr>
      <w:tr w:rsidR="00DE4516" w:rsidRPr="00225231" w14:paraId="59D6B140" w14:textId="77777777" w:rsidTr="002C718D">
        <w:tc>
          <w:tcPr>
            <w:tcW w:w="3928" w:type="pct"/>
            <w:hideMark/>
          </w:tcPr>
          <w:p w14:paraId="1259B752"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Hague Agreement Concerning the International Registration of Industrial Designs</w:t>
            </w:r>
          </w:p>
        </w:tc>
        <w:tc>
          <w:tcPr>
            <w:tcW w:w="1072" w:type="pct"/>
            <w:hideMark/>
          </w:tcPr>
          <w:p w14:paraId="16DA9018"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4 March 2009</w:t>
            </w:r>
          </w:p>
        </w:tc>
      </w:tr>
      <w:tr w:rsidR="00DE4516" w:rsidRPr="00225231" w14:paraId="755F618D" w14:textId="77777777" w:rsidTr="002C718D">
        <w:trPr>
          <w:cnfStyle w:val="000000010000" w:firstRow="0" w:lastRow="0" w:firstColumn="0" w:lastColumn="0" w:oddVBand="0" w:evenVBand="0" w:oddHBand="0" w:evenHBand="1" w:firstRowFirstColumn="0" w:firstRowLastColumn="0" w:lastRowFirstColumn="0" w:lastRowLastColumn="0"/>
        </w:trPr>
        <w:tc>
          <w:tcPr>
            <w:tcW w:w="3928" w:type="pct"/>
            <w:hideMark/>
          </w:tcPr>
          <w:p w14:paraId="1C5AB77F"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Union for the Protection of Plant Varieties (UPOV)</w:t>
            </w:r>
          </w:p>
        </w:tc>
        <w:tc>
          <w:tcPr>
            <w:tcW w:w="1072" w:type="pct"/>
            <w:hideMark/>
          </w:tcPr>
          <w:p w14:paraId="5F3E5568" w14:textId="77777777" w:rsidR="00DE4516" w:rsidRPr="00A46ADC" w:rsidRDefault="00DE4516" w:rsidP="00DE4516">
            <w:pPr>
              <w:pStyle w:val="TableBody"/>
              <w:autoSpaceDE w:val="0"/>
              <w:autoSpaceDN w:val="0"/>
              <w:adjustRightInd w:val="0"/>
              <w:jc w:val="both"/>
              <w:rPr>
                <w:rFonts w:ascii="Times New Roman" w:hAnsi="Times New Roman"/>
                <w:szCs w:val="16"/>
              </w:rPr>
            </w:pPr>
            <w:r w:rsidRPr="00A46ADC">
              <w:t>22 September 2009</w:t>
            </w:r>
          </w:p>
        </w:tc>
      </w:tr>
      <w:tr w:rsidR="00DE4516" w:rsidRPr="00225231" w14:paraId="6871D487" w14:textId="77777777" w:rsidTr="002C718D">
        <w:tc>
          <w:tcPr>
            <w:tcW w:w="3928" w:type="pct"/>
          </w:tcPr>
          <w:p w14:paraId="672E5834" w14:textId="77777777" w:rsidR="00DE4516" w:rsidRPr="00A46ADC" w:rsidRDefault="00DE4516" w:rsidP="00DE4516">
            <w:pPr>
              <w:pStyle w:val="TableBody"/>
              <w:autoSpaceDE w:val="0"/>
              <w:autoSpaceDN w:val="0"/>
              <w:adjustRightInd w:val="0"/>
              <w:jc w:val="both"/>
              <w:rPr>
                <w:szCs w:val="16"/>
              </w:rPr>
            </w:pPr>
            <w:r w:rsidRPr="00A46ADC">
              <w:t>Amendment to the WTO Trade Related Aspects of Intellectual Property Rights (TRIPS) Agreement for Better Access to Affordable Medicines</w:t>
            </w:r>
          </w:p>
        </w:tc>
        <w:tc>
          <w:tcPr>
            <w:tcW w:w="1072" w:type="pct"/>
          </w:tcPr>
          <w:p w14:paraId="77FAB800" w14:textId="77777777" w:rsidR="00DE4516" w:rsidRPr="00A46ADC" w:rsidRDefault="00DE4516" w:rsidP="00DE4516">
            <w:pPr>
              <w:pStyle w:val="TableBody"/>
              <w:autoSpaceDE w:val="0"/>
              <w:autoSpaceDN w:val="0"/>
              <w:adjustRightInd w:val="0"/>
              <w:jc w:val="both"/>
              <w:rPr>
                <w:szCs w:val="16"/>
              </w:rPr>
            </w:pPr>
            <w:r w:rsidRPr="00A46ADC">
              <w:t>1 March 2017</w:t>
            </w:r>
          </w:p>
        </w:tc>
      </w:tr>
      <w:tr w:rsidR="00DE4516" w:rsidRPr="00225231" w14:paraId="2F1C8E9D" w14:textId="77777777" w:rsidTr="002C718D">
        <w:trPr>
          <w:cnfStyle w:val="000000010000" w:firstRow="0" w:lastRow="0" w:firstColumn="0" w:lastColumn="0" w:oddVBand="0" w:evenVBand="0" w:oddHBand="0" w:evenHBand="1" w:firstRowFirstColumn="0" w:firstRowLastColumn="0" w:lastRowFirstColumn="0" w:lastRowLastColumn="0"/>
        </w:trPr>
        <w:tc>
          <w:tcPr>
            <w:tcW w:w="3928" w:type="pct"/>
            <w:tcBorders>
              <w:bottom w:val="single" w:sz="4" w:space="0" w:color="auto"/>
            </w:tcBorders>
          </w:tcPr>
          <w:p w14:paraId="71F33B0C" w14:textId="77777777" w:rsidR="00DE4516" w:rsidRPr="00A46ADC" w:rsidRDefault="00DE4516" w:rsidP="00DE4516">
            <w:pPr>
              <w:pStyle w:val="TableBody"/>
              <w:autoSpaceDE w:val="0"/>
              <w:autoSpaceDN w:val="0"/>
              <w:adjustRightInd w:val="0"/>
              <w:jc w:val="both"/>
              <w:rPr>
                <w:szCs w:val="16"/>
              </w:rPr>
            </w:pPr>
            <w:r w:rsidRPr="00A46ADC">
              <w:t>Geneva Act of the Lisbon Agreement on Appellations of Origin and Geographical Indications</w:t>
            </w:r>
          </w:p>
        </w:tc>
        <w:tc>
          <w:tcPr>
            <w:tcW w:w="1072" w:type="pct"/>
            <w:tcBorders>
              <w:bottom w:val="single" w:sz="4" w:space="0" w:color="auto"/>
            </w:tcBorders>
          </w:tcPr>
          <w:p w14:paraId="1B2D2CCE" w14:textId="77777777" w:rsidR="00DE4516" w:rsidRPr="00A46ADC" w:rsidRDefault="00DE4516" w:rsidP="00DE4516">
            <w:pPr>
              <w:pStyle w:val="TableBody"/>
              <w:autoSpaceDE w:val="0"/>
              <w:autoSpaceDN w:val="0"/>
              <w:adjustRightInd w:val="0"/>
              <w:jc w:val="both"/>
              <w:rPr>
                <w:szCs w:val="16"/>
              </w:rPr>
            </w:pPr>
            <w:r w:rsidRPr="00A46ADC">
              <w:t>30 June 2021</w:t>
            </w:r>
          </w:p>
        </w:tc>
      </w:tr>
    </w:tbl>
    <w:p w14:paraId="5F1B013F" w14:textId="450D55D5" w:rsidR="00DE4516" w:rsidRDefault="00DE4516">
      <w:pPr>
        <w:pStyle w:val="TableSource"/>
        <w:autoSpaceDE w:val="0"/>
        <w:autoSpaceDN w:val="0"/>
        <w:adjustRightInd w:val="0"/>
        <w:rPr>
          <w:szCs w:val="24"/>
        </w:rPr>
      </w:pPr>
      <w:r>
        <w:rPr>
          <w:szCs w:val="24"/>
        </w:rPr>
        <w:t>Source:</w:t>
      </w:r>
      <w:r>
        <w:rPr>
          <w:szCs w:val="24"/>
        </w:rPr>
        <w:tab/>
        <w:t>WTO Secretariat, based on information provided by the authorities.</w:t>
      </w:r>
    </w:p>
    <w:p w14:paraId="2A0BC40D" w14:textId="77777777" w:rsidR="00DE4516" w:rsidRDefault="00DE4516">
      <w:pPr>
        <w:pStyle w:val="Heading40"/>
        <w:autoSpaceDE w:val="0"/>
        <w:autoSpaceDN w:val="0"/>
        <w:adjustRightInd w:val="0"/>
        <w:rPr>
          <w:szCs w:val="24"/>
        </w:rPr>
      </w:pPr>
      <w:r>
        <w:rPr>
          <w:szCs w:val="24"/>
        </w:rPr>
        <w:t>Patents</w:t>
      </w:r>
    </w:p>
    <w:p w14:paraId="206CEB5C" w14:textId="77777777" w:rsidR="00DE4516" w:rsidRDefault="00DE4516">
      <w:pPr>
        <w:pStyle w:val="BodyText0"/>
        <w:autoSpaceDE w:val="0"/>
        <w:autoSpaceDN w:val="0"/>
        <w:adjustRightInd w:val="0"/>
        <w:rPr>
          <w:szCs w:val="24"/>
        </w:rPr>
      </w:pPr>
      <w:r>
        <w:rPr>
          <w:szCs w:val="24"/>
        </w:rPr>
        <w:t>Under Royal Decree No. 67/2008, an invention is patentable if it is new, involves an inventive step, and is industrially applicable. Excluded from patentability are discoveries, scientific theories, mathematical methods, and pure mental activities. Patent protection on pharmaceutical products, agricultural chemicals, and other inventions is also provided under the Decree.</w:t>
      </w:r>
    </w:p>
    <w:p w14:paraId="0D8DEA96" w14:textId="77777777" w:rsidR="00DE4516" w:rsidRDefault="00DE4516">
      <w:pPr>
        <w:pStyle w:val="BodyText0"/>
        <w:autoSpaceDE w:val="0"/>
        <w:autoSpaceDN w:val="0"/>
        <w:adjustRightInd w:val="0"/>
        <w:rPr>
          <w:szCs w:val="24"/>
        </w:rPr>
      </w:pPr>
      <w:r>
        <w:rPr>
          <w:szCs w:val="24"/>
        </w:rPr>
        <w:t>Patents are valid for at least 20 years from the date of filing. If there is a delay of several years between the date of filing and the delivery of the patent, an extension can be granted.</w:t>
      </w:r>
      <w:r w:rsidRPr="00DE4516">
        <w:rPr>
          <w:rStyle w:val="FootnoteReference"/>
        </w:rPr>
        <w:footnoteReference w:id="193"/>
      </w:r>
      <w:r>
        <w:rPr>
          <w:szCs w:val="24"/>
        </w:rPr>
        <w:t xml:space="preserve"> Under GCC rules, a patent needs to be exploited on a sufficient industrial scale in a GCC member State within three years from the date of grant.</w:t>
      </w:r>
      <w:r w:rsidRPr="00DE4516">
        <w:rPr>
          <w:rStyle w:val="FootnoteReference"/>
        </w:rPr>
        <w:footnoteReference w:id="194"/>
      </w:r>
    </w:p>
    <w:p w14:paraId="186D3EE2" w14:textId="77777777" w:rsidR="00DE4516" w:rsidRDefault="00DE4516">
      <w:pPr>
        <w:pStyle w:val="BodyText0"/>
        <w:autoSpaceDE w:val="0"/>
        <w:autoSpaceDN w:val="0"/>
        <w:adjustRightInd w:val="0"/>
        <w:rPr>
          <w:szCs w:val="24"/>
        </w:rPr>
      </w:pPr>
      <w:r>
        <w:rPr>
          <w:szCs w:val="24"/>
        </w:rPr>
        <w:t xml:space="preserve">Decisions taken on patents by Oman are subject to administrative review and to right of appeal within provisions already established for the commercial courts. To settle disputes relating to </w:t>
      </w:r>
      <w:r>
        <w:rPr>
          <w:szCs w:val="24"/>
        </w:rPr>
        <w:lastRenderedPageBreak/>
        <w:t>patents, the judiciary considers the provisions of the GCC Patent Regulation, as well as Omani national regulations.</w:t>
      </w:r>
      <w:r w:rsidRPr="00DE4516">
        <w:rPr>
          <w:rStyle w:val="FootnoteReference"/>
        </w:rPr>
        <w:footnoteReference w:id="195"/>
      </w:r>
    </w:p>
    <w:p w14:paraId="32121508" w14:textId="77777777" w:rsidR="00DE4516" w:rsidRDefault="00DE4516">
      <w:pPr>
        <w:pStyle w:val="BodyText0"/>
        <w:autoSpaceDE w:val="0"/>
        <w:autoSpaceDN w:val="0"/>
        <w:adjustRightInd w:val="0"/>
        <w:rPr>
          <w:szCs w:val="24"/>
        </w:rPr>
      </w:pPr>
      <w:r>
        <w:rPr>
          <w:szCs w:val="24"/>
        </w:rPr>
        <w:t>Requests for a compulsory licence for an unworked patented invention are granted by the MOCIIP, provided the applicant proves its ability to use the invention industrially, and against fair compensation to be paid for the patent. The Government may also authorize one of its agencies, in the public interest and against payment of fair compensation, to exploit a patent without the consent of the patent owner, based on the same criteria. The compulsory licence shall always be non</w:t>
      </w:r>
      <w:r>
        <w:rPr>
          <w:szCs w:val="24"/>
        </w:rPr>
        <w:noBreakHyphen/>
        <w:t>exclusive. Such a decision may be appealed. The patent owner may only assign or transfer a patent right to a third party in conjunction with all the elements of the business.</w:t>
      </w:r>
      <w:r w:rsidRPr="00DE4516">
        <w:rPr>
          <w:rStyle w:val="FootnoteReference"/>
        </w:rPr>
        <w:footnoteReference w:id="196"/>
      </w:r>
      <w:r>
        <w:rPr>
          <w:szCs w:val="24"/>
        </w:rPr>
        <w:t xml:space="preserve"> No compulsory licences were granted during the review period.</w:t>
      </w:r>
    </w:p>
    <w:p w14:paraId="7ABD9ED5" w14:textId="77777777" w:rsidR="00DE4516" w:rsidRDefault="00DE4516">
      <w:pPr>
        <w:pStyle w:val="BodyText0"/>
        <w:autoSpaceDE w:val="0"/>
        <w:autoSpaceDN w:val="0"/>
        <w:adjustRightInd w:val="0"/>
        <w:rPr>
          <w:szCs w:val="24"/>
        </w:rPr>
      </w:pPr>
      <w:r>
        <w:rPr>
          <w:szCs w:val="24"/>
        </w:rPr>
        <w:t>Fees for filing a patent application are OMR 200 for individuals and OMR 300 for firms, but students and researchers can benefit from a 90% reduction and SMEs from a 50% reduction. The patent certificate is OMR 500 for individuals and OMR 1,000 for firms, followed by annual fees growing from OMR 100 for individuals (OMR 200 for firms) in the second year to OMR 1,000 for individuals in the 20</w:t>
      </w:r>
      <w:r>
        <w:rPr>
          <w:szCs w:val="24"/>
          <w:vertAlign w:val="superscript"/>
        </w:rPr>
        <w:t>th</w:t>
      </w:r>
      <w:r>
        <w:rPr>
          <w:szCs w:val="24"/>
        </w:rPr>
        <w:t xml:space="preserve"> year (OMR 2,000 for firms).</w:t>
      </w:r>
    </w:p>
    <w:p w14:paraId="578343CB" w14:textId="77777777" w:rsidR="00DE4516" w:rsidRDefault="00DE4516">
      <w:pPr>
        <w:pStyle w:val="BodyText0"/>
        <w:autoSpaceDE w:val="0"/>
        <w:autoSpaceDN w:val="0"/>
        <w:adjustRightInd w:val="0"/>
        <w:rPr>
          <w:szCs w:val="24"/>
        </w:rPr>
      </w:pPr>
      <w:r>
        <w:rPr>
          <w:szCs w:val="24"/>
        </w:rPr>
        <w:t xml:space="preserve">On 10 September 2014, the Oman Patent Office and its Egyptian counterpart announced that they had signed a cooperation agreement to technically examine Omani patent applications and enhance the quality of the Omani </w:t>
      </w:r>
      <w:proofErr w:type="gramStart"/>
      <w:r>
        <w:rPr>
          <w:szCs w:val="24"/>
        </w:rPr>
        <w:t>patents</w:t>
      </w:r>
      <w:proofErr w:type="gramEnd"/>
      <w:r>
        <w:rPr>
          <w:szCs w:val="24"/>
        </w:rPr>
        <w:t xml:space="preserve"> procedure.</w:t>
      </w:r>
      <w:r w:rsidRPr="00DE4516">
        <w:rPr>
          <w:rStyle w:val="FootnoteReference"/>
        </w:rPr>
        <w:footnoteReference w:id="197"/>
      </w:r>
    </w:p>
    <w:p w14:paraId="61CCAAAB" w14:textId="77777777" w:rsidR="00DE4516" w:rsidRDefault="00DE4516">
      <w:pPr>
        <w:pStyle w:val="BodyText0"/>
        <w:autoSpaceDE w:val="0"/>
        <w:autoSpaceDN w:val="0"/>
        <w:adjustRightInd w:val="0"/>
        <w:rPr>
          <w:szCs w:val="24"/>
        </w:rPr>
      </w:pPr>
      <w:r>
        <w:rPr>
          <w:szCs w:val="24"/>
        </w:rPr>
        <w:t>From 2006 to 2019, there were 182 national patent applications and 4,073 applications under the Paris Convention and the Patent Cooperation Treaty. According to the authorities, as of December 2019, 283 patents had been granted.</w:t>
      </w:r>
    </w:p>
    <w:p w14:paraId="03BC5FDB" w14:textId="77777777" w:rsidR="00DE4516" w:rsidRDefault="00DE4516">
      <w:pPr>
        <w:pStyle w:val="Heading40"/>
        <w:autoSpaceDE w:val="0"/>
        <w:autoSpaceDN w:val="0"/>
        <w:adjustRightInd w:val="0"/>
        <w:rPr>
          <w:szCs w:val="24"/>
        </w:rPr>
      </w:pPr>
      <w:r>
        <w:rPr>
          <w:szCs w:val="24"/>
        </w:rPr>
        <w:t>Copyright and related rights</w:t>
      </w:r>
    </w:p>
    <w:p w14:paraId="6CB60017" w14:textId="77777777" w:rsidR="00DE4516" w:rsidRDefault="00DE4516">
      <w:pPr>
        <w:pStyle w:val="BodyText0"/>
        <w:autoSpaceDE w:val="0"/>
        <w:autoSpaceDN w:val="0"/>
        <w:adjustRightInd w:val="0"/>
        <w:rPr>
          <w:szCs w:val="24"/>
        </w:rPr>
      </w:pPr>
      <w:r>
        <w:rPr>
          <w:szCs w:val="24"/>
          <w:highlight w:val="white"/>
        </w:rPr>
        <w:t>Under Royal Decree No. 65/2008, amended by Royal Decree No. 132/2008, the term of copyright protection is the author's lifetime plus 70 years.</w:t>
      </w:r>
      <w:r w:rsidRPr="00DE4516">
        <w:rPr>
          <w:rStyle w:val="FootnoteReference"/>
        </w:rPr>
        <w:footnoteReference w:id="198"/>
      </w:r>
      <w:r>
        <w:rPr>
          <w:szCs w:val="24"/>
        </w:rPr>
        <w:t xml:space="preserve"> The Decree covers books, articles, computer programs, and other writings; oral works, such as lectures, speeches, and sermons; dramatic works; musical works; choreographic works; </w:t>
      </w:r>
      <w:proofErr w:type="spellStart"/>
      <w:r>
        <w:rPr>
          <w:szCs w:val="24"/>
        </w:rPr>
        <w:t>audiovisual</w:t>
      </w:r>
      <w:proofErr w:type="spellEnd"/>
      <w:r>
        <w:rPr>
          <w:szCs w:val="24"/>
        </w:rPr>
        <w:t xml:space="preserve"> works; drawings, paintings, engraving, works of architecture, and ornamental works; works of applied art; illustrations, maps, plans, sketches, and three-dimensional works; folklore; and title of the work, provided it is creative and is not a common term identifying the subject of the work. The related rights covered are performers, producers of sound recordings, and broadcasting organizations.</w:t>
      </w:r>
    </w:p>
    <w:p w14:paraId="1D2E60A7" w14:textId="77777777" w:rsidR="00DE4516" w:rsidRDefault="00DE4516">
      <w:pPr>
        <w:pStyle w:val="BodyText0"/>
        <w:autoSpaceDE w:val="0"/>
        <w:autoSpaceDN w:val="0"/>
        <w:adjustRightInd w:val="0"/>
        <w:rPr>
          <w:szCs w:val="24"/>
        </w:rPr>
      </w:pPr>
      <w:r>
        <w:rPr>
          <w:szCs w:val="24"/>
          <w:highlight w:val="white"/>
        </w:rPr>
        <w:t>The Decree gives authors and their successors economic rights, such as the right to authorize or prohibit the commercial rental to the public of originals or copies of their copyright works within the limits allowed under Article 11 of the TRIPS Agreement. It also provides for moral rights, and regulates acts permitted without the authorization of the right holder, such that those acts, whenever allowed, are within the limits stipulated under the Berne Convention and the TRIPS Agreement. Moral rights include the right to claim authorship and to forbid use of their work if deemed prejudicial to their reputation.</w:t>
      </w:r>
      <w:r w:rsidRPr="00DE4516">
        <w:rPr>
          <w:rStyle w:val="FootnoteReference"/>
        </w:rPr>
        <w:footnoteReference w:id="199"/>
      </w:r>
    </w:p>
    <w:p w14:paraId="173EA888" w14:textId="77777777" w:rsidR="00DE4516" w:rsidRDefault="00DE4516">
      <w:pPr>
        <w:pStyle w:val="BodyText0"/>
        <w:autoSpaceDE w:val="0"/>
        <w:autoSpaceDN w:val="0"/>
        <w:adjustRightInd w:val="0"/>
        <w:rPr>
          <w:szCs w:val="24"/>
        </w:rPr>
      </w:pPr>
      <w:r>
        <w:rPr>
          <w:szCs w:val="24"/>
          <w:highlight w:val="white"/>
        </w:rPr>
        <w:t>Oman's law protects both copyrights of Omanis and foreigners residing in the Sultanate, including programmes belonging to broadcasting stations in the Sultanate or broadcasted from headquarters located inside the Sultanate. Provisions apply in accordance with any multilateral and bilateral international treaties and conventions to which the Sultanate is a party or may become a party later.</w:t>
      </w:r>
      <w:r w:rsidRPr="00DE4516">
        <w:rPr>
          <w:rStyle w:val="FootnoteReference"/>
        </w:rPr>
        <w:footnoteReference w:id="200"/>
      </w:r>
    </w:p>
    <w:p w14:paraId="59D43648" w14:textId="77777777" w:rsidR="00DE4516" w:rsidRDefault="00DE4516">
      <w:pPr>
        <w:pStyle w:val="BodyText0"/>
        <w:autoSpaceDE w:val="0"/>
        <w:autoSpaceDN w:val="0"/>
        <w:adjustRightInd w:val="0"/>
        <w:rPr>
          <w:szCs w:val="24"/>
        </w:rPr>
      </w:pPr>
      <w:r>
        <w:rPr>
          <w:rStyle w:val="citetbl"/>
          <w:szCs w:val="24"/>
        </w:rPr>
        <w:lastRenderedPageBreak/>
        <w:t>Table 3.11</w:t>
      </w:r>
      <w:r>
        <w:rPr>
          <w:szCs w:val="24"/>
        </w:rPr>
        <w:t> shows the evolution of copyright applications since 2016. The authorities indicate that applications now are generally submitted electronically.</w:t>
      </w:r>
    </w:p>
    <w:p w14:paraId="3D334FEF" w14:textId="77777777" w:rsidR="00DE4516" w:rsidRDefault="00DE4516">
      <w:pPr>
        <w:pStyle w:val="TableTitle"/>
        <w:autoSpaceDE w:val="0"/>
        <w:autoSpaceDN w:val="0"/>
        <w:adjustRightInd w:val="0"/>
      </w:pPr>
      <w:r>
        <w:t>Table 3.11 Copyright applications, 2016-20</w:t>
      </w:r>
    </w:p>
    <w:tbl>
      <w:tblPr>
        <w:tblStyle w:val="WTOTable1"/>
        <w:tblW w:w="5000" w:type="pct"/>
        <w:tblLook w:val="05E0" w:firstRow="1" w:lastRow="1" w:firstColumn="1" w:lastColumn="1" w:noHBand="0" w:noVBand="1"/>
      </w:tblPr>
      <w:tblGrid>
        <w:gridCol w:w="3445"/>
        <w:gridCol w:w="1115"/>
        <w:gridCol w:w="1114"/>
        <w:gridCol w:w="1114"/>
        <w:gridCol w:w="1114"/>
        <w:gridCol w:w="1114"/>
      </w:tblGrid>
      <w:tr w:rsidR="00DE4516" w:rsidRPr="007F015E" w14:paraId="7982A718" w14:textId="77777777" w:rsidTr="002C718D">
        <w:trPr>
          <w:cnfStyle w:val="100000000000" w:firstRow="1" w:lastRow="0" w:firstColumn="0" w:lastColumn="0" w:oddVBand="0" w:evenVBand="0" w:oddHBand="0" w:evenHBand="0" w:firstRowFirstColumn="0" w:firstRowLastColumn="0" w:lastRowFirstColumn="0" w:lastRowLastColumn="0"/>
          <w:cantSplit/>
        </w:trPr>
        <w:tc>
          <w:tcPr>
            <w:tcW w:w="1910" w:type="pct"/>
            <w:tcBorders>
              <w:top w:val="single" w:sz="4" w:space="0" w:color="auto"/>
            </w:tcBorders>
          </w:tcPr>
          <w:p w14:paraId="123690C1" w14:textId="77777777" w:rsidR="00DE4516" w:rsidRPr="007F015E" w:rsidRDefault="00DE4516" w:rsidP="00DE4516">
            <w:pPr>
              <w:pStyle w:val="TableHead"/>
              <w:autoSpaceDE w:val="0"/>
              <w:autoSpaceDN w:val="0"/>
              <w:adjustRightInd w:val="0"/>
              <w:rPr>
                <w:b/>
              </w:rPr>
            </w:pPr>
          </w:p>
        </w:tc>
        <w:tc>
          <w:tcPr>
            <w:tcW w:w="618" w:type="pct"/>
            <w:tcBorders>
              <w:top w:val="single" w:sz="4" w:space="0" w:color="auto"/>
            </w:tcBorders>
          </w:tcPr>
          <w:p w14:paraId="525C035F" w14:textId="77777777" w:rsidR="00DE4516" w:rsidRPr="007F015E" w:rsidRDefault="00DE4516" w:rsidP="00DE4516">
            <w:pPr>
              <w:pStyle w:val="TableHead"/>
              <w:autoSpaceDE w:val="0"/>
              <w:autoSpaceDN w:val="0"/>
              <w:adjustRightInd w:val="0"/>
              <w:jc w:val="right"/>
              <w:rPr>
                <w:b/>
                <w:szCs w:val="16"/>
              </w:rPr>
            </w:pPr>
            <w:r w:rsidRPr="007F015E">
              <w:rPr>
                <w:b/>
              </w:rPr>
              <w:t>2016</w:t>
            </w:r>
          </w:p>
        </w:tc>
        <w:tc>
          <w:tcPr>
            <w:tcW w:w="618" w:type="pct"/>
            <w:tcBorders>
              <w:top w:val="single" w:sz="4" w:space="0" w:color="auto"/>
            </w:tcBorders>
          </w:tcPr>
          <w:p w14:paraId="2EFA2363" w14:textId="77777777" w:rsidR="00DE4516" w:rsidRPr="007F015E" w:rsidRDefault="00DE4516" w:rsidP="00DE4516">
            <w:pPr>
              <w:pStyle w:val="TableHead"/>
              <w:autoSpaceDE w:val="0"/>
              <w:autoSpaceDN w:val="0"/>
              <w:adjustRightInd w:val="0"/>
              <w:jc w:val="right"/>
              <w:rPr>
                <w:b/>
                <w:szCs w:val="16"/>
              </w:rPr>
            </w:pPr>
            <w:r w:rsidRPr="007F015E">
              <w:rPr>
                <w:b/>
              </w:rPr>
              <w:t>2017</w:t>
            </w:r>
          </w:p>
        </w:tc>
        <w:tc>
          <w:tcPr>
            <w:tcW w:w="618" w:type="pct"/>
            <w:tcBorders>
              <w:top w:val="single" w:sz="4" w:space="0" w:color="auto"/>
            </w:tcBorders>
          </w:tcPr>
          <w:p w14:paraId="4D2C5891" w14:textId="77777777" w:rsidR="00DE4516" w:rsidRPr="007F015E" w:rsidRDefault="00DE4516" w:rsidP="00DE4516">
            <w:pPr>
              <w:pStyle w:val="TableHead"/>
              <w:autoSpaceDE w:val="0"/>
              <w:autoSpaceDN w:val="0"/>
              <w:adjustRightInd w:val="0"/>
              <w:jc w:val="right"/>
              <w:rPr>
                <w:b/>
                <w:szCs w:val="16"/>
              </w:rPr>
            </w:pPr>
            <w:r w:rsidRPr="007F015E">
              <w:rPr>
                <w:b/>
              </w:rPr>
              <w:t>2018</w:t>
            </w:r>
          </w:p>
        </w:tc>
        <w:tc>
          <w:tcPr>
            <w:tcW w:w="618" w:type="pct"/>
            <w:tcBorders>
              <w:top w:val="single" w:sz="4" w:space="0" w:color="auto"/>
            </w:tcBorders>
          </w:tcPr>
          <w:p w14:paraId="394E9715" w14:textId="77777777" w:rsidR="00DE4516" w:rsidRPr="007F015E" w:rsidRDefault="00DE4516" w:rsidP="00DE4516">
            <w:pPr>
              <w:pStyle w:val="TableHead"/>
              <w:autoSpaceDE w:val="0"/>
              <w:autoSpaceDN w:val="0"/>
              <w:adjustRightInd w:val="0"/>
              <w:jc w:val="right"/>
              <w:rPr>
                <w:b/>
                <w:szCs w:val="16"/>
              </w:rPr>
            </w:pPr>
            <w:r w:rsidRPr="007F015E">
              <w:rPr>
                <w:b/>
              </w:rPr>
              <w:t>2019</w:t>
            </w:r>
          </w:p>
        </w:tc>
        <w:tc>
          <w:tcPr>
            <w:tcW w:w="618" w:type="pct"/>
            <w:tcBorders>
              <w:top w:val="single" w:sz="4" w:space="0" w:color="auto"/>
            </w:tcBorders>
          </w:tcPr>
          <w:p w14:paraId="1706C365" w14:textId="77777777" w:rsidR="00DE4516" w:rsidRPr="007F015E" w:rsidRDefault="00DE4516" w:rsidP="00DE4516">
            <w:pPr>
              <w:pStyle w:val="TableHead"/>
              <w:autoSpaceDE w:val="0"/>
              <w:autoSpaceDN w:val="0"/>
              <w:adjustRightInd w:val="0"/>
              <w:jc w:val="right"/>
              <w:rPr>
                <w:b/>
                <w:szCs w:val="16"/>
              </w:rPr>
            </w:pPr>
            <w:r w:rsidRPr="007F015E">
              <w:rPr>
                <w:b/>
              </w:rPr>
              <w:t>2020</w:t>
            </w:r>
          </w:p>
        </w:tc>
      </w:tr>
      <w:tr w:rsidR="00DE4516" w:rsidRPr="00225231" w14:paraId="28311A3D" w14:textId="77777777" w:rsidTr="002C718D">
        <w:trPr>
          <w:cantSplit/>
        </w:trPr>
        <w:tc>
          <w:tcPr>
            <w:tcW w:w="1910" w:type="pct"/>
            <w:tcBorders>
              <w:bottom w:val="single" w:sz="4" w:space="0" w:color="auto"/>
            </w:tcBorders>
          </w:tcPr>
          <w:p w14:paraId="245146C5" w14:textId="77777777" w:rsidR="00DE4516" w:rsidRPr="00A46ADC" w:rsidRDefault="00DE4516" w:rsidP="00DE4516">
            <w:pPr>
              <w:pStyle w:val="TableBody"/>
              <w:autoSpaceDE w:val="0"/>
              <w:autoSpaceDN w:val="0"/>
              <w:adjustRightInd w:val="0"/>
              <w:jc w:val="both"/>
              <w:rPr>
                <w:szCs w:val="16"/>
              </w:rPr>
            </w:pPr>
            <w:r w:rsidRPr="00A46ADC">
              <w:t>Number of applications</w:t>
            </w:r>
          </w:p>
        </w:tc>
        <w:tc>
          <w:tcPr>
            <w:tcW w:w="618" w:type="pct"/>
            <w:tcBorders>
              <w:bottom w:val="single" w:sz="4" w:space="0" w:color="auto"/>
            </w:tcBorders>
          </w:tcPr>
          <w:p w14:paraId="5D14C191" w14:textId="77777777" w:rsidR="00DE4516" w:rsidRPr="00A46ADC" w:rsidRDefault="00DE4516" w:rsidP="00DE4516">
            <w:pPr>
              <w:pStyle w:val="TableBody"/>
              <w:autoSpaceDE w:val="0"/>
              <w:autoSpaceDN w:val="0"/>
              <w:adjustRightInd w:val="0"/>
              <w:jc w:val="right"/>
              <w:rPr>
                <w:szCs w:val="16"/>
              </w:rPr>
            </w:pPr>
            <w:r w:rsidRPr="00A46ADC">
              <w:t>106</w:t>
            </w:r>
          </w:p>
        </w:tc>
        <w:tc>
          <w:tcPr>
            <w:tcW w:w="618" w:type="pct"/>
            <w:tcBorders>
              <w:bottom w:val="single" w:sz="4" w:space="0" w:color="auto"/>
            </w:tcBorders>
          </w:tcPr>
          <w:p w14:paraId="0052B4E4" w14:textId="77777777" w:rsidR="00DE4516" w:rsidRPr="00A46ADC" w:rsidRDefault="00DE4516" w:rsidP="00DE4516">
            <w:pPr>
              <w:pStyle w:val="TableBody"/>
              <w:autoSpaceDE w:val="0"/>
              <w:autoSpaceDN w:val="0"/>
              <w:adjustRightInd w:val="0"/>
              <w:jc w:val="right"/>
              <w:rPr>
                <w:szCs w:val="16"/>
              </w:rPr>
            </w:pPr>
            <w:r w:rsidRPr="00A46ADC">
              <w:t>216</w:t>
            </w:r>
          </w:p>
        </w:tc>
        <w:tc>
          <w:tcPr>
            <w:tcW w:w="618" w:type="pct"/>
            <w:tcBorders>
              <w:bottom w:val="single" w:sz="4" w:space="0" w:color="auto"/>
            </w:tcBorders>
          </w:tcPr>
          <w:p w14:paraId="7FF240CD" w14:textId="77777777" w:rsidR="00DE4516" w:rsidRPr="00A46ADC" w:rsidRDefault="00DE4516" w:rsidP="00DE4516">
            <w:pPr>
              <w:pStyle w:val="TableBody"/>
              <w:autoSpaceDE w:val="0"/>
              <w:autoSpaceDN w:val="0"/>
              <w:adjustRightInd w:val="0"/>
              <w:jc w:val="right"/>
              <w:rPr>
                <w:szCs w:val="16"/>
              </w:rPr>
            </w:pPr>
            <w:r w:rsidRPr="00A46ADC">
              <w:t>186</w:t>
            </w:r>
          </w:p>
        </w:tc>
        <w:tc>
          <w:tcPr>
            <w:tcW w:w="618" w:type="pct"/>
            <w:tcBorders>
              <w:bottom w:val="single" w:sz="4" w:space="0" w:color="auto"/>
            </w:tcBorders>
          </w:tcPr>
          <w:p w14:paraId="0BACFE99" w14:textId="77777777" w:rsidR="00DE4516" w:rsidRPr="00A46ADC" w:rsidRDefault="00DE4516" w:rsidP="00DE4516">
            <w:pPr>
              <w:pStyle w:val="TableBody"/>
              <w:autoSpaceDE w:val="0"/>
              <w:autoSpaceDN w:val="0"/>
              <w:adjustRightInd w:val="0"/>
              <w:jc w:val="right"/>
              <w:rPr>
                <w:szCs w:val="16"/>
              </w:rPr>
            </w:pPr>
            <w:r w:rsidRPr="00A46ADC">
              <w:t>233</w:t>
            </w:r>
          </w:p>
        </w:tc>
        <w:tc>
          <w:tcPr>
            <w:tcW w:w="618" w:type="pct"/>
            <w:tcBorders>
              <w:bottom w:val="single" w:sz="4" w:space="0" w:color="auto"/>
            </w:tcBorders>
          </w:tcPr>
          <w:p w14:paraId="06AFFAB1" w14:textId="77777777" w:rsidR="00DE4516" w:rsidRPr="00A46ADC" w:rsidRDefault="00DE4516" w:rsidP="00DE4516">
            <w:pPr>
              <w:pStyle w:val="TableBody"/>
              <w:autoSpaceDE w:val="0"/>
              <w:autoSpaceDN w:val="0"/>
              <w:adjustRightInd w:val="0"/>
              <w:jc w:val="right"/>
              <w:rPr>
                <w:szCs w:val="16"/>
              </w:rPr>
            </w:pPr>
            <w:r w:rsidRPr="00A46ADC">
              <w:t>146</w:t>
            </w:r>
          </w:p>
        </w:tc>
      </w:tr>
    </w:tbl>
    <w:p w14:paraId="69978C04" w14:textId="3DDAF8D4" w:rsidR="00DE4516" w:rsidRDefault="00DE4516">
      <w:pPr>
        <w:pStyle w:val="TableSource"/>
        <w:autoSpaceDE w:val="0"/>
        <w:autoSpaceDN w:val="0"/>
        <w:adjustRightInd w:val="0"/>
        <w:rPr>
          <w:szCs w:val="24"/>
        </w:rPr>
      </w:pPr>
      <w:r>
        <w:rPr>
          <w:szCs w:val="24"/>
        </w:rPr>
        <w:t>Source:</w:t>
      </w:r>
      <w:r>
        <w:rPr>
          <w:szCs w:val="24"/>
        </w:rPr>
        <w:tab/>
        <w:t>Information provided by the authorities.</w:t>
      </w:r>
    </w:p>
    <w:p w14:paraId="75E365C5" w14:textId="77777777" w:rsidR="00DE4516" w:rsidRDefault="00DE4516">
      <w:pPr>
        <w:pStyle w:val="Heading40"/>
        <w:autoSpaceDE w:val="0"/>
        <w:autoSpaceDN w:val="0"/>
        <w:adjustRightInd w:val="0"/>
        <w:rPr>
          <w:szCs w:val="24"/>
        </w:rPr>
      </w:pPr>
      <w:r>
        <w:rPr>
          <w:szCs w:val="24"/>
        </w:rPr>
        <w:t>Trademarks</w:t>
      </w:r>
    </w:p>
    <w:p w14:paraId="2FC41B1F" w14:textId="77777777" w:rsidR="00DE4516" w:rsidRDefault="00DE4516">
      <w:pPr>
        <w:pStyle w:val="BodyText0"/>
        <w:autoSpaceDE w:val="0"/>
        <w:autoSpaceDN w:val="0"/>
        <w:adjustRightInd w:val="0"/>
        <w:rPr>
          <w:szCs w:val="24"/>
        </w:rPr>
      </w:pPr>
      <w:r>
        <w:rPr>
          <w:szCs w:val="24"/>
          <w:highlight w:val="white"/>
        </w:rPr>
        <w:t>In 2017, Oman ratified the GCC Trademark Law</w:t>
      </w:r>
      <w:r w:rsidRPr="00DE4516">
        <w:rPr>
          <w:rStyle w:val="FootnoteReference"/>
        </w:rPr>
        <w:footnoteReference w:id="201"/>
      </w:r>
      <w:r>
        <w:rPr>
          <w:szCs w:val="24"/>
          <w:highlight w:val="white"/>
        </w:rPr>
        <w:t>, thus marking its commitment to a regional harmonization of IP legislation. However, as of 2020, Oman has yet to publish the executive regulations putting this law into practice. Therefore, previous Omani legislation on trademarks continues to apply, although in case of conflict GCC law prevails.</w:t>
      </w:r>
      <w:r w:rsidRPr="00DE4516">
        <w:rPr>
          <w:rStyle w:val="FootnoteReference"/>
        </w:rPr>
        <w:footnoteReference w:id="202"/>
      </w:r>
    </w:p>
    <w:p w14:paraId="1151451D" w14:textId="77777777" w:rsidR="00DE4516" w:rsidRDefault="00DE4516">
      <w:pPr>
        <w:pStyle w:val="BodyText0"/>
        <w:autoSpaceDE w:val="0"/>
        <w:autoSpaceDN w:val="0"/>
        <w:adjustRightInd w:val="0"/>
        <w:rPr>
          <w:szCs w:val="24"/>
        </w:rPr>
      </w:pPr>
      <w:r>
        <w:rPr>
          <w:szCs w:val="24"/>
        </w:rPr>
        <w:t>Currently, Royal Decree No. 67/2008 regulates the procedures for application, publication, registration, and protection of trademarks. Registration is sufficient to notify potential infringers of the owner's exclusive right; it is also required for the protection of well-known marks in Oman. Registration may be cancelled for trademarks not used for five consecutive years, unless the trademark owner submits a justification, such as reasons beyond their control, for non</w:t>
      </w:r>
      <w:r>
        <w:rPr>
          <w:szCs w:val="24"/>
        </w:rPr>
        <w:noBreakHyphen/>
        <w:t>use. The owner of a registered trademark has the sole right to produce, import, or distribute the trademarked goods and the right to prevent any other person from using the trademark without permission. The holder has the right to assign or license a trademark; assignment must be recorded. According to the authorities, since July 2020, the application fee for trademarks has been OMR 220 and can be done through the Invest Easy portal.</w:t>
      </w:r>
    </w:p>
    <w:p w14:paraId="75D51CA2" w14:textId="77777777" w:rsidR="00DE4516" w:rsidRDefault="00DE4516">
      <w:pPr>
        <w:pStyle w:val="BodyText0"/>
        <w:autoSpaceDE w:val="0"/>
        <w:autoSpaceDN w:val="0"/>
        <w:adjustRightInd w:val="0"/>
        <w:rPr>
          <w:szCs w:val="24"/>
        </w:rPr>
      </w:pPr>
      <w:r>
        <w:rPr>
          <w:szCs w:val="24"/>
        </w:rPr>
        <w:t>Under the GCC Trademarks Law, the processing period for trademark applications is 90 days from the date of filing. The opposition period against published trademarks applications will be reduced from Oman's current 90 days to 60. Trademarks fees will still be set at the discretion of individual GCC countries.</w:t>
      </w:r>
    </w:p>
    <w:p w14:paraId="0BB86E69" w14:textId="77777777" w:rsidR="00DE4516" w:rsidRDefault="00DE4516">
      <w:pPr>
        <w:pStyle w:val="BodyText0"/>
        <w:autoSpaceDE w:val="0"/>
        <w:autoSpaceDN w:val="0"/>
        <w:adjustRightInd w:val="0"/>
        <w:rPr>
          <w:szCs w:val="24"/>
        </w:rPr>
      </w:pPr>
      <w:r>
        <w:rPr>
          <w:szCs w:val="24"/>
          <w:highlight w:val="white"/>
        </w:rPr>
        <w:t xml:space="preserve">In July 2020, the National Office of Intellectual Property announced that a new electronic procedure for trademark application will be implemented </w:t>
      </w:r>
      <w:proofErr w:type="gramStart"/>
      <w:r>
        <w:rPr>
          <w:szCs w:val="24"/>
          <w:highlight w:val="white"/>
        </w:rPr>
        <w:t>in order to</w:t>
      </w:r>
      <w:proofErr w:type="gramEnd"/>
      <w:r>
        <w:rPr>
          <w:szCs w:val="24"/>
          <w:highlight w:val="white"/>
        </w:rPr>
        <w:t xml:space="preserve"> improve and facilitate the process.</w:t>
      </w:r>
      <w:r w:rsidRPr="00DE4516">
        <w:rPr>
          <w:rStyle w:val="FootnoteReference"/>
        </w:rPr>
        <w:footnoteReference w:id="203"/>
      </w:r>
    </w:p>
    <w:p w14:paraId="3D7079DA" w14:textId="77777777" w:rsidR="00DE4516" w:rsidRDefault="00DE4516">
      <w:pPr>
        <w:pStyle w:val="BodyText0"/>
        <w:autoSpaceDE w:val="0"/>
        <w:autoSpaceDN w:val="0"/>
        <w:adjustRightInd w:val="0"/>
        <w:rPr>
          <w:szCs w:val="24"/>
        </w:rPr>
      </w:pPr>
      <w:r>
        <w:rPr>
          <w:rStyle w:val="citetbl"/>
          <w:szCs w:val="24"/>
        </w:rPr>
        <w:t>Table 3.12</w:t>
      </w:r>
      <w:r>
        <w:rPr>
          <w:szCs w:val="24"/>
        </w:rPr>
        <w:t> shows the evolution of trademark applications from 2017 to 2020.</w:t>
      </w:r>
    </w:p>
    <w:p w14:paraId="1EFF7385" w14:textId="77777777" w:rsidR="00DE4516" w:rsidRDefault="00DE4516">
      <w:pPr>
        <w:pStyle w:val="TableTitle"/>
        <w:autoSpaceDE w:val="0"/>
        <w:autoSpaceDN w:val="0"/>
        <w:adjustRightInd w:val="0"/>
      </w:pPr>
      <w:r>
        <w:t>Table 3.12 Trademark applications, 2017-20</w:t>
      </w:r>
    </w:p>
    <w:tbl>
      <w:tblPr>
        <w:tblStyle w:val="WTOTable1"/>
        <w:tblW w:w="5000" w:type="pct"/>
        <w:tblLook w:val="05E0" w:firstRow="1" w:lastRow="1" w:firstColumn="1" w:lastColumn="1" w:noHBand="0" w:noVBand="1"/>
      </w:tblPr>
      <w:tblGrid>
        <w:gridCol w:w="4707"/>
        <w:gridCol w:w="1114"/>
        <w:gridCol w:w="1114"/>
        <w:gridCol w:w="1114"/>
        <w:gridCol w:w="967"/>
      </w:tblGrid>
      <w:tr w:rsidR="00DE4516" w:rsidRPr="007F015E" w14:paraId="2EBA32D6" w14:textId="77777777" w:rsidTr="002C718D">
        <w:trPr>
          <w:cnfStyle w:val="100000000000" w:firstRow="1" w:lastRow="0" w:firstColumn="0" w:lastColumn="0" w:oddVBand="0" w:evenVBand="0" w:oddHBand="0" w:evenHBand="0" w:firstRowFirstColumn="0" w:firstRowLastColumn="0" w:lastRowFirstColumn="0" w:lastRowLastColumn="0"/>
          <w:cantSplit/>
        </w:trPr>
        <w:tc>
          <w:tcPr>
            <w:tcW w:w="2610" w:type="pct"/>
            <w:tcBorders>
              <w:top w:val="single" w:sz="4" w:space="0" w:color="auto"/>
            </w:tcBorders>
            <w:vAlign w:val="center"/>
          </w:tcPr>
          <w:p w14:paraId="094D0675" w14:textId="77777777" w:rsidR="00DE4516" w:rsidRPr="007F015E" w:rsidRDefault="00DE4516" w:rsidP="00DE4516">
            <w:pPr>
              <w:pStyle w:val="TableHead"/>
              <w:autoSpaceDE w:val="0"/>
              <w:autoSpaceDN w:val="0"/>
              <w:adjustRightInd w:val="0"/>
              <w:rPr>
                <w:b/>
              </w:rPr>
            </w:pPr>
          </w:p>
        </w:tc>
        <w:tc>
          <w:tcPr>
            <w:tcW w:w="618" w:type="pct"/>
            <w:tcBorders>
              <w:top w:val="single" w:sz="4" w:space="0" w:color="auto"/>
            </w:tcBorders>
            <w:vAlign w:val="center"/>
          </w:tcPr>
          <w:p w14:paraId="6AFD6422" w14:textId="77777777" w:rsidR="00DE4516" w:rsidRPr="007F015E" w:rsidRDefault="00DE4516" w:rsidP="00DE4516">
            <w:pPr>
              <w:pStyle w:val="TableHead"/>
              <w:autoSpaceDE w:val="0"/>
              <w:autoSpaceDN w:val="0"/>
              <w:adjustRightInd w:val="0"/>
              <w:jc w:val="right"/>
              <w:rPr>
                <w:b/>
                <w:szCs w:val="16"/>
              </w:rPr>
            </w:pPr>
            <w:r w:rsidRPr="007F015E">
              <w:rPr>
                <w:b/>
              </w:rPr>
              <w:t>2017</w:t>
            </w:r>
          </w:p>
        </w:tc>
        <w:tc>
          <w:tcPr>
            <w:tcW w:w="618" w:type="pct"/>
            <w:tcBorders>
              <w:top w:val="single" w:sz="4" w:space="0" w:color="auto"/>
            </w:tcBorders>
            <w:vAlign w:val="center"/>
          </w:tcPr>
          <w:p w14:paraId="15F75DF2" w14:textId="77777777" w:rsidR="00DE4516" w:rsidRPr="007F015E" w:rsidRDefault="00DE4516" w:rsidP="00DE4516">
            <w:pPr>
              <w:pStyle w:val="TableHead"/>
              <w:autoSpaceDE w:val="0"/>
              <w:autoSpaceDN w:val="0"/>
              <w:adjustRightInd w:val="0"/>
              <w:jc w:val="right"/>
              <w:rPr>
                <w:b/>
                <w:szCs w:val="16"/>
              </w:rPr>
            </w:pPr>
            <w:r w:rsidRPr="007F015E">
              <w:rPr>
                <w:b/>
              </w:rPr>
              <w:t>2018</w:t>
            </w:r>
          </w:p>
        </w:tc>
        <w:tc>
          <w:tcPr>
            <w:tcW w:w="618" w:type="pct"/>
            <w:tcBorders>
              <w:top w:val="single" w:sz="4" w:space="0" w:color="auto"/>
            </w:tcBorders>
            <w:vAlign w:val="center"/>
          </w:tcPr>
          <w:p w14:paraId="4DDBCE7A" w14:textId="77777777" w:rsidR="00DE4516" w:rsidRPr="007F015E" w:rsidRDefault="00DE4516" w:rsidP="00DE4516">
            <w:pPr>
              <w:pStyle w:val="TableHead"/>
              <w:autoSpaceDE w:val="0"/>
              <w:autoSpaceDN w:val="0"/>
              <w:adjustRightInd w:val="0"/>
              <w:jc w:val="right"/>
              <w:rPr>
                <w:b/>
                <w:szCs w:val="16"/>
              </w:rPr>
            </w:pPr>
            <w:r w:rsidRPr="007F015E">
              <w:rPr>
                <w:b/>
              </w:rPr>
              <w:t>2019</w:t>
            </w:r>
          </w:p>
        </w:tc>
        <w:tc>
          <w:tcPr>
            <w:tcW w:w="538" w:type="pct"/>
            <w:tcBorders>
              <w:top w:val="single" w:sz="4" w:space="0" w:color="auto"/>
            </w:tcBorders>
            <w:vAlign w:val="center"/>
          </w:tcPr>
          <w:p w14:paraId="048CF5B1" w14:textId="77777777" w:rsidR="00DE4516" w:rsidRPr="007F015E" w:rsidRDefault="00DE4516" w:rsidP="00DE4516">
            <w:pPr>
              <w:pStyle w:val="TableHead"/>
              <w:autoSpaceDE w:val="0"/>
              <w:autoSpaceDN w:val="0"/>
              <w:adjustRightInd w:val="0"/>
              <w:jc w:val="right"/>
              <w:rPr>
                <w:b/>
                <w:szCs w:val="16"/>
              </w:rPr>
            </w:pPr>
            <w:r w:rsidRPr="007F015E">
              <w:rPr>
                <w:b/>
              </w:rPr>
              <w:t>2020</w:t>
            </w:r>
          </w:p>
        </w:tc>
      </w:tr>
      <w:tr w:rsidR="00DE4516" w:rsidRPr="00225231" w14:paraId="328FE54F" w14:textId="77777777" w:rsidTr="002C718D">
        <w:trPr>
          <w:cantSplit/>
        </w:trPr>
        <w:tc>
          <w:tcPr>
            <w:tcW w:w="2610" w:type="pct"/>
            <w:tcBorders>
              <w:bottom w:val="single" w:sz="4" w:space="0" w:color="auto"/>
            </w:tcBorders>
          </w:tcPr>
          <w:p w14:paraId="383D03AD" w14:textId="77777777" w:rsidR="00DE4516" w:rsidRPr="00A46ADC" w:rsidRDefault="00DE4516" w:rsidP="00DE4516">
            <w:pPr>
              <w:pStyle w:val="TableBody"/>
              <w:autoSpaceDE w:val="0"/>
              <w:autoSpaceDN w:val="0"/>
              <w:adjustRightInd w:val="0"/>
              <w:jc w:val="both"/>
              <w:rPr>
                <w:szCs w:val="16"/>
                <w:highlight w:val="yellow"/>
              </w:rPr>
            </w:pPr>
            <w:r w:rsidRPr="00A46ADC">
              <w:t>National and international applications</w:t>
            </w:r>
          </w:p>
        </w:tc>
        <w:tc>
          <w:tcPr>
            <w:tcW w:w="618" w:type="pct"/>
            <w:tcBorders>
              <w:bottom w:val="single" w:sz="4" w:space="0" w:color="auto"/>
            </w:tcBorders>
          </w:tcPr>
          <w:p w14:paraId="17C2C5B6" w14:textId="77777777" w:rsidR="00DE4516" w:rsidRPr="00A46ADC" w:rsidRDefault="00DE4516" w:rsidP="00DE4516">
            <w:pPr>
              <w:pStyle w:val="TableBody"/>
              <w:autoSpaceDE w:val="0"/>
              <w:autoSpaceDN w:val="0"/>
              <w:adjustRightInd w:val="0"/>
              <w:jc w:val="right"/>
              <w:rPr>
                <w:szCs w:val="16"/>
              </w:rPr>
            </w:pPr>
            <w:r w:rsidRPr="00A46ADC">
              <w:t>13,296</w:t>
            </w:r>
          </w:p>
        </w:tc>
        <w:tc>
          <w:tcPr>
            <w:tcW w:w="618" w:type="pct"/>
            <w:tcBorders>
              <w:bottom w:val="single" w:sz="4" w:space="0" w:color="auto"/>
            </w:tcBorders>
          </w:tcPr>
          <w:p w14:paraId="2627A3FF" w14:textId="77777777" w:rsidR="00DE4516" w:rsidRPr="00A46ADC" w:rsidRDefault="00DE4516" w:rsidP="00DE4516">
            <w:pPr>
              <w:pStyle w:val="TableBody"/>
              <w:autoSpaceDE w:val="0"/>
              <w:autoSpaceDN w:val="0"/>
              <w:adjustRightInd w:val="0"/>
              <w:jc w:val="right"/>
              <w:rPr>
                <w:szCs w:val="16"/>
              </w:rPr>
            </w:pPr>
            <w:r w:rsidRPr="00A46ADC">
              <w:t>11,134</w:t>
            </w:r>
          </w:p>
        </w:tc>
        <w:tc>
          <w:tcPr>
            <w:tcW w:w="618" w:type="pct"/>
            <w:tcBorders>
              <w:bottom w:val="single" w:sz="4" w:space="0" w:color="auto"/>
            </w:tcBorders>
          </w:tcPr>
          <w:p w14:paraId="59CB2F0C" w14:textId="77777777" w:rsidR="00DE4516" w:rsidRPr="00A46ADC" w:rsidRDefault="00DE4516" w:rsidP="00DE4516">
            <w:pPr>
              <w:pStyle w:val="TableBody"/>
              <w:autoSpaceDE w:val="0"/>
              <w:autoSpaceDN w:val="0"/>
              <w:adjustRightInd w:val="0"/>
              <w:jc w:val="right"/>
              <w:rPr>
                <w:szCs w:val="16"/>
              </w:rPr>
            </w:pPr>
            <w:r w:rsidRPr="00A46ADC">
              <w:t>14,391</w:t>
            </w:r>
          </w:p>
        </w:tc>
        <w:tc>
          <w:tcPr>
            <w:tcW w:w="538" w:type="pct"/>
            <w:tcBorders>
              <w:bottom w:val="single" w:sz="4" w:space="0" w:color="auto"/>
            </w:tcBorders>
          </w:tcPr>
          <w:p w14:paraId="62D8CF27" w14:textId="77777777" w:rsidR="00DE4516" w:rsidRPr="00A46ADC" w:rsidRDefault="00DE4516" w:rsidP="00DE4516">
            <w:pPr>
              <w:pStyle w:val="TableBody"/>
              <w:autoSpaceDE w:val="0"/>
              <w:autoSpaceDN w:val="0"/>
              <w:adjustRightInd w:val="0"/>
              <w:jc w:val="right"/>
              <w:rPr>
                <w:szCs w:val="16"/>
              </w:rPr>
            </w:pPr>
            <w:r w:rsidRPr="00A46ADC">
              <w:t>9,951</w:t>
            </w:r>
          </w:p>
        </w:tc>
      </w:tr>
    </w:tbl>
    <w:p w14:paraId="64797D01" w14:textId="24E3F79F" w:rsidR="00DE4516" w:rsidRDefault="00DE4516">
      <w:pPr>
        <w:pStyle w:val="TableSource"/>
        <w:autoSpaceDE w:val="0"/>
        <w:autoSpaceDN w:val="0"/>
        <w:adjustRightInd w:val="0"/>
        <w:rPr>
          <w:szCs w:val="24"/>
        </w:rPr>
      </w:pPr>
      <w:r>
        <w:rPr>
          <w:szCs w:val="24"/>
        </w:rPr>
        <w:t>Source:</w:t>
      </w:r>
      <w:r>
        <w:rPr>
          <w:szCs w:val="24"/>
        </w:rPr>
        <w:tab/>
        <w:t>Information provided by the authorities.</w:t>
      </w:r>
    </w:p>
    <w:p w14:paraId="23BD8574" w14:textId="77777777" w:rsidR="00DE4516" w:rsidRDefault="00DE4516">
      <w:pPr>
        <w:pStyle w:val="Heading40"/>
        <w:autoSpaceDE w:val="0"/>
        <w:autoSpaceDN w:val="0"/>
        <w:adjustRightInd w:val="0"/>
        <w:rPr>
          <w:szCs w:val="24"/>
        </w:rPr>
      </w:pPr>
      <w:r>
        <w:rPr>
          <w:szCs w:val="24"/>
        </w:rPr>
        <w:t>Industrial design and layout-designs of integrated circuits</w:t>
      </w:r>
    </w:p>
    <w:p w14:paraId="38B570CF" w14:textId="77777777" w:rsidR="00DE4516" w:rsidRDefault="00DE4516">
      <w:pPr>
        <w:pStyle w:val="BodyText0"/>
        <w:autoSpaceDE w:val="0"/>
        <w:autoSpaceDN w:val="0"/>
        <w:adjustRightInd w:val="0"/>
        <w:rPr>
          <w:szCs w:val="24"/>
        </w:rPr>
      </w:pPr>
      <w:r>
        <w:rPr>
          <w:szCs w:val="24"/>
        </w:rPr>
        <w:t xml:space="preserve">Article 1 of Royal Decree No. 67/2008 defines industrial designs as "any composition of lines or </w:t>
      </w:r>
      <w:proofErr w:type="spellStart"/>
      <w:r>
        <w:rPr>
          <w:szCs w:val="24"/>
        </w:rPr>
        <w:t>colors</w:t>
      </w:r>
      <w:proofErr w:type="spellEnd"/>
      <w:r>
        <w:rPr>
          <w:szCs w:val="24"/>
        </w:rPr>
        <w:t xml:space="preserve"> or any three-dimensional form, whether or not associated with lines or </w:t>
      </w:r>
      <w:proofErr w:type="spellStart"/>
      <w:r>
        <w:rPr>
          <w:szCs w:val="24"/>
        </w:rPr>
        <w:t>colors</w:t>
      </w:r>
      <w:proofErr w:type="spellEnd"/>
      <w:r>
        <w:rPr>
          <w:szCs w:val="24"/>
        </w:rPr>
        <w:t xml:space="preserve">, provided that such composition or form gives a special appearance to a product of industry or handicraft and can serve as a pattern for a product of industry or </w:t>
      </w:r>
      <w:proofErr w:type="gramStart"/>
      <w:r>
        <w:rPr>
          <w:szCs w:val="24"/>
        </w:rPr>
        <w:t>handicraft, and</w:t>
      </w:r>
      <w:proofErr w:type="gramEnd"/>
      <w:r>
        <w:rPr>
          <w:szCs w:val="24"/>
        </w:rPr>
        <w:t xml:space="preserve"> appeals to and is judged by the eye". Under Article 20, registration of industrial designs contrary to public morals or order is not permitted.</w:t>
      </w:r>
    </w:p>
    <w:p w14:paraId="23B57B7C" w14:textId="77777777" w:rsidR="00DE4516" w:rsidRDefault="00DE4516">
      <w:pPr>
        <w:pStyle w:val="BodyText0"/>
        <w:autoSpaceDE w:val="0"/>
        <w:autoSpaceDN w:val="0"/>
        <w:adjustRightInd w:val="0"/>
        <w:rPr>
          <w:szCs w:val="24"/>
        </w:rPr>
      </w:pPr>
      <w:r>
        <w:rPr>
          <w:szCs w:val="24"/>
          <w:highlight w:val="white"/>
        </w:rPr>
        <w:lastRenderedPageBreak/>
        <w:t>Protection of industrial designs is for five years, renewable for two consecutive five-year periods; layout-designs of integrated circuits are protected for 10 years.</w:t>
      </w:r>
      <w:r w:rsidRPr="00DE4516">
        <w:rPr>
          <w:rStyle w:val="FootnoteReference"/>
        </w:rPr>
        <w:footnoteReference w:id="204"/>
      </w:r>
      <w:r>
        <w:rPr>
          <w:szCs w:val="24"/>
        </w:rPr>
        <w:t xml:space="preserve"> The application fee for industrial designs and layout-designs of integrated circuits is OMR 1,000; the registration certificate is OMR 500, and publication is an additional OMR 100. Students and researchers can benefit from a 90% reduction, and SMEs from a 50% reduction.</w:t>
      </w:r>
    </w:p>
    <w:p w14:paraId="044F0610" w14:textId="77777777" w:rsidR="00DE4516" w:rsidRDefault="00DE4516">
      <w:pPr>
        <w:pStyle w:val="BodyText0"/>
        <w:autoSpaceDE w:val="0"/>
        <w:autoSpaceDN w:val="0"/>
        <w:adjustRightInd w:val="0"/>
        <w:rPr>
          <w:szCs w:val="24"/>
        </w:rPr>
      </w:pPr>
      <w:r>
        <w:rPr>
          <w:szCs w:val="24"/>
          <w:highlight w:val="white"/>
        </w:rPr>
        <w:t>Protection of layout-designs of integrated circuits is for 10 years. Registration applies if they are original and have not yet been commercially exploited for a period exceeding two years in any part of the world.</w:t>
      </w:r>
      <w:r w:rsidRPr="00DE4516">
        <w:rPr>
          <w:rStyle w:val="FootnoteReference"/>
        </w:rPr>
        <w:footnoteReference w:id="205"/>
      </w:r>
    </w:p>
    <w:p w14:paraId="66A84843" w14:textId="77777777" w:rsidR="00DE4516" w:rsidRDefault="00DE4516">
      <w:pPr>
        <w:pStyle w:val="BodyText0"/>
        <w:autoSpaceDE w:val="0"/>
        <w:autoSpaceDN w:val="0"/>
        <w:adjustRightInd w:val="0"/>
        <w:rPr>
          <w:szCs w:val="24"/>
        </w:rPr>
      </w:pPr>
      <w:r>
        <w:rPr>
          <w:szCs w:val="24"/>
        </w:rPr>
        <w:t>From 2016 to 2020, there were 95 national industrial design applications, all of which were granted. In 2019, 22 applications were filed for industrial designs and models, compared to 16 in 2018.</w:t>
      </w:r>
    </w:p>
    <w:p w14:paraId="60E911DF" w14:textId="77777777" w:rsidR="00DE4516" w:rsidRDefault="00DE4516">
      <w:pPr>
        <w:pStyle w:val="Heading40"/>
        <w:autoSpaceDE w:val="0"/>
        <w:autoSpaceDN w:val="0"/>
        <w:adjustRightInd w:val="0"/>
        <w:rPr>
          <w:szCs w:val="24"/>
        </w:rPr>
      </w:pPr>
      <w:r>
        <w:rPr>
          <w:szCs w:val="24"/>
        </w:rPr>
        <w:t>Geographical indications</w:t>
      </w:r>
    </w:p>
    <w:p w14:paraId="685F888D" w14:textId="77777777" w:rsidR="00DE4516" w:rsidRDefault="00DE4516">
      <w:pPr>
        <w:pStyle w:val="BodyText0"/>
        <w:autoSpaceDE w:val="0"/>
        <w:autoSpaceDN w:val="0"/>
        <w:adjustRightInd w:val="0"/>
        <w:rPr>
          <w:szCs w:val="24"/>
        </w:rPr>
      </w:pPr>
      <w:r>
        <w:rPr>
          <w:szCs w:val="24"/>
          <w:highlight w:val="white"/>
        </w:rPr>
        <w:t>Under Royal Decree No. 67/2008, a geographical indication identifies a good as to its origin and geographical environment in any country where a given quality, reputation, or other characteristic of the good is essentially attributable to its geographical origin. Protection is not available for geographical indications that are contrary to public order or morality, that are not or cease to be protected in their country of origin, or that have fallen into disuse in that country. The time</w:t>
      </w:r>
      <w:r>
        <w:rPr>
          <w:szCs w:val="24"/>
          <w:highlight w:val="white"/>
        </w:rPr>
        <w:noBreakHyphen/>
        <w:t>frame for protection is unlimited. Applications should be filed only by legal experts or competent authorities engaged as producers in the specified geographical area.</w:t>
      </w:r>
      <w:r w:rsidRPr="00DE4516">
        <w:rPr>
          <w:rStyle w:val="FootnoteReference"/>
        </w:rPr>
        <w:footnoteReference w:id="206"/>
      </w:r>
      <w:r>
        <w:rPr>
          <w:szCs w:val="24"/>
        </w:rPr>
        <w:t xml:space="preserve"> The application fee for geographical indications is OMR 200; the registration certificate is OMR 200, and publication is OMR 100. Between 2014 and 2020, nine national applications were registered.</w:t>
      </w:r>
    </w:p>
    <w:p w14:paraId="340682AF" w14:textId="77777777" w:rsidR="00DE4516" w:rsidRDefault="00DE4516">
      <w:pPr>
        <w:pStyle w:val="Heading40"/>
        <w:autoSpaceDE w:val="0"/>
        <w:autoSpaceDN w:val="0"/>
        <w:adjustRightInd w:val="0"/>
        <w:rPr>
          <w:szCs w:val="24"/>
        </w:rPr>
      </w:pPr>
      <w:r>
        <w:rPr>
          <w:szCs w:val="24"/>
        </w:rPr>
        <w:t>Plant breeders' rights</w:t>
      </w:r>
    </w:p>
    <w:p w14:paraId="78D037E8" w14:textId="77777777" w:rsidR="00DE4516" w:rsidRDefault="00DE4516">
      <w:pPr>
        <w:pStyle w:val="BodyText0"/>
        <w:autoSpaceDE w:val="0"/>
        <w:autoSpaceDN w:val="0"/>
        <w:adjustRightInd w:val="0"/>
        <w:rPr>
          <w:szCs w:val="24"/>
        </w:rPr>
      </w:pPr>
      <w:r>
        <w:rPr>
          <w:szCs w:val="24"/>
        </w:rPr>
        <w:t>Royal Decree No. 49/2009 and Ministerial Decision No. 103/2015 on the Executive Regulations of the Law for Protecting the Right of the New Plant Varieties lay out the conditions for the protection of plant breeders' rights. The Directorate General of Agriculture and Livestock Research in the Ministry of Agriculture, Fisheries and Water Resources is the relevant authority. A breeder's right shall be granted where a plant variety is new, distinct, uniform, and stable.</w:t>
      </w:r>
    </w:p>
    <w:p w14:paraId="66FDB24B" w14:textId="77777777" w:rsidR="00DE4516" w:rsidRDefault="00DE4516">
      <w:pPr>
        <w:pStyle w:val="Heading40"/>
        <w:autoSpaceDE w:val="0"/>
        <w:autoSpaceDN w:val="0"/>
        <w:adjustRightInd w:val="0"/>
        <w:rPr>
          <w:szCs w:val="24"/>
        </w:rPr>
      </w:pPr>
      <w:r>
        <w:rPr>
          <w:szCs w:val="24"/>
        </w:rPr>
        <w:t>Enforcement</w:t>
      </w:r>
    </w:p>
    <w:p w14:paraId="2DADE08E" w14:textId="77777777" w:rsidR="00DE4516" w:rsidRDefault="00DE4516">
      <w:pPr>
        <w:pStyle w:val="BodyText0"/>
        <w:autoSpaceDE w:val="0"/>
        <w:autoSpaceDN w:val="0"/>
        <w:adjustRightInd w:val="0"/>
        <w:rPr>
          <w:szCs w:val="24"/>
        </w:rPr>
      </w:pPr>
      <w:r>
        <w:rPr>
          <w:szCs w:val="24"/>
        </w:rPr>
        <w:t>Intellectual property right (IPR) infringements and violations can be subject to fines and imprisonment. Anyone who intentionally infringes, on a commercial scale, one of the industrial property rights can be sentenced to imprisonment from a minimum of three months up to a maximum of three years or to monetary fines from a minimum of OMR 2,000 up to a maximum of OMR 10,000.</w:t>
      </w:r>
      <w:r w:rsidRPr="00DE4516">
        <w:rPr>
          <w:rStyle w:val="FootnoteReference"/>
        </w:rPr>
        <w:footnoteReference w:id="207"/>
      </w:r>
      <w:r>
        <w:rPr>
          <w:szCs w:val="24"/>
        </w:rPr>
        <w:t xml:space="preserve"> Penalties of up to OMR 10,000, as well as imprisonment from one month to three years, are presented in the GCC Trademark Law. Civil remedies are available in all cases of infringement. The Public Prosecution Office may initiate legal action </w:t>
      </w:r>
      <w:r>
        <w:rPr>
          <w:i/>
          <w:szCs w:val="24"/>
        </w:rPr>
        <w:t>ex officio</w:t>
      </w:r>
      <w:r>
        <w:rPr>
          <w:szCs w:val="24"/>
        </w:rPr>
        <w:t xml:space="preserve"> with respect to IPR-related offences, without the need for a formal complaint by a private party or right holder.</w:t>
      </w:r>
      <w:r w:rsidRPr="00DE4516">
        <w:rPr>
          <w:rStyle w:val="FootnoteReference"/>
        </w:rPr>
        <w:footnoteReference w:id="208"/>
      </w:r>
    </w:p>
    <w:p w14:paraId="028C845A" w14:textId="77777777" w:rsidR="00DE4516" w:rsidRDefault="00DE4516">
      <w:pPr>
        <w:pStyle w:val="BodyText0"/>
        <w:autoSpaceDE w:val="0"/>
        <w:autoSpaceDN w:val="0"/>
        <w:adjustRightInd w:val="0"/>
        <w:rPr>
          <w:szCs w:val="24"/>
        </w:rPr>
      </w:pPr>
      <w:r>
        <w:rPr>
          <w:szCs w:val="24"/>
        </w:rPr>
        <w:t>Articles 66 to 100 of Royal Decree No. 67/2008 detail the enforcement measures that can be initiated for the protection of patents, trademarks, industrial designs, geographical indications, and layout-designs. Proceedings must be initiated within five years from the date of discovery of the infringement. No time</w:t>
      </w:r>
      <w:r>
        <w:rPr>
          <w:szCs w:val="24"/>
        </w:rPr>
        <w:noBreakHyphen/>
        <w:t>limit applies in cases of unfair competition. For the protection of breeders' rights, the relevant law also refers to Royal Decree No. 67/2008. The Copyright Law defines its own measures and remedies.</w:t>
      </w:r>
      <w:r w:rsidRPr="00DE4516">
        <w:rPr>
          <w:rStyle w:val="FootnoteReference"/>
        </w:rPr>
        <w:footnoteReference w:id="209"/>
      </w:r>
      <w:r>
        <w:rPr>
          <w:szCs w:val="24"/>
        </w:rPr>
        <w:t xml:space="preserve"> The Law on Patents stipulates that it is the responsibility of each GCC member State to settle patent disputes (Article 26).</w:t>
      </w:r>
    </w:p>
    <w:p w14:paraId="63BE1F39" w14:textId="77777777" w:rsidR="00DE4516" w:rsidRDefault="00DE4516">
      <w:pPr>
        <w:autoSpaceDE w:val="0"/>
        <w:autoSpaceDN w:val="0"/>
        <w:adjustRightInd w:val="0"/>
        <w:rPr>
          <w:rFonts w:ascii="Times New Roman" w:hAnsi="Times New Roman"/>
          <w:sz w:val="24"/>
          <w:szCs w:val="24"/>
        </w:rPr>
        <w:sectPr w:rsidR="00DE4516">
          <w:footnotePr>
            <w:numRestart w:val="eachSect"/>
          </w:footnotePr>
          <w:pgSz w:w="11906" w:h="16838" w:code="9"/>
          <w:pgMar w:top="1701" w:right="1440" w:bottom="1440" w:left="1440" w:header="720" w:footer="720" w:gutter="0"/>
          <w:cols w:space="720"/>
          <w:docGrid w:linePitch="360"/>
        </w:sectPr>
      </w:pPr>
    </w:p>
    <w:p w14:paraId="0FC0C633" w14:textId="77777777" w:rsidR="00DE4516" w:rsidRDefault="00DE4516">
      <w:pPr>
        <w:pStyle w:val="Heading10"/>
        <w:autoSpaceDE w:val="0"/>
        <w:autoSpaceDN w:val="0"/>
        <w:adjustRightInd w:val="0"/>
        <w:rPr>
          <w:szCs w:val="24"/>
        </w:rPr>
      </w:pPr>
      <w:r>
        <w:rPr>
          <w:szCs w:val="24"/>
        </w:rPr>
        <w:lastRenderedPageBreak/>
        <w:t>TRADE POLICIES BY SECTOR</w:t>
      </w:r>
    </w:p>
    <w:p w14:paraId="718039A3" w14:textId="77777777" w:rsidR="00DE4516" w:rsidRDefault="00DE4516">
      <w:pPr>
        <w:pStyle w:val="Heading20"/>
        <w:autoSpaceDE w:val="0"/>
        <w:autoSpaceDN w:val="0"/>
        <w:adjustRightInd w:val="0"/>
        <w:rPr>
          <w:szCs w:val="24"/>
        </w:rPr>
      </w:pPr>
      <w:r>
        <w:rPr>
          <w:szCs w:val="24"/>
        </w:rPr>
        <w:t>Agriculture and Fisheries</w:t>
      </w:r>
    </w:p>
    <w:p w14:paraId="5F301B5F" w14:textId="77777777" w:rsidR="00DE4516" w:rsidRDefault="00DE4516">
      <w:pPr>
        <w:pStyle w:val="BodyText0"/>
        <w:autoSpaceDE w:val="0"/>
        <w:autoSpaceDN w:val="0"/>
        <w:adjustRightInd w:val="0"/>
        <w:rPr>
          <w:szCs w:val="24"/>
        </w:rPr>
      </w:pPr>
      <w:r>
        <w:rPr>
          <w:szCs w:val="24"/>
        </w:rPr>
        <w:t>Agriculture and fisheries together contributed around 2% of GDP during the review period. There were 61,040 people working in the sector in 2019, declining by about one third compared to the figure in 2016; this was attributed to the same scale decline of foreign workers employed in the sector.</w:t>
      </w:r>
    </w:p>
    <w:p w14:paraId="539700C6" w14:textId="77777777" w:rsidR="00DE4516" w:rsidRDefault="00DE4516">
      <w:pPr>
        <w:pStyle w:val="BodyText0"/>
        <w:autoSpaceDE w:val="0"/>
        <w:autoSpaceDN w:val="0"/>
        <w:adjustRightInd w:val="0"/>
        <w:rPr>
          <w:szCs w:val="24"/>
        </w:rPr>
      </w:pPr>
      <w:r>
        <w:rPr>
          <w:szCs w:val="24"/>
        </w:rPr>
        <w:t>The agriculture sector faces various environmental challenges, such as the scarcity of irrigation water, the poor and declining quality of the soil due to increasing salinization, overgrazing, and adverse climatic conditions. Given its limited cultivable area and unfavourable climate, Oman is likely to remain heavily dependent on imports to meet its domestic demand for most agricultural products.</w:t>
      </w:r>
    </w:p>
    <w:p w14:paraId="63059008" w14:textId="77777777" w:rsidR="00DE4516" w:rsidRDefault="00DE4516">
      <w:pPr>
        <w:pStyle w:val="BodyText0"/>
        <w:autoSpaceDE w:val="0"/>
        <w:autoSpaceDN w:val="0"/>
        <w:adjustRightInd w:val="0"/>
        <w:rPr>
          <w:szCs w:val="24"/>
        </w:rPr>
      </w:pPr>
      <w:r>
        <w:rPr>
          <w:szCs w:val="24"/>
        </w:rPr>
        <w:t>Oman Vision 2020 sets the target of raising agriculture's contribution to GDP to 3.1% by 2020, with annual growth topping 4.5%. It also intends to boost the fishing sector to around 2% of GDP by 2020, with growth of 5.6% per annum. The Government has the dual aim of reducing Oman's dependence on imported agricultural produce and increasing exports where possible. The Ministry of Agriculture and Fisheries (</w:t>
      </w:r>
      <w:proofErr w:type="spellStart"/>
      <w:r>
        <w:rPr>
          <w:szCs w:val="24"/>
        </w:rPr>
        <w:t>MoAF</w:t>
      </w:r>
      <w:proofErr w:type="spellEnd"/>
      <w:r>
        <w:rPr>
          <w:szCs w:val="24"/>
        </w:rPr>
        <w:t>) is responsible for formulating policies for the sector; it is also responsible for sponsoring research, providing technical assistance to farmers, regulating water use in agriculture, and enforcing sanitary and phytosanitary (SPS) measures.</w:t>
      </w:r>
    </w:p>
    <w:p w14:paraId="67737685" w14:textId="77777777" w:rsidR="00DE4516" w:rsidRDefault="00DE4516">
      <w:pPr>
        <w:pStyle w:val="BodyText0"/>
        <w:autoSpaceDE w:val="0"/>
        <w:autoSpaceDN w:val="0"/>
        <w:adjustRightInd w:val="0"/>
        <w:rPr>
          <w:szCs w:val="24"/>
        </w:rPr>
      </w:pPr>
      <w:r>
        <w:rPr>
          <w:szCs w:val="24"/>
        </w:rPr>
        <w:t>Enhancing food security/self-sufficiency has been a major focus for Oman's agricultural policy. In this regard, the state-owned Oman Food Investment Holding Company (OFIC) was established in 2012 with a mandate to invest in food security, economic diversification, and job creation for Omanis. For example, the OFIC, partnered with other state entities (</w:t>
      </w:r>
      <w:proofErr w:type="gramStart"/>
      <w:r>
        <w:rPr>
          <w:szCs w:val="24"/>
        </w:rPr>
        <w:t>e.g.</w:t>
      </w:r>
      <w:proofErr w:type="gramEnd"/>
      <w:r>
        <w:rPr>
          <w:szCs w:val="24"/>
        </w:rPr>
        <w:t> the Oman Investment Fund (OIF), the sovereign wealth fund) and the private sector, purchased four agri</w:t>
      </w:r>
      <w:r>
        <w:rPr>
          <w:szCs w:val="24"/>
        </w:rPr>
        <w:noBreakHyphen/>
        <w:t>food companies and set up a few companies of animal products; these projects enhanced the capacity of domestic agricultural production.</w:t>
      </w:r>
    </w:p>
    <w:p w14:paraId="5396B092" w14:textId="77777777" w:rsidR="00DE4516" w:rsidRDefault="00DE4516">
      <w:pPr>
        <w:pStyle w:val="BodyText0"/>
        <w:autoSpaceDE w:val="0"/>
        <w:autoSpaceDN w:val="0"/>
        <w:adjustRightInd w:val="0"/>
        <w:rPr>
          <w:szCs w:val="24"/>
        </w:rPr>
      </w:pPr>
      <w:r>
        <w:rPr>
          <w:szCs w:val="24"/>
        </w:rPr>
        <w:t>The size of cultivated land enlarged by 60% during the review period, reaching 110,399 hectares in 2019, up from 68,863 in 2014. Most of enlarged cultivated land is used for vegetables, and perennial fodder crops, while the land size for fruit remained stable and for field crops shrank remarkably. Total agricultural production, including vegetables, fruit, field crops, and perennial fodder crops, doubled. The largest contribution to production was made by perennial fodder crops with 1,698.7 tonnes in 2019, up from 753.6 tonnes in 2014, followed by vegetables at 825.3 tonnes in 2019, from 334.6 tonnes in 2014; production of fruit and field crops remained stable (</w:t>
      </w:r>
      <w:r>
        <w:rPr>
          <w:rStyle w:val="citetbl"/>
          <w:szCs w:val="24"/>
        </w:rPr>
        <w:t>Table 4.1</w:t>
      </w:r>
      <w:r>
        <w:rPr>
          <w:szCs w:val="24"/>
        </w:rPr>
        <w:t>).</w:t>
      </w:r>
    </w:p>
    <w:p w14:paraId="5700AC3A" w14:textId="77777777" w:rsidR="00DE4516" w:rsidRDefault="00DE4516">
      <w:pPr>
        <w:pStyle w:val="BodyText0"/>
        <w:autoSpaceDE w:val="0"/>
        <w:autoSpaceDN w:val="0"/>
        <w:adjustRightInd w:val="0"/>
        <w:rPr>
          <w:szCs w:val="24"/>
        </w:rPr>
      </w:pPr>
      <w:r>
        <w:rPr>
          <w:szCs w:val="24"/>
        </w:rPr>
        <w:t xml:space="preserve">Of livestock, the total number of animals gradually increased; livestock animals in Oman usually include cows, sheep, goats, and camels. </w:t>
      </w:r>
      <w:proofErr w:type="gramStart"/>
      <w:r>
        <w:rPr>
          <w:szCs w:val="24"/>
        </w:rPr>
        <w:t>With regard to</w:t>
      </w:r>
      <w:proofErr w:type="gramEnd"/>
      <w:r>
        <w:rPr>
          <w:szCs w:val="24"/>
        </w:rPr>
        <w:t xml:space="preserve"> animal products, the production also increased continuously during the review period; notably, the production of eggs and poultry meat experienced a significant growth (</w:t>
      </w:r>
      <w:r>
        <w:rPr>
          <w:rStyle w:val="citetbl"/>
          <w:szCs w:val="24"/>
        </w:rPr>
        <w:t>Table 4.1</w:t>
      </w:r>
      <w:r>
        <w:rPr>
          <w:szCs w:val="24"/>
        </w:rPr>
        <w:t>). As a result, it was reported that the self-sufficient rates for dairy, fruit, and vegetables in 2019 reached 25%, 70%, and 80%, respectively.</w:t>
      </w:r>
      <w:r w:rsidRPr="00DE4516">
        <w:rPr>
          <w:rStyle w:val="FootnoteReference"/>
        </w:rPr>
        <w:footnoteReference w:id="210"/>
      </w:r>
    </w:p>
    <w:p w14:paraId="4FDC0915" w14:textId="77777777" w:rsidR="00DE4516" w:rsidRDefault="00DE4516">
      <w:pPr>
        <w:pStyle w:val="TableTitle"/>
        <w:autoSpaceDE w:val="0"/>
        <w:autoSpaceDN w:val="0"/>
        <w:adjustRightInd w:val="0"/>
      </w:pPr>
      <w:r>
        <w:t>Table 4.1 Selected indicators of agriculture, 2014-20</w:t>
      </w:r>
    </w:p>
    <w:tbl>
      <w:tblPr>
        <w:tblStyle w:val="WTOTable1"/>
        <w:tblW w:w="9072" w:type="dxa"/>
        <w:tblInd w:w="-5" w:type="dxa"/>
        <w:tblLayout w:type="fixed"/>
        <w:tblLook w:val="05E0" w:firstRow="1" w:lastRow="1" w:firstColumn="1" w:lastColumn="1" w:noHBand="0" w:noVBand="1"/>
      </w:tblPr>
      <w:tblGrid>
        <w:gridCol w:w="1560"/>
        <w:gridCol w:w="992"/>
        <w:gridCol w:w="992"/>
        <w:gridCol w:w="992"/>
        <w:gridCol w:w="1134"/>
        <w:gridCol w:w="1134"/>
        <w:gridCol w:w="1134"/>
        <w:gridCol w:w="1134"/>
      </w:tblGrid>
      <w:tr w:rsidR="00DE4516" w:rsidRPr="007F015E" w14:paraId="07796AE2" w14:textId="77777777" w:rsidTr="00A86160">
        <w:trPr>
          <w:cnfStyle w:val="100000000000" w:firstRow="1" w:lastRow="0" w:firstColumn="0" w:lastColumn="0" w:oddVBand="0" w:evenVBand="0" w:oddHBand="0" w:evenHBand="0" w:firstRowFirstColumn="0" w:firstRowLastColumn="0" w:lastRowFirstColumn="0" w:lastRowLastColumn="0"/>
          <w:tblHeader/>
        </w:trPr>
        <w:tc>
          <w:tcPr>
            <w:tcW w:w="1560" w:type="dxa"/>
            <w:tcBorders>
              <w:top w:val="single" w:sz="4" w:space="0" w:color="auto"/>
            </w:tcBorders>
            <w:noWrap/>
            <w:hideMark/>
          </w:tcPr>
          <w:p w14:paraId="2D80FDA5" w14:textId="77777777" w:rsidR="00DE4516" w:rsidRPr="007F015E" w:rsidRDefault="00DE4516" w:rsidP="00DE4516">
            <w:pPr>
              <w:pStyle w:val="TableHead"/>
              <w:autoSpaceDE w:val="0"/>
              <w:autoSpaceDN w:val="0"/>
              <w:adjustRightInd w:val="0"/>
              <w:rPr>
                <w:b/>
              </w:rPr>
            </w:pPr>
          </w:p>
        </w:tc>
        <w:tc>
          <w:tcPr>
            <w:tcW w:w="992" w:type="dxa"/>
            <w:tcBorders>
              <w:top w:val="single" w:sz="4" w:space="0" w:color="auto"/>
            </w:tcBorders>
            <w:noWrap/>
            <w:hideMark/>
          </w:tcPr>
          <w:p w14:paraId="488F7C08"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2014</w:t>
            </w:r>
          </w:p>
        </w:tc>
        <w:tc>
          <w:tcPr>
            <w:tcW w:w="992" w:type="dxa"/>
            <w:tcBorders>
              <w:top w:val="single" w:sz="4" w:space="0" w:color="auto"/>
            </w:tcBorders>
            <w:noWrap/>
            <w:hideMark/>
          </w:tcPr>
          <w:p w14:paraId="4396179F"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2015</w:t>
            </w:r>
          </w:p>
        </w:tc>
        <w:tc>
          <w:tcPr>
            <w:tcW w:w="992" w:type="dxa"/>
            <w:tcBorders>
              <w:top w:val="single" w:sz="4" w:space="0" w:color="auto"/>
            </w:tcBorders>
            <w:noWrap/>
            <w:hideMark/>
          </w:tcPr>
          <w:p w14:paraId="70150AFF"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2016</w:t>
            </w:r>
          </w:p>
        </w:tc>
        <w:tc>
          <w:tcPr>
            <w:tcW w:w="1134" w:type="dxa"/>
            <w:tcBorders>
              <w:top w:val="single" w:sz="4" w:space="0" w:color="auto"/>
            </w:tcBorders>
            <w:noWrap/>
            <w:hideMark/>
          </w:tcPr>
          <w:p w14:paraId="7253C97A"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2017</w:t>
            </w:r>
          </w:p>
        </w:tc>
        <w:tc>
          <w:tcPr>
            <w:tcW w:w="1134" w:type="dxa"/>
            <w:tcBorders>
              <w:top w:val="single" w:sz="4" w:space="0" w:color="auto"/>
            </w:tcBorders>
            <w:noWrap/>
            <w:hideMark/>
          </w:tcPr>
          <w:p w14:paraId="13653C71"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2018</w:t>
            </w:r>
          </w:p>
        </w:tc>
        <w:tc>
          <w:tcPr>
            <w:tcW w:w="1134" w:type="dxa"/>
            <w:tcBorders>
              <w:top w:val="single" w:sz="4" w:space="0" w:color="auto"/>
            </w:tcBorders>
            <w:noWrap/>
            <w:hideMark/>
          </w:tcPr>
          <w:p w14:paraId="2DCC7CEA"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2019</w:t>
            </w:r>
          </w:p>
        </w:tc>
        <w:tc>
          <w:tcPr>
            <w:tcW w:w="1134" w:type="dxa"/>
            <w:tcBorders>
              <w:top w:val="single" w:sz="4" w:space="0" w:color="auto"/>
            </w:tcBorders>
            <w:noWrap/>
            <w:hideMark/>
          </w:tcPr>
          <w:p w14:paraId="18E0E9E3"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2020</w:t>
            </w:r>
          </w:p>
        </w:tc>
      </w:tr>
      <w:tr w:rsidR="00DE4516" w:rsidRPr="00A260F0" w14:paraId="5E29E497" w14:textId="77777777" w:rsidTr="00A86160">
        <w:tc>
          <w:tcPr>
            <w:tcW w:w="1560" w:type="dxa"/>
            <w:noWrap/>
            <w:hideMark/>
          </w:tcPr>
          <w:p w14:paraId="5806032B" w14:textId="77777777" w:rsidR="00DE4516" w:rsidRPr="00A46ADC" w:rsidRDefault="00DE4516" w:rsidP="00DE4516">
            <w:pPr>
              <w:pStyle w:val="TableBody"/>
              <w:autoSpaceDE w:val="0"/>
              <w:autoSpaceDN w:val="0"/>
              <w:adjustRightInd w:val="0"/>
              <w:jc w:val="both"/>
              <w:rPr>
                <w:rFonts w:cs="Calibri"/>
                <w:b/>
                <w:bCs/>
                <w:color w:val="000000"/>
                <w:sz w:val="15"/>
                <w:szCs w:val="14"/>
              </w:rPr>
            </w:pPr>
            <w:r w:rsidRPr="00A46ADC">
              <w:rPr>
                <w:b/>
              </w:rPr>
              <w:t>Cultivated land (ha)</w:t>
            </w:r>
          </w:p>
        </w:tc>
        <w:tc>
          <w:tcPr>
            <w:tcW w:w="992" w:type="dxa"/>
            <w:noWrap/>
            <w:hideMark/>
          </w:tcPr>
          <w:p w14:paraId="79B462C2"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68,862.8</w:t>
            </w:r>
          </w:p>
        </w:tc>
        <w:tc>
          <w:tcPr>
            <w:tcW w:w="992" w:type="dxa"/>
            <w:noWrap/>
            <w:hideMark/>
          </w:tcPr>
          <w:p w14:paraId="183D9A06"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91,277.3</w:t>
            </w:r>
          </w:p>
        </w:tc>
        <w:tc>
          <w:tcPr>
            <w:tcW w:w="992" w:type="dxa"/>
            <w:noWrap/>
            <w:hideMark/>
          </w:tcPr>
          <w:p w14:paraId="0E4AA13D"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94,399.2</w:t>
            </w:r>
          </w:p>
        </w:tc>
        <w:tc>
          <w:tcPr>
            <w:tcW w:w="1134" w:type="dxa"/>
            <w:noWrap/>
            <w:hideMark/>
          </w:tcPr>
          <w:p w14:paraId="60185875"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100,917.2</w:t>
            </w:r>
          </w:p>
        </w:tc>
        <w:tc>
          <w:tcPr>
            <w:tcW w:w="1134" w:type="dxa"/>
            <w:noWrap/>
            <w:hideMark/>
          </w:tcPr>
          <w:p w14:paraId="21065C4B"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108,887.9</w:t>
            </w:r>
          </w:p>
        </w:tc>
        <w:tc>
          <w:tcPr>
            <w:tcW w:w="1134" w:type="dxa"/>
            <w:noWrap/>
            <w:hideMark/>
          </w:tcPr>
          <w:p w14:paraId="0C0F7048"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110,399.1</w:t>
            </w:r>
          </w:p>
        </w:tc>
        <w:tc>
          <w:tcPr>
            <w:tcW w:w="1134" w:type="dxa"/>
            <w:noWrap/>
            <w:hideMark/>
          </w:tcPr>
          <w:p w14:paraId="47533520"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107,922.8</w:t>
            </w:r>
          </w:p>
        </w:tc>
      </w:tr>
      <w:tr w:rsidR="00DE4516" w:rsidRPr="00A260F0" w14:paraId="48536CD7" w14:textId="77777777" w:rsidTr="00A86160">
        <w:trPr>
          <w:cnfStyle w:val="000000010000" w:firstRow="0" w:lastRow="0" w:firstColumn="0" w:lastColumn="0" w:oddVBand="0" w:evenVBand="0" w:oddHBand="0" w:evenHBand="1" w:firstRowFirstColumn="0" w:firstRowLastColumn="0" w:lastRowFirstColumn="0" w:lastRowLastColumn="0"/>
        </w:trPr>
        <w:tc>
          <w:tcPr>
            <w:tcW w:w="1560" w:type="dxa"/>
            <w:noWrap/>
            <w:hideMark/>
          </w:tcPr>
          <w:p w14:paraId="08335824"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Vegetables</w:t>
            </w:r>
          </w:p>
        </w:tc>
        <w:tc>
          <w:tcPr>
            <w:tcW w:w="992" w:type="dxa"/>
            <w:noWrap/>
            <w:hideMark/>
          </w:tcPr>
          <w:p w14:paraId="34C9040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13,106.1</w:t>
            </w:r>
          </w:p>
        </w:tc>
        <w:tc>
          <w:tcPr>
            <w:tcW w:w="992" w:type="dxa"/>
            <w:noWrap/>
            <w:hideMark/>
          </w:tcPr>
          <w:p w14:paraId="1EACDED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20,950.9</w:t>
            </w:r>
          </w:p>
        </w:tc>
        <w:tc>
          <w:tcPr>
            <w:tcW w:w="992" w:type="dxa"/>
            <w:noWrap/>
            <w:hideMark/>
          </w:tcPr>
          <w:p w14:paraId="68EE4EA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22,046.2</w:t>
            </w:r>
          </w:p>
        </w:tc>
        <w:tc>
          <w:tcPr>
            <w:tcW w:w="1134" w:type="dxa"/>
            <w:noWrap/>
            <w:hideMark/>
          </w:tcPr>
          <w:p w14:paraId="194B2C8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22,241.5</w:t>
            </w:r>
          </w:p>
        </w:tc>
        <w:tc>
          <w:tcPr>
            <w:tcW w:w="1134" w:type="dxa"/>
            <w:noWrap/>
            <w:hideMark/>
          </w:tcPr>
          <w:p w14:paraId="73F7760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22,451.9</w:t>
            </w:r>
          </w:p>
        </w:tc>
        <w:tc>
          <w:tcPr>
            <w:tcW w:w="1134" w:type="dxa"/>
            <w:noWrap/>
            <w:hideMark/>
          </w:tcPr>
          <w:p w14:paraId="7776EB1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23,150.8</w:t>
            </w:r>
          </w:p>
        </w:tc>
        <w:tc>
          <w:tcPr>
            <w:tcW w:w="1134" w:type="dxa"/>
            <w:noWrap/>
          </w:tcPr>
          <w:p w14:paraId="2825AC6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29,095.9</w:t>
            </w:r>
          </w:p>
        </w:tc>
      </w:tr>
      <w:tr w:rsidR="00DE4516" w:rsidRPr="00A260F0" w14:paraId="7E9EBECE" w14:textId="77777777" w:rsidTr="00A86160">
        <w:tc>
          <w:tcPr>
            <w:tcW w:w="1560" w:type="dxa"/>
            <w:noWrap/>
            <w:hideMark/>
          </w:tcPr>
          <w:p w14:paraId="43835F41"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Fruit</w:t>
            </w:r>
          </w:p>
        </w:tc>
        <w:tc>
          <w:tcPr>
            <w:tcW w:w="992" w:type="dxa"/>
            <w:noWrap/>
            <w:hideMark/>
          </w:tcPr>
          <w:p w14:paraId="21EA10B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30,846.1</w:t>
            </w:r>
          </w:p>
        </w:tc>
        <w:tc>
          <w:tcPr>
            <w:tcW w:w="992" w:type="dxa"/>
            <w:noWrap/>
            <w:hideMark/>
          </w:tcPr>
          <w:p w14:paraId="2B8FF6A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31,011.5</w:t>
            </w:r>
          </w:p>
        </w:tc>
        <w:tc>
          <w:tcPr>
            <w:tcW w:w="992" w:type="dxa"/>
            <w:noWrap/>
            <w:hideMark/>
          </w:tcPr>
          <w:p w14:paraId="4CF5302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31,012.0</w:t>
            </w:r>
          </w:p>
        </w:tc>
        <w:tc>
          <w:tcPr>
            <w:tcW w:w="1134" w:type="dxa"/>
            <w:noWrap/>
            <w:hideMark/>
          </w:tcPr>
          <w:p w14:paraId="7545A58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31,115.7</w:t>
            </w:r>
          </w:p>
        </w:tc>
        <w:tc>
          <w:tcPr>
            <w:tcW w:w="1134" w:type="dxa"/>
            <w:noWrap/>
            <w:hideMark/>
          </w:tcPr>
          <w:p w14:paraId="0BEB356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32,231.6</w:t>
            </w:r>
          </w:p>
        </w:tc>
        <w:tc>
          <w:tcPr>
            <w:tcW w:w="1134" w:type="dxa"/>
            <w:noWrap/>
            <w:hideMark/>
          </w:tcPr>
          <w:p w14:paraId="596DA8A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32,554.2</w:t>
            </w:r>
          </w:p>
        </w:tc>
        <w:tc>
          <w:tcPr>
            <w:tcW w:w="1134" w:type="dxa"/>
            <w:noWrap/>
          </w:tcPr>
          <w:p w14:paraId="5EEB295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33,268.2</w:t>
            </w:r>
          </w:p>
        </w:tc>
      </w:tr>
      <w:tr w:rsidR="00DE4516" w:rsidRPr="00A260F0" w14:paraId="33A9A0FC" w14:textId="77777777" w:rsidTr="00A86160">
        <w:trPr>
          <w:cnfStyle w:val="000000010000" w:firstRow="0" w:lastRow="0" w:firstColumn="0" w:lastColumn="0" w:oddVBand="0" w:evenVBand="0" w:oddHBand="0" w:evenHBand="1" w:firstRowFirstColumn="0" w:firstRowLastColumn="0" w:lastRowFirstColumn="0" w:lastRowLastColumn="0"/>
        </w:trPr>
        <w:tc>
          <w:tcPr>
            <w:tcW w:w="1560" w:type="dxa"/>
            <w:noWrap/>
            <w:hideMark/>
          </w:tcPr>
          <w:p w14:paraId="2B0AE5DD"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Field crops</w:t>
            </w:r>
          </w:p>
        </w:tc>
        <w:tc>
          <w:tcPr>
            <w:tcW w:w="992" w:type="dxa"/>
            <w:noWrap/>
            <w:hideMark/>
          </w:tcPr>
          <w:p w14:paraId="5C21210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4,842.6</w:t>
            </w:r>
          </w:p>
        </w:tc>
        <w:tc>
          <w:tcPr>
            <w:tcW w:w="992" w:type="dxa"/>
            <w:noWrap/>
            <w:hideMark/>
          </w:tcPr>
          <w:p w14:paraId="7DFD104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3,919.9</w:t>
            </w:r>
          </w:p>
        </w:tc>
        <w:tc>
          <w:tcPr>
            <w:tcW w:w="992" w:type="dxa"/>
            <w:noWrap/>
            <w:hideMark/>
          </w:tcPr>
          <w:p w14:paraId="7065CAC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4,258.0</w:t>
            </w:r>
          </w:p>
        </w:tc>
        <w:tc>
          <w:tcPr>
            <w:tcW w:w="1134" w:type="dxa"/>
            <w:noWrap/>
            <w:hideMark/>
          </w:tcPr>
          <w:p w14:paraId="0C22336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4,263.4</w:t>
            </w:r>
          </w:p>
        </w:tc>
        <w:tc>
          <w:tcPr>
            <w:tcW w:w="1134" w:type="dxa"/>
            <w:noWrap/>
            <w:hideMark/>
          </w:tcPr>
          <w:p w14:paraId="171AC5E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4,268.5</w:t>
            </w:r>
          </w:p>
        </w:tc>
        <w:tc>
          <w:tcPr>
            <w:tcW w:w="1134" w:type="dxa"/>
            <w:noWrap/>
            <w:hideMark/>
          </w:tcPr>
          <w:p w14:paraId="7927977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4,311.3</w:t>
            </w:r>
          </w:p>
        </w:tc>
        <w:tc>
          <w:tcPr>
            <w:tcW w:w="1134" w:type="dxa"/>
            <w:noWrap/>
          </w:tcPr>
          <w:p w14:paraId="7EEBB5C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10,161.5</w:t>
            </w:r>
          </w:p>
        </w:tc>
      </w:tr>
      <w:tr w:rsidR="00DE4516" w:rsidRPr="00A260F0" w14:paraId="231C6D10" w14:textId="77777777" w:rsidTr="00A86160">
        <w:tc>
          <w:tcPr>
            <w:tcW w:w="1560" w:type="dxa"/>
            <w:noWrap/>
            <w:hideMark/>
          </w:tcPr>
          <w:p w14:paraId="0D91A99C"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lastRenderedPageBreak/>
              <w:t>Perennial fodder crops</w:t>
            </w:r>
          </w:p>
        </w:tc>
        <w:tc>
          <w:tcPr>
            <w:tcW w:w="992" w:type="dxa"/>
            <w:noWrap/>
            <w:hideMark/>
          </w:tcPr>
          <w:p w14:paraId="282472C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20,068.0</w:t>
            </w:r>
          </w:p>
        </w:tc>
        <w:tc>
          <w:tcPr>
            <w:tcW w:w="992" w:type="dxa"/>
            <w:noWrap/>
            <w:hideMark/>
          </w:tcPr>
          <w:p w14:paraId="1954237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35,395.5</w:t>
            </w:r>
          </w:p>
        </w:tc>
        <w:tc>
          <w:tcPr>
            <w:tcW w:w="992" w:type="dxa"/>
            <w:noWrap/>
            <w:hideMark/>
          </w:tcPr>
          <w:p w14:paraId="4BE1910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37,082.6</w:t>
            </w:r>
          </w:p>
        </w:tc>
        <w:tc>
          <w:tcPr>
            <w:tcW w:w="1134" w:type="dxa"/>
            <w:noWrap/>
            <w:hideMark/>
          </w:tcPr>
          <w:p w14:paraId="2784A81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42,799.3</w:t>
            </w:r>
          </w:p>
        </w:tc>
        <w:tc>
          <w:tcPr>
            <w:tcW w:w="1134" w:type="dxa"/>
            <w:noWrap/>
            <w:hideMark/>
          </w:tcPr>
          <w:p w14:paraId="2731FE5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49,935.9</w:t>
            </w:r>
          </w:p>
        </w:tc>
        <w:tc>
          <w:tcPr>
            <w:tcW w:w="1134" w:type="dxa"/>
            <w:noWrap/>
            <w:hideMark/>
          </w:tcPr>
          <w:p w14:paraId="43F7CE2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50,382.8</w:t>
            </w:r>
          </w:p>
        </w:tc>
        <w:tc>
          <w:tcPr>
            <w:tcW w:w="1134" w:type="dxa"/>
            <w:noWrap/>
          </w:tcPr>
          <w:p w14:paraId="14ABEFD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35,397.2</w:t>
            </w:r>
          </w:p>
        </w:tc>
      </w:tr>
      <w:tr w:rsidR="00DE4516" w:rsidRPr="00A260F0" w14:paraId="4B51D62F" w14:textId="77777777" w:rsidTr="00A86160">
        <w:trPr>
          <w:cnfStyle w:val="000000010000" w:firstRow="0" w:lastRow="0" w:firstColumn="0" w:lastColumn="0" w:oddVBand="0" w:evenVBand="0" w:oddHBand="0" w:evenHBand="1" w:firstRowFirstColumn="0" w:firstRowLastColumn="0" w:lastRowFirstColumn="0" w:lastRowLastColumn="0"/>
        </w:trPr>
        <w:tc>
          <w:tcPr>
            <w:tcW w:w="1560" w:type="dxa"/>
            <w:noWrap/>
            <w:hideMark/>
          </w:tcPr>
          <w:p w14:paraId="1490B883" w14:textId="77777777" w:rsidR="00DE4516" w:rsidRPr="00A46ADC" w:rsidRDefault="00DE4516" w:rsidP="00DE4516">
            <w:pPr>
              <w:pStyle w:val="TableBody"/>
              <w:autoSpaceDE w:val="0"/>
              <w:autoSpaceDN w:val="0"/>
              <w:adjustRightInd w:val="0"/>
              <w:jc w:val="both"/>
              <w:rPr>
                <w:rFonts w:cs="Calibri"/>
                <w:b/>
                <w:bCs/>
                <w:color w:val="000000"/>
                <w:sz w:val="15"/>
                <w:szCs w:val="14"/>
              </w:rPr>
            </w:pPr>
            <w:r w:rsidRPr="00A46ADC">
              <w:rPr>
                <w:b/>
              </w:rPr>
              <w:t>Livestock ('000)</w:t>
            </w:r>
          </w:p>
        </w:tc>
        <w:tc>
          <w:tcPr>
            <w:tcW w:w="992" w:type="dxa"/>
            <w:noWrap/>
            <w:hideMark/>
          </w:tcPr>
          <w:p w14:paraId="0F0327D3"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3,301</w:t>
            </w:r>
          </w:p>
        </w:tc>
        <w:tc>
          <w:tcPr>
            <w:tcW w:w="992" w:type="dxa"/>
            <w:noWrap/>
            <w:hideMark/>
          </w:tcPr>
          <w:p w14:paraId="071B7FE7"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3,366</w:t>
            </w:r>
          </w:p>
        </w:tc>
        <w:tc>
          <w:tcPr>
            <w:tcW w:w="992" w:type="dxa"/>
            <w:noWrap/>
            <w:hideMark/>
          </w:tcPr>
          <w:p w14:paraId="450687E0"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3,434</w:t>
            </w:r>
          </w:p>
        </w:tc>
        <w:tc>
          <w:tcPr>
            <w:tcW w:w="1134" w:type="dxa"/>
            <w:noWrap/>
            <w:hideMark/>
          </w:tcPr>
          <w:p w14:paraId="269776BE"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3,502</w:t>
            </w:r>
          </w:p>
        </w:tc>
        <w:tc>
          <w:tcPr>
            <w:tcW w:w="1134" w:type="dxa"/>
            <w:noWrap/>
            <w:hideMark/>
          </w:tcPr>
          <w:p w14:paraId="1BB30CC0"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3,572</w:t>
            </w:r>
          </w:p>
        </w:tc>
        <w:tc>
          <w:tcPr>
            <w:tcW w:w="1134" w:type="dxa"/>
            <w:noWrap/>
            <w:hideMark/>
          </w:tcPr>
          <w:p w14:paraId="3EFCDE4B"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3,278.5</w:t>
            </w:r>
          </w:p>
        </w:tc>
        <w:tc>
          <w:tcPr>
            <w:tcW w:w="1134" w:type="dxa"/>
            <w:noWrap/>
            <w:hideMark/>
          </w:tcPr>
          <w:p w14:paraId="05E8B419"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3,717</w:t>
            </w:r>
          </w:p>
        </w:tc>
      </w:tr>
      <w:tr w:rsidR="00DE4516" w:rsidRPr="00A260F0" w14:paraId="00116778" w14:textId="77777777" w:rsidTr="00A86160">
        <w:tc>
          <w:tcPr>
            <w:tcW w:w="3544" w:type="dxa"/>
            <w:gridSpan w:val="3"/>
            <w:noWrap/>
            <w:hideMark/>
          </w:tcPr>
          <w:p w14:paraId="1D929E45" w14:textId="77777777" w:rsidR="00DE4516" w:rsidRPr="00A46ADC" w:rsidRDefault="00DE4516" w:rsidP="00DE4516">
            <w:pPr>
              <w:pStyle w:val="TableBody"/>
              <w:autoSpaceDE w:val="0"/>
              <w:autoSpaceDN w:val="0"/>
              <w:adjustRightInd w:val="0"/>
              <w:jc w:val="both"/>
              <w:rPr>
                <w:b/>
                <w:bCs/>
                <w:sz w:val="15"/>
                <w:szCs w:val="14"/>
              </w:rPr>
            </w:pPr>
            <w:r w:rsidRPr="00A46ADC">
              <w:rPr>
                <w:b/>
              </w:rPr>
              <w:t>Crop production ('000 tonnes)</w:t>
            </w:r>
          </w:p>
        </w:tc>
        <w:tc>
          <w:tcPr>
            <w:tcW w:w="992" w:type="dxa"/>
          </w:tcPr>
          <w:p w14:paraId="1CCE84B3" w14:textId="77777777" w:rsidR="00DE4516" w:rsidRPr="00A46ADC" w:rsidRDefault="00DE4516" w:rsidP="00DE4516">
            <w:pPr>
              <w:pStyle w:val="TableBody"/>
              <w:autoSpaceDE w:val="0"/>
              <w:autoSpaceDN w:val="0"/>
              <w:adjustRightInd w:val="0"/>
              <w:jc w:val="both"/>
            </w:pPr>
          </w:p>
        </w:tc>
        <w:tc>
          <w:tcPr>
            <w:tcW w:w="1134" w:type="dxa"/>
          </w:tcPr>
          <w:p w14:paraId="39C59361" w14:textId="77777777" w:rsidR="00DE4516" w:rsidRPr="00A46ADC" w:rsidRDefault="00DE4516" w:rsidP="00DE4516">
            <w:pPr>
              <w:pStyle w:val="TableBody"/>
              <w:autoSpaceDE w:val="0"/>
              <w:autoSpaceDN w:val="0"/>
              <w:adjustRightInd w:val="0"/>
              <w:jc w:val="both"/>
            </w:pPr>
          </w:p>
        </w:tc>
        <w:tc>
          <w:tcPr>
            <w:tcW w:w="1134" w:type="dxa"/>
          </w:tcPr>
          <w:p w14:paraId="6BB3CD99" w14:textId="77777777" w:rsidR="00DE4516" w:rsidRPr="00A46ADC" w:rsidRDefault="00DE4516" w:rsidP="00DE4516">
            <w:pPr>
              <w:pStyle w:val="TableBody"/>
              <w:autoSpaceDE w:val="0"/>
              <w:autoSpaceDN w:val="0"/>
              <w:adjustRightInd w:val="0"/>
              <w:jc w:val="both"/>
            </w:pPr>
          </w:p>
        </w:tc>
        <w:tc>
          <w:tcPr>
            <w:tcW w:w="1134" w:type="dxa"/>
          </w:tcPr>
          <w:p w14:paraId="6BE34CDB" w14:textId="77777777" w:rsidR="00DE4516" w:rsidRPr="00A46ADC" w:rsidRDefault="00DE4516" w:rsidP="00DE4516">
            <w:pPr>
              <w:pStyle w:val="TableBody"/>
              <w:autoSpaceDE w:val="0"/>
              <w:autoSpaceDN w:val="0"/>
              <w:adjustRightInd w:val="0"/>
              <w:jc w:val="both"/>
            </w:pPr>
          </w:p>
        </w:tc>
        <w:tc>
          <w:tcPr>
            <w:tcW w:w="1134" w:type="dxa"/>
          </w:tcPr>
          <w:p w14:paraId="0A086B84" w14:textId="77777777" w:rsidR="00DE4516" w:rsidRPr="00A46ADC" w:rsidRDefault="00DE4516" w:rsidP="00DE4516">
            <w:pPr>
              <w:pStyle w:val="TableBody"/>
              <w:autoSpaceDE w:val="0"/>
              <w:autoSpaceDN w:val="0"/>
              <w:adjustRightInd w:val="0"/>
              <w:jc w:val="both"/>
            </w:pPr>
          </w:p>
        </w:tc>
      </w:tr>
      <w:tr w:rsidR="00DE4516" w:rsidRPr="00A260F0" w14:paraId="56195FA7" w14:textId="77777777" w:rsidTr="00A86160">
        <w:trPr>
          <w:cnfStyle w:val="000000010000" w:firstRow="0" w:lastRow="0" w:firstColumn="0" w:lastColumn="0" w:oddVBand="0" w:evenVBand="0" w:oddHBand="0" w:evenHBand="1" w:firstRowFirstColumn="0" w:firstRowLastColumn="0" w:lastRowFirstColumn="0" w:lastRowLastColumn="0"/>
        </w:trPr>
        <w:tc>
          <w:tcPr>
            <w:tcW w:w="1560" w:type="dxa"/>
            <w:noWrap/>
            <w:hideMark/>
          </w:tcPr>
          <w:p w14:paraId="36BB2922"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Vegetables</w:t>
            </w:r>
          </w:p>
        </w:tc>
        <w:tc>
          <w:tcPr>
            <w:tcW w:w="992" w:type="dxa"/>
            <w:noWrap/>
            <w:hideMark/>
          </w:tcPr>
          <w:p w14:paraId="4525BC3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334.6</w:t>
            </w:r>
          </w:p>
        </w:tc>
        <w:tc>
          <w:tcPr>
            <w:tcW w:w="992" w:type="dxa"/>
            <w:noWrap/>
            <w:hideMark/>
          </w:tcPr>
          <w:p w14:paraId="53B280A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769.4</w:t>
            </w:r>
          </w:p>
        </w:tc>
        <w:tc>
          <w:tcPr>
            <w:tcW w:w="992" w:type="dxa"/>
            <w:noWrap/>
            <w:hideMark/>
          </w:tcPr>
          <w:p w14:paraId="01FEEF2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830.9</w:t>
            </w:r>
          </w:p>
        </w:tc>
        <w:tc>
          <w:tcPr>
            <w:tcW w:w="1134" w:type="dxa"/>
            <w:noWrap/>
            <w:hideMark/>
          </w:tcPr>
          <w:p w14:paraId="2C2A36A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814.6</w:t>
            </w:r>
          </w:p>
        </w:tc>
        <w:tc>
          <w:tcPr>
            <w:tcW w:w="1134" w:type="dxa"/>
            <w:noWrap/>
            <w:hideMark/>
          </w:tcPr>
          <w:p w14:paraId="6A7FDCC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817.9</w:t>
            </w:r>
          </w:p>
        </w:tc>
        <w:tc>
          <w:tcPr>
            <w:tcW w:w="1134" w:type="dxa"/>
            <w:noWrap/>
            <w:hideMark/>
          </w:tcPr>
          <w:p w14:paraId="4645473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825.3</w:t>
            </w:r>
          </w:p>
        </w:tc>
        <w:tc>
          <w:tcPr>
            <w:tcW w:w="1134" w:type="dxa"/>
            <w:noWrap/>
          </w:tcPr>
          <w:p w14:paraId="6AC9ADB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1,159.5</w:t>
            </w:r>
          </w:p>
        </w:tc>
      </w:tr>
      <w:tr w:rsidR="00DE4516" w:rsidRPr="00A260F0" w14:paraId="0F28C782" w14:textId="77777777" w:rsidTr="00A86160">
        <w:tc>
          <w:tcPr>
            <w:tcW w:w="1560" w:type="dxa"/>
            <w:noWrap/>
            <w:hideMark/>
          </w:tcPr>
          <w:p w14:paraId="2677695A"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Fruit</w:t>
            </w:r>
          </w:p>
        </w:tc>
        <w:tc>
          <w:tcPr>
            <w:tcW w:w="992" w:type="dxa"/>
            <w:noWrap/>
            <w:hideMark/>
          </w:tcPr>
          <w:p w14:paraId="4E1179C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404.4</w:t>
            </w:r>
          </w:p>
        </w:tc>
        <w:tc>
          <w:tcPr>
            <w:tcW w:w="992" w:type="dxa"/>
            <w:noWrap/>
            <w:hideMark/>
          </w:tcPr>
          <w:p w14:paraId="0F7AEB6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434.3</w:t>
            </w:r>
          </w:p>
        </w:tc>
        <w:tc>
          <w:tcPr>
            <w:tcW w:w="992" w:type="dxa"/>
            <w:noWrap/>
            <w:hideMark/>
          </w:tcPr>
          <w:p w14:paraId="79A62CF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444.7</w:t>
            </w:r>
          </w:p>
        </w:tc>
        <w:tc>
          <w:tcPr>
            <w:tcW w:w="1134" w:type="dxa"/>
            <w:noWrap/>
            <w:hideMark/>
          </w:tcPr>
          <w:p w14:paraId="7717789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450.8</w:t>
            </w:r>
          </w:p>
        </w:tc>
        <w:tc>
          <w:tcPr>
            <w:tcW w:w="1134" w:type="dxa"/>
            <w:noWrap/>
            <w:hideMark/>
          </w:tcPr>
          <w:p w14:paraId="5A7AEF2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459.7</w:t>
            </w:r>
          </w:p>
        </w:tc>
        <w:tc>
          <w:tcPr>
            <w:tcW w:w="1134" w:type="dxa"/>
            <w:noWrap/>
            <w:hideMark/>
          </w:tcPr>
          <w:p w14:paraId="3934CBE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468.7</w:t>
            </w:r>
          </w:p>
        </w:tc>
        <w:tc>
          <w:tcPr>
            <w:tcW w:w="1134" w:type="dxa"/>
            <w:noWrap/>
          </w:tcPr>
          <w:p w14:paraId="39806ED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464.9</w:t>
            </w:r>
          </w:p>
        </w:tc>
      </w:tr>
      <w:tr w:rsidR="00DE4516" w:rsidRPr="00A260F0" w14:paraId="239E23EC" w14:textId="77777777" w:rsidTr="00A86160">
        <w:trPr>
          <w:cnfStyle w:val="000000010000" w:firstRow="0" w:lastRow="0" w:firstColumn="0" w:lastColumn="0" w:oddVBand="0" w:evenVBand="0" w:oddHBand="0" w:evenHBand="1" w:firstRowFirstColumn="0" w:firstRowLastColumn="0" w:lastRowFirstColumn="0" w:lastRowLastColumn="0"/>
        </w:trPr>
        <w:tc>
          <w:tcPr>
            <w:tcW w:w="1560" w:type="dxa"/>
            <w:noWrap/>
            <w:hideMark/>
          </w:tcPr>
          <w:p w14:paraId="2A7A8FCF"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Field crops</w:t>
            </w:r>
          </w:p>
        </w:tc>
        <w:tc>
          <w:tcPr>
            <w:tcW w:w="992" w:type="dxa"/>
            <w:noWrap/>
            <w:hideMark/>
          </w:tcPr>
          <w:p w14:paraId="3AEBB9E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22.2</w:t>
            </w:r>
          </w:p>
        </w:tc>
        <w:tc>
          <w:tcPr>
            <w:tcW w:w="992" w:type="dxa"/>
            <w:noWrap/>
            <w:hideMark/>
          </w:tcPr>
          <w:p w14:paraId="004804F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31.1</w:t>
            </w:r>
          </w:p>
        </w:tc>
        <w:tc>
          <w:tcPr>
            <w:tcW w:w="992" w:type="dxa"/>
            <w:noWrap/>
            <w:hideMark/>
          </w:tcPr>
          <w:p w14:paraId="65F2A7E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18.9</w:t>
            </w:r>
          </w:p>
        </w:tc>
        <w:tc>
          <w:tcPr>
            <w:tcW w:w="1134" w:type="dxa"/>
            <w:noWrap/>
            <w:hideMark/>
          </w:tcPr>
          <w:p w14:paraId="2921448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18.9</w:t>
            </w:r>
          </w:p>
        </w:tc>
        <w:tc>
          <w:tcPr>
            <w:tcW w:w="1134" w:type="dxa"/>
            <w:noWrap/>
            <w:hideMark/>
          </w:tcPr>
          <w:p w14:paraId="7C4DF86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25.0</w:t>
            </w:r>
          </w:p>
        </w:tc>
        <w:tc>
          <w:tcPr>
            <w:tcW w:w="1134" w:type="dxa"/>
            <w:noWrap/>
            <w:hideMark/>
          </w:tcPr>
          <w:p w14:paraId="56407F8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25.5</w:t>
            </w:r>
          </w:p>
        </w:tc>
        <w:tc>
          <w:tcPr>
            <w:tcW w:w="1134" w:type="dxa"/>
            <w:noWrap/>
          </w:tcPr>
          <w:p w14:paraId="036A648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162.5</w:t>
            </w:r>
          </w:p>
        </w:tc>
      </w:tr>
      <w:tr w:rsidR="00DE4516" w:rsidRPr="00A260F0" w14:paraId="0023E428" w14:textId="77777777" w:rsidTr="00A86160">
        <w:tc>
          <w:tcPr>
            <w:tcW w:w="1560" w:type="dxa"/>
            <w:noWrap/>
            <w:hideMark/>
          </w:tcPr>
          <w:p w14:paraId="04D4C8AA"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Perennial fodder crops</w:t>
            </w:r>
          </w:p>
        </w:tc>
        <w:tc>
          <w:tcPr>
            <w:tcW w:w="992" w:type="dxa"/>
            <w:noWrap/>
            <w:hideMark/>
          </w:tcPr>
          <w:p w14:paraId="7222D08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753.6</w:t>
            </w:r>
          </w:p>
        </w:tc>
        <w:tc>
          <w:tcPr>
            <w:tcW w:w="992" w:type="dxa"/>
            <w:noWrap/>
            <w:hideMark/>
          </w:tcPr>
          <w:p w14:paraId="3CA6189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1,126.9</w:t>
            </w:r>
          </w:p>
        </w:tc>
        <w:tc>
          <w:tcPr>
            <w:tcW w:w="992" w:type="dxa"/>
            <w:noWrap/>
            <w:hideMark/>
          </w:tcPr>
          <w:p w14:paraId="4B0B35F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1,332.9</w:t>
            </w:r>
          </w:p>
        </w:tc>
        <w:tc>
          <w:tcPr>
            <w:tcW w:w="1134" w:type="dxa"/>
            <w:noWrap/>
            <w:hideMark/>
          </w:tcPr>
          <w:p w14:paraId="082168D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1,338.2</w:t>
            </w:r>
          </w:p>
        </w:tc>
        <w:tc>
          <w:tcPr>
            <w:tcW w:w="1134" w:type="dxa"/>
            <w:noWrap/>
            <w:hideMark/>
          </w:tcPr>
          <w:p w14:paraId="04C0F25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1,648.5</w:t>
            </w:r>
          </w:p>
        </w:tc>
        <w:tc>
          <w:tcPr>
            <w:tcW w:w="1134" w:type="dxa"/>
            <w:noWrap/>
            <w:hideMark/>
          </w:tcPr>
          <w:p w14:paraId="791D46A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1,698.7</w:t>
            </w:r>
          </w:p>
        </w:tc>
        <w:tc>
          <w:tcPr>
            <w:tcW w:w="1134" w:type="dxa"/>
            <w:noWrap/>
          </w:tcPr>
          <w:p w14:paraId="732C28B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1,247.1</w:t>
            </w:r>
          </w:p>
        </w:tc>
      </w:tr>
      <w:tr w:rsidR="00DE4516" w:rsidRPr="00A260F0" w14:paraId="48E605A8" w14:textId="77777777" w:rsidTr="00A86160">
        <w:trPr>
          <w:cnfStyle w:val="000000010000" w:firstRow="0" w:lastRow="0" w:firstColumn="0" w:lastColumn="0" w:oddVBand="0" w:evenVBand="0" w:oddHBand="0" w:evenHBand="1" w:firstRowFirstColumn="0" w:firstRowLastColumn="0" w:lastRowFirstColumn="0" w:lastRowLastColumn="0"/>
        </w:trPr>
        <w:tc>
          <w:tcPr>
            <w:tcW w:w="1560" w:type="dxa"/>
            <w:noWrap/>
            <w:hideMark/>
          </w:tcPr>
          <w:p w14:paraId="7BF491FE" w14:textId="77777777" w:rsidR="00DE4516" w:rsidRPr="00A46ADC" w:rsidRDefault="00DE4516" w:rsidP="00DE4516">
            <w:pPr>
              <w:pStyle w:val="TableBody"/>
              <w:autoSpaceDE w:val="0"/>
              <w:autoSpaceDN w:val="0"/>
              <w:adjustRightInd w:val="0"/>
              <w:jc w:val="both"/>
              <w:rPr>
                <w:rFonts w:cs="Calibri"/>
                <w:b/>
                <w:bCs/>
                <w:color w:val="000000"/>
                <w:sz w:val="15"/>
                <w:szCs w:val="14"/>
              </w:rPr>
            </w:pPr>
            <w:r w:rsidRPr="00A46ADC">
              <w:rPr>
                <w:b/>
              </w:rPr>
              <w:t>Total</w:t>
            </w:r>
          </w:p>
        </w:tc>
        <w:tc>
          <w:tcPr>
            <w:tcW w:w="992" w:type="dxa"/>
            <w:noWrap/>
            <w:hideMark/>
          </w:tcPr>
          <w:p w14:paraId="7091B7B5"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1,514.8</w:t>
            </w:r>
          </w:p>
        </w:tc>
        <w:tc>
          <w:tcPr>
            <w:tcW w:w="992" w:type="dxa"/>
            <w:noWrap/>
            <w:hideMark/>
          </w:tcPr>
          <w:p w14:paraId="21417B57"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2,361.5</w:t>
            </w:r>
          </w:p>
        </w:tc>
        <w:tc>
          <w:tcPr>
            <w:tcW w:w="992" w:type="dxa"/>
            <w:noWrap/>
            <w:hideMark/>
          </w:tcPr>
          <w:p w14:paraId="68257153"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2,627.3</w:t>
            </w:r>
          </w:p>
        </w:tc>
        <w:tc>
          <w:tcPr>
            <w:tcW w:w="1134" w:type="dxa"/>
            <w:noWrap/>
            <w:hideMark/>
          </w:tcPr>
          <w:p w14:paraId="7F796A3F"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2,622.5</w:t>
            </w:r>
          </w:p>
        </w:tc>
        <w:tc>
          <w:tcPr>
            <w:tcW w:w="1134" w:type="dxa"/>
            <w:noWrap/>
            <w:hideMark/>
          </w:tcPr>
          <w:p w14:paraId="6FEDDEB5"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2,951.1</w:t>
            </w:r>
          </w:p>
        </w:tc>
        <w:tc>
          <w:tcPr>
            <w:tcW w:w="1134" w:type="dxa"/>
            <w:noWrap/>
            <w:hideMark/>
          </w:tcPr>
          <w:p w14:paraId="1385AE48"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3,018.1</w:t>
            </w:r>
          </w:p>
        </w:tc>
        <w:tc>
          <w:tcPr>
            <w:tcW w:w="1134" w:type="dxa"/>
            <w:noWrap/>
            <w:hideMark/>
          </w:tcPr>
          <w:p w14:paraId="0A7BC29F"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3,034.1</w:t>
            </w:r>
          </w:p>
        </w:tc>
      </w:tr>
      <w:tr w:rsidR="00DE4516" w:rsidRPr="00A260F0" w14:paraId="7F4CF4DF" w14:textId="77777777" w:rsidTr="00A86160">
        <w:tc>
          <w:tcPr>
            <w:tcW w:w="3544" w:type="dxa"/>
            <w:gridSpan w:val="3"/>
            <w:noWrap/>
            <w:hideMark/>
          </w:tcPr>
          <w:p w14:paraId="3B73EB34" w14:textId="77777777" w:rsidR="00DE4516" w:rsidRPr="00A46ADC" w:rsidRDefault="00DE4516" w:rsidP="00DE4516">
            <w:pPr>
              <w:pStyle w:val="TableBody"/>
              <w:autoSpaceDE w:val="0"/>
              <w:autoSpaceDN w:val="0"/>
              <w:adjustRightInd w:val="0"/>
              <w:jc w:val="both"/>
              <w:rPr>
                <w:b/>
                <w:bCs/>
                <w:sz w:val="15"/>
                <w:szCs w:val="14"/>
              </w:rPr>
            </w:pPr>
            <w:r w:rsidRPr="00A46ADC">
              <w:rPr>
                <w:b/>
              </w:rPr>
              <w:t>Animal products ('000 tonnes)</w:t>
            </w:r>
          </w:p>
        </w:tc>
        <w:tc>
          <w:tcPr>
            <w:tcW w:w="992" w:type="dxa"/>
          </w:tcPr>
          <w:p w14:paraId="6912F651" w14:textId="77777777" w:rsidR="00DE4516" w:rsidRPr="00A46ADC" w:rsidRDefault="00DE4516" w:rsidP="00DE4516">
            <w:pPr>
              <w:pStyle w:val="TableBody"/>
              <w:autoSpaceDE w:val="0"/>
              <w:autoSpaceDN w:val="0"/>
              <w:adjustRightInd w:val="0"/>
              <w:jc w:val="both"/>
            </w:pPr>
          </w:p>
        </w:tc>
        <w:tc>
          <w:tcPr>
            <w:tcW w:w="1134" w:type="dxa"/>
          </w:tcPr>
          <w:p w14:paraId="178065C2" w14:textId="77777777" w:rsidR="00DE4516" w:rsidRPr="00A46ADC" w:rsidRDefault="00DE4516" w:rsidP="00DE4516">
            <w:pPr>
              <w:pStyle w:val="TableBody"/>
              <w:autoSpaceDE w:val="0"/>
              <w:autoSpaceDN w:val="0"/>
              <w:adjustRightInd w:val="0"/>
              <w:jc w:val="both"/>
            </w:pPr>
          </w:p>
        </w:tc>
        <w:tc>
          <w:tcPr>
            <w:tcW w:w="1134" w:type="dxa"/>
          </w:tcPr>
          <w:p w14:paraId="33CC7F45" w14:textId="77777777" w:rsidR="00DE4516" w:rsidRPr="00A46ADC" w:rsidRDefault="00DE4516" w:rsidP="00DE4516">
            <w:pPr>
              <w:pStyle w:val="TableBody"/>
              <w:autoSpaceDE w:val="0"/>
              <w:autoSpaceDN w:val="0"/>
              <w:adjustRightInd w:val="0"/>
              <w:jc w:val="both"/>
            </w:pPr>
          </w:p>
        </w:tc>
        <w:tc>
          <w:tcPr>
            <w:tcW w:w="1134" w:type="dxa"/>
          </w:tcPr>
          <w:p w14:paraId="473B51F5" w14:textId="77777777" w:rsidR="00DE4516" w:rsidRPr="00A46ADC" w:rsidRDefault="00DE4516" w:rsidP="00DE4516">
            <w:pPr>
              <w:pStyle w:val="TableBody"/>
              <w:autoSpaceDE w:val="0"/>
              <w:autoSpaceDN w:val="0"/>
              <w:adjustRightInd w:val="0"/>
              <w:jc w:val="both"/>
            </w:pPr>
          </w:p>
        </w:tc>
        <w:tc>
          <w:tcPr>
            <w:tcW w:w="1134" w:type="dxa"/>
          </w:tcPr>
          <w:p w14:paraId="49C40051" w14:textId="77777777" w:rsidR="00DE4516" w:rsidRPr="00A46ADC" w:rsidRDefault="00DE4516" w:rsidP="00DE4516">
            <w:pPr>
              <w:pStyle w:val="TableBody"/>
              <w:autoSpaceDE w:val="0"/>
              <w:autoSpaceDN w:val="0"/>
              <w:adjustRightInd w:val="0"/>
              <w:jc w:val="both"/>
            </w:pPr>
          </w:p>
        </w:tc>
      </w:tr>
      <w:tr w:rsidR="00DE4516" w:rsidRPr="00A260F0" w14:paraId="72991AD8" w14:textId="77777777" w:rsidTr="00A86160">
        <w:trPr>
          <w:cnfStyle w:val="000000010000" w:firstRow="0" w:lastRow="0" w:firstColumn="0" w:lastColumn="0" w:oddVBand="0" w:evenVBand="0" w:oddHBand="0" w:evenHBand="1" w:firstRowFirstColumn="0" w:firstRowLastColumn="0" w:lastRowFirstColumn="0" w:lastRowLastColumn="0"/>
        </w:trPr>
        <w:tc>
          <w:tcPr>
            <w:tcW w:w="1560" w:type="dxa"/>
            <w:noWrap/>
            <w:hideMark/>
          </w:tcPr>
          <w:p w14:paraId="465AF9DC"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Poultry</w:t>
            </w:r>
          </w:p>
        </w:tc>
        <w:tc>
          <w:tcPr>
            <w:tcW w:w="992" w:type="dxa"/>
            <w:noWrap/>
            <w:hideMark/>
          </w:tcPr>
          <w:p w14:paraId="2B3047A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43</w:t>
            </w:r>
          </w:p>
        </w:tc>
        <w:tc>
          <w:tcPr>
            <w:tcW w:w="992" w:type="dxa"/>
            <w:noWrap/>
            <w:hideMark/>
          </w:tcPr>
          <w:p w14:paraId="7639F6F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92</w:t>
            </w:r>
          </w:p>
        </w:tc>
        <w:tc>
          <w:tcPr>
            <w:tcW w:w="992" w:type="dxa"/>
            <w:noWrap/>
            <w:hideMark/>
          </w:tcPr>
          <w:p w14:paraId="28C409A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94</w:t>
            </w:r>
          </w:p>
        </w:tc>
        <w:tc>
          <w:tcPr>
            <w:tcW w:w="1134" w:type="dxa"/>
            <w:noWrap/>
            <w:hideMark/>
          </w:tcPr>
          <w:p w14:paraId="03B3B7E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111</w:t>
            </w:r>
          </w:p>
        </w:tc>
        <w:tc>
          <w:tcPr>
            <w:tcW w:w="1134" w:type="dxa"/>
            <w:noWrap/>
            <w:hideMark/>
          </w:tcPr>
          <w:p w14:paraId="20A3813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129</w:t>
            </w:r>
          </w:p>
        </w:tc>
        <w:tc>
          <w:tcPr>
            <w:tcW w:w="1134" w:type="dxa"/>
            <w:noWrap/>
            <w:hideMark/>
          </w:tcPr>
          <w:p w14:paraId="3BA0384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129</w:t>
            </w:r>
          </w:p>
        </w:tc>
        <w:tc>
          <w:tcPr>
            <w:tcW w:w="1134" w:type="dxa"/>
            <w:noWrap/>
          </w:tcPr>
          <w:p w14:paraId="0C9CB35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130</w:t>
            </w:r>
          </w:p>
        </w:tc>
      </w:tr>
      <w:tr w:rsidR="00DE4516" w:rsidRPr="00A260F0" w14:paraId="3D5EE859" w14:textId="77777777" w:rsidTr="00A86160">
        <w:tc>
          <w:tcPr>
            <w:tcW w:w="1560" w:type="dxa"/>
            <w:noWrap/>
            <w:hideMark/>
          </w:tcPr>
          <w:p w14:paraId="76A7D58A"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Red meat</w:t>
            </w:r>
          </w:p>
        </w:tc>
        <w:tc>
          <w:tcPr>
            <w:tcW w:w="992" w:type="dxa"/>
            <w:noWrap/>
            <w:hideMark/>
          </w:tcPr>
          <w:p w14:paraId="1FB7FFC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42</w:t>
            </w:r>
          </w:p>
        </w:tc>
        <w:tc>
          <w:tcPr>
            <w:tcW w:w="992" w:type="dxa"/>
            <w:noWrap/>
            <w:hideMark/>
          </w:tcPr>
          <w:p w14:paraId="70DB42E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43</w:t>
            </w:r>
          </w:p>
        </w:tc>
        <w:tc>
          <w:tcPr>
            <w:tcW w:w="992" w:type="dxa"/>
            <w:noWrap/>
            <w:hideMark/>
          </w:tcPr>
          <w:p w14:paraId="26A1EC0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44</w:t>
            </w:r>
          </w:p>
        </w:tc>
        <w:tc>
          <w:tcPr>
            <w:tcW w:w="1134" w:type="dxa"/>
            <w:noWrap/>
            <w:hideMark/>
          </w:tcPr>
          <w:p w14:paraId="2CE7F82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45</w:t>
            </w:r>
          </w:p>
        </w:tc>
        <w:tc>
          <w:tcPr>
            <w:tcW w:w="1134" w:type="dxa"/>
            <w:noWrap/>
            <w:hideMark/>
          </w:tcPr>
          <w:p w14:paraId="5A27811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46</w:t>
            </w:r>
          </w:p>
        </w:tc>
        <w:tc>
          <w:tcPr>
            <w:tcW w:w="1134" w:type="dxa"/>
            <w:noWrap/>
            <w:hideMark/>
          </w:tcPr>
          <w:p w14:paraId="38909E3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47</w:t>
            </w:r>
          </w:p>
        </w:tc>
        <w:tc>
          <w:tcPr>
            <w:tcW w:w="1134" w:type="dxa"/>
            <w:noWrap/>
          </w:tcPr>
          <w:p w14:paraId="1F132AD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48</w:t>
            </w:r>
          </w:p>
        </w:tc>
      </w:tr>
      <w:tr w:rsidR="00DE4516" w:rsidRPr="00A260F0" w14:paraId="0A470375" w14:textId="77777777" w:rsidTr="00A86160">
        <w:trPr>
          <w:cnfStyle w:val="000000010000" w:firstRow="0" w:lastRow="0" w:firstColumn="0" w:lastColumn="0" w:oddVBand="0" w:evenVBand="0" w:oddHBand="0" w:evenHBand="1" w:firstRowFirstColumn="0" w:firstRowLastColumn="0" w:lastRowFirstColumn="0" w:lastRowLastColumn="0"/>
        </w:trPr>
        <w:tc>
          <w:tcPr>
            <w:tcW w:w="1560" w:type="dxa"/>
            <w:noWrap/>
            <w:hideMark/>
          </w:tcPr>
          <w:p w14:paraId="7D04764B"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Dairy</w:t>
            </w:r>
          </w:p>
        </w:tc>
        <w:tc>
          <w:tcPr>
            <w:tcW w:w="992" w:type="dxa"/>
            <w:noWrap/>
            <w:hideMark/>
          </w:tcPr>
          <w:p w14:paraId="2F3B24E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91</w:t>
            </w:r>
          </w:p>
        </w:tc>
        <w:tc>
          <w:tcPr>
            <w:tcW w:w="992" w:type="dxa"/>
            <w:noWrap/>
            <w:hideMark/>
          </w:tcPr>
          <w:p w14:paraId="0B030C3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83</w:t>
            </w:r>
          </w:p>
        </w:tc>
        <w:tc>
          <w:tcPr>
            <w:tcW w:w="992" w:type="dxa"/>
            <w:noWrap/>
            <w:hideMark/>
          </w:tcPr>
          <w:p w14:paraId="0EF8FF4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87</w:t>
            </w:r>
          </w:p>
        </w:tc>
        <w:tc>
          <w:tcPr>
            <w:tcW w:w="1134" w:type="dxa"/>
            <w:noWrap/>
            <w:hideMark/>
          </w:tcPr>
          <w:p w14:paraId="0165804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97</w:t>
            </w:r>
          </w:p>
        </w:tc>
        <w:tc>
          <w:tcPr>
            <w:tcW w:w="1134" w:type="dxa"/>
            <w:noWrap/>
            <w:hideMark/>
          </w:tcPr>
          <w:p w14:paraId="2DF74D4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99</w:t>
            </w:r>
          </w:p>
        </w:tc>
        <w:tc>
          <w:tcPr>
            <w:tcW w:w="1134" w:type="dxa"/>
            <w:noWrap/>
            <w:hideMark/>
          </w:tcPr>
          <w:p w14:paraId="035C980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101</w:t>
            </w:r>
          </w:p>
        </w:tc>
        <w:tc>
          <w:tcPr>
            <w:tcW w:w="1134" w:type="dxa"/>
            <w:noWrap/>
          </w:tcPr>
          <w:p w14:paraId="1242085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215</w:t>
            </w:r>
          </w:p>
        </w:tc>
      </w:tr>
      <w:tr w:rsidR="00DE4516" w:rsidRPr="00A260F0" w14:paraId="22B748DD" w14:textId="77777777" w:rsidTr="00A86160">
        <w:tc>
          <w:tcPr>
            <w:tcW w:w="1560" w:type="dxa"/>
            <w:tcBorders>
              <w:bottom w:val="single" w:sz="4" w:space="0" w:color="auto"/>
            </w:tcBorders>
            <w:noWrap/>
            <w:hideMark/>
          </w:tcPr>
          <w:p w14:paraId="615C556A"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Eggs</w:t>
            </w:r>
          </w:p>
        </w:tc>
        <w:tc>
          <w:tcPr>
            <w:tcW w:w="992" w:type="dxa"/>
            <w:tcBorders>
              <w:bottom w:val="single" w:sz="4" w:space="0" w:color="auto"/>
            </w:tcBorders>
            <w:noWrap/>
            <w:hideMark/>
          </w:tcPr>
          <w:p w14:paraId="2E45A4A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285</w:t>
            </w:r>
          </w:p>
        </w:tc>
        <w:tc>
          <w:tcPr>
            <w:tcW w:w="992" w:type="dxa"/>
            <w:tcBorders>
              <w:bottom w:val="single" w:sz="4" w:space="0" w:color="auto"/>
            </w:tcBorders>
            <w:noWrap/>
            <w:hideMark/>
          </w:tcPr>
          <w:p w14:paraId="40CA746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342</w:t>
            </w:r>
          </w:p>
        </w:tc>
        <w:tc>
          <w:tcPr>
            <w:tcW w:w="992" w:type="dxa"/>
            <w:tcBorders>
              <w:bottom w:val="single" w:sz="4" w:space="0" w:color="auto"/>
            </w:tcBorders>
            <w:noWrap/>
            <w:hideMark/>
          </w:tcPr>
          <w:p w14:paraId="31E1910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364</w:t>
            </w:r>
          </w:p>
        </w:tc>
        <w:tc>
          <w:tcPr>
            <w:tcW w:w="1134" w:type="dxa"/>
            <w:tcBorders>
              <w:bottom w:val="single" w:sz="4" w:space="0" w:color="auto"/>
            </w:tcBorders>
            <w:noWrap/>
            <w:hideMark/>
          </w:tcPr>
          <w:p w14:paraId="3585970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397</w:t>
            </w:r>
          </w:p>
        </w:tc>
        <w:tc>
          <w:tcPr>
            <w:tcW w:w="1134" w:type="dxa"/>
            <w:tcBorders>
              <w:bottom w:val="single" w:sz="4" w:space="0" w:color="auto"/>
            </w:tcBorders>
            <w:noWrap/>
            <w:hideMark/>
          </w:tcPr>
          <w:p w14:paraId="6100C1E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427</w:t>
            </w:r>
          </w:p>
        </w:tc>
        <w:tc>
          <w:tcPr>
            <w:tcW w:w="1134" w:type="dxa"/>
            <w:tcBorders>
              <w:bottom w:val="single" w:sz="4" w:space="0" w:color="auto"/>
            </w:tcBorders>
            <w:noWrap/>
            <w:hideMark/>
          </w:tcPr>
          <w:p w14:paraId="751CE37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427</w:t>
            </w:r>
          </w:p>
        </w:tc>
        <w:tc>
          <w:tcPr>
            <w:tcW w:w="1134" w:type="dxa"/>
            <w:tcBorders>
              <w:bottom w:val="single" w:sz="4" w:space="0" w:color="auto"/>
            </w:tcBorders>
            <w:noWrap/>
          </w:tcPr>
          <w:p w14:paraId="704F067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476</w:t>
            </w:r>
          </w:p>
        </w:tc>
      </w:tr>
    </w:tbl>
    <w:p w14:paraId="14CA1E26" w14:textId="37C45A65" w:rsidR="00DE4516" w:rsidRDefault="00DE4516">
      <w:pPr>
        <w:pStyle w:val="TableSource"/>
        <w:autoSpaceDE w:val="0"/>
        <w:autoSpaceDN w:val="0"/>
        <w:adjustRightInd w:val="0"/>
        <w:rPr>
          <w:szCs w:val="24"/>
        </w:rPr>
      </w:pPr>
      <w:r>
        <w:rPr>
          <w:szCs w:val="24"/>
        </w:rPr>
        <w:t>Source:</w:t>
      </w:r>
      <w:r>
        <w:rPr>
          <w:szCs w:val="24"/>
        </w:rPr>
        <w:tab/>
        <w:t xml:space="preserve">National Centre for Statistics and Information, </w:t>
      </w:r>
      <w:r>
        <w:rPr>
          <w:i/>
          <w:szCs w:val="24"/>
        </w:rPr>
        <w:t>Agriculture and Livestock</w:t>
      </w:r>
      <w:r>
        <w:rPr>
          <w:szCs w:val="24"/>
        </w:rPr>
        <w:t xml:space="preserve">. Viewed at: </w:t>
      </w:r>
      <w:hyperlink r:id="rId23" w:history="1">
        <w:r w:rsidRPr="00A260F0">
          <w:rPr>
            <w:rStyle w:val="Hyperlink"/>
            <w:szCs w:val="24"/>
            <w:lang w:eastAsia="en-GB"/>
          </w:rPr>
          <w:t>h</w:t>
        </w:r>
        <w:r w:rsidRPr="00D5600E">
          <w:rPr>
            <w:color w:val="0000FF"/>
            <w:szCs w:val="24"/>
            <w:u w:val="single"/>
          </w:rPr>
          <w:t>ttps://data.gov.om/OMAGLS2016/agriculture-livestock</w:t>
        </w:r>
      </w:hyperlink>
      <w:r>
        <w:rPr>
          <w:szCs w:val="24"/>
          <w:u w:val="single"/>
        </w:rPr>
        <w:t>.</w:t>
      </w:r>
    </w:p>
    <w:p w14:paraId="28F355C6" w14:textId="77777777" w:rsidR="00DE4516" w:rsidRDefault="00DE4516">
      <w:pPr>
        <w:pStyle w:val="BodyText0"/>
        <w:autoSpaceDE w:val="0"/>
        <w:autoSpaceDN w:val="0"/>
        <w:adjustRightInd w:val="0"/>
        <w:rPr>
          <w:szCs w:val="24"/>
        </w:rPr>
      </w:pPr>
      <w:r>
        <w:rPr>
          <w:szCs w:val="24"/>
        </w:rPr>
        <w:t>During the review period, the spending of domestic support for the agriculture sector continued to decrease, except for 2015. The authorities note that the spending increase in 2015 was related to adjusting the irrigation system and the electrical voltage of the Najd project, where some problems arose; also, there were added expenses for the development of quarantine and veterinary quarantine capacity. All the support measures notified to the WTO belong to the Green Box. In 2019, spending was OMR 8.2 million, down from OMR 24.5 million in 2013 (</w:t>
      </w:r>
      <w:r>
        <w:rPr>
          <w:rStyle w:val="citetbl"/>
          <w:szCs w:val="24"/>
        </w:rPr>
        <w:t>Table 4.2</w:t>
      </w:r>
      <w:r>
        <w:rPr>
          <w:szCs w:val="24"/>
        </w:rPr>
        <w:t>).</w:t>
      </w:r>
    </w:p>
    <w:p w14:paraId="1A2E48BA" w14:textId="77777777" w:rsidR="00DE4516" w:rsidRDefault="00DE4516">
      <w:pPr>
        <w:pStyle w:val="TableTitle"/>
        <w:autoSpaceDE w:val="0"/>
        <w:autoSpaceDN w:val="0"/>
        <w:adjustRightInd w:val="0"/>
      </w:pPr>
      <w:r>
        <w:t>Table 4.2 Domestic support, 2013-19</w:t>
      </w:r>
    </w:p>
    <w:p w14:paraId="7CA8B918" w14:textId="77777777" w:rsidR="00DE4516" w:rsidRDefault="00DE4516">
      <w:pPr>
        <w:pStyle w:val="TableTitleCont"/>
        <w:autoSpaceDE w:val="0"/>
        <w:autoSpaceDN w:val="0"/>
        <w:adjustRightInd w:val="0"/>
        <w:rPr>
          <w:b/>
          <w:color w:val="006283"/>
        </w:rPr>
      </w:pPr>
      <w:r>
        <w:rPr>
          <w:b/>
          <w:color w:val="006283"/>
        </w:rPr>
        <w:t>('000 OMR)</w:t>
      </w:r>
    </w:p>
    <w:tbl>
      <w:tblPr>
        <w:tblStyle w:val="WTOTable1"/>
        <w:tblW w:w="5028" w:type="pct"/>
        <w:tblLayout w:type="fixed"/>
        <w:tblLook w:val="05E0" w:firstRow="1" w:lastRow="1" w:firstColumn="1" w:lastColumn="1" w:noHBand="0" w:noVBand="1"/>
      </w:tblPr>
      <w:tblGrid>
        <w:gridCol w:w="2831"/>
        <w:gridCol w:w="994"/>
        <w:gridCol w:w="850"/>
        <w:gridCol w:w="992"/>
        <w:gridCol w:w="852"/>
        <w:gridCol w:w="850"/>
        <w:gridCol w:w="850"/>
        <w:gridCol w:w="847"/>
      </w:tblGrid>
      <w:tr w:rsidR="00DE4516" w:rsidRPr="007F015E" w14:paraId="31C22FBE" w14:textId="77777777" w:rsidTr="00A86160">
        <w:trPr>
          <w:cnfStyle w:val="100000000000" w:firstRow="1" w:lastRow="0" w:firstColumn="0" w:lastColumn="0" w:oddVBand="0" w:evenVBand="0" w:oddHBand="0" w:evenHBand="0" w:firstRowFirstColumn="0" w:firstRowLastColumn="0" w:lastRowFirstColumn="0" w:lastRowLastColumn="0"/>
          <w:cantSplit/>
        </w:trPr>
        <w:tc>
          <w:tcPr>
            <w:tcW w:w="1561" w:type="pct"/>
            <w:tcBorders>
              <w:top w:val="single" w:sz="4" w:space="0" w:color="auto"/>
            </w:tcBorders>
            <w:noWrap/>
            <w:vAlign w:val="center"/>
            <w:hideMark/>
          </w:tcPr>
          <w:p w14:paraId="5F348423" w14:textId="77777777" w:rsidR="00DE4516" w:rsidRPr="007F015E" w:rsidRDefault="00DE4516" w:rsidP="00DE4516">
            <w:pPr>
              <w:pStyle w:val="TableHead"/>
              <w:autoSpaceDE w:val="0"/>
              <w:autoSpaceDN w:val="0"/>
              <w:adjustRightInd w:val="0"/>
              <w:rPr>
                <w:b/>
              </w:rPr>
            </w:pPr>
          </w:p>
        </w:tc>
        <w:tc>
          <w:tcPr>
            <w:tcW w:w="548" w:type="pct"/>
            <w:tcBorders>
              <w:top w:val="single" w:sz="4" w:space="0" w:color="auto"/>
            </w:tcBorders>
            <w:noWrap/>
            <w:vAlign w:val="center"/>
            <w:hideMark/>
          </w:tcPr>
          <w:p w14:paraId="7CBE1DA2"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2013</w:t>
            </w:r>
          </w:p>
        </w:tc>
        <w:tc>
          <w:tcPr>
            <w:tcW w:w="469" w:type="pct"/>
            <w:tcBorders>
              <w:top w:val="single" w:sz="4" w:space="0" w:color="auto"/>
            </w:tcBorders>
            <w:noWrap/>
            <w:vAlign w:val="center"/>
            <w:hideMark/>
          </w:tcPr>
          <w:p w14:paraId="2483D7C6"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2014</w:t>
            </w:r>
          </w:p>
        </w:tc>
        <w:tc>
          <w:tcPr>
            <w:tcW w:w="547" w:type="pct"/>
            <w:tcBorders>
              <w:top w:val="single" w:sz="4" w:space="0" w:color="auto"/>
            </w:tcBorders>
            <w:noWrap/>
            <w:vAlign w:val="center"/>
            <w:hideMark/>
          </w:tcPr>
          <w:p w14:paraId="70F98D96"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2015</w:t>
            </w:r>
          </w:p>
        </w:tc>
        <w:tc>
          <w:tcPr>
            <w:tcW w:w="470" w:type="pct"/>
            <w:tcBorders>
              <w:top w:val="single" w:sz="4" w:space="0" w:color="auto"/>
            </w:tcBorders>
            <w:noWrap/>
            <w:vAlign w:val="center"/>
            <w:hideMark/>
          </w:tcPr>
          <w:p w14:paraId="30B99859"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2016</w:t>
            </w:r>
          </w:p>
        </w:tc>
        <w:tc>
          <w:tcPr>
            <w:tcW w:w="469" w:type="pct"/>
            <w:tcBorders>
              <w:top w:val="single" w:sz="4" w:space="0" w:color="auto"/>
            </w:tcBorders>
            <w:noWrap/>
            <w:vAlign w:val="center"/>
            <w:hideMark/>
          </w:tcPr>
          <w:p w14:paraId="5B1654B0"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2017</w:t>
            </w:r>
          </w:p>
        </w:tc>
        <w:tc>
          <w:tcPr>
            <w:tcW w:w="469" w:type="pct"/>
            <w:tcBorders>
              <w:top w:val="single" w:sz="4" w:space="0" w:color="auto"/>
            </w:tcBorders>
            <w:noWrap/>
            <w:vAlign w:val="center"/>
            <w:hideMark/>
          </w:tcPr>
          <w:p w14:paraId="02BBD349"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2018</w:t>
            </w:r>
          </w:p>
        </w:tc>
        <w:tc>
          <w:tcPr>
            <w:tcW w:w="468" w:type="pct"/>
            <w:tcBorders>
              <w:top w:val="single" w:sz="4" w:space="0" w:color="auto"/>
            </w:tcBorders>
            <w:noWrap/>
            <w:vAlign w:val="center"/>
            <w:hideMark/>
          </w:tcPr>
          <w:p w14:paraId="7AA547D8"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2019</w:t>
            </w:r>
          </w:p>
        </w:tc>
      </w:tr>
      <w:tr w:rsidR="00DE4516" w:rsidRPr="00A260F0" w14:paraId="1501362E" w14:textId="77777777" w:rsidTr="00A86160">
        <w:trPr>
          <w:cantSplit/>
        </w:trPr>
        <w:tc>
          <w:tcPr>
            <w:tcW w:w="1561" w:type="pct"/>
            <w:noWrap/>
            <w:vAlign w:val="center"/>
            <w:hideMark/>
          </w:tcPr>
          <w:p w14:paraId="01AE69C3"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Agricultural research</w:t>
            </w:r>
          </w:p>
        </w:tc>
        <w:tc>
          <w:tcPr>
            <w:tcW w:w="548" w:type="pct"/>
            <w:noWrap/>
            <w:vAlign w:val="center"/>
            <w:hideMark/>
          </w:tcPr>
          <w:p w14:paraId="1B1C1A3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1,634.9</w:t>
            </w:r>
          </w:p>
        </w:tc>
        <w:tc>
          <w:tcPr>
            <w:tcW w:w="469" w:type="pct"/>
            <w:noWrap/>
            <w:vAlign w:val="center"/>
            <w:hideMark/>
          </w:tcPr>
          <w:p w14:paraId="202732B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1,792.6</w:t>
            </w:r>
          </w:p>
        </w:tc>
        <w:tc>
          <w:tcPr>
            <w:tcW w:w="547" w:type="pct"/>
            <w:noWrap/>
            <w:vAlign w:val="center"/>
            <w:hideMark/>
          </w:tcPr>
          <w:p w14:paraId="1AD1427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2,715.0</w:t>
            </w:r>
          </w:p>
        </w:tc>
        <w:tc>
          <w:tcPr>
            <w:tcW w:w="470" w:type="pct"/>
            <w:noWrap/>
            <w:vAlign w:val="center"/>
            <w:hideMark/>
          </w:tcPr>
          <w:p w14:paraId="68EF9A9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1,879.5</w:t>
            </w:r>
          </w:p>
        </w:tc>
        <w:tc>
          <w:tcPr>
            <w:tcW w:w="469" w:type="pct"/>
            <w:noWrap/>
            <w:vAlign w:val="center"/>
            <w:hideMark/>
          </w:tcPr>
          <w:p w14:paraId="4B0B222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1,427.8</w:t>
            </w:r>
          </w:p>
        </w:tc>
        <w:tc>
          <w:tcPr>
            <w:tcW w:w="469" w:type="pct"/>
            <w:noWrap/>
            <w:vAlign w:val="center"/>
            <w:hideMark/>
          </w:tcPr>
          <w:p w14:paraId="052AC11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1,053.8</w:t>
            </w:r>
          </w:p>
        </w:tc>
        <w:tc>
          <w:tcPr>
            <w:tcW w:w="468" w:type="pct"/>
            <w:noWrap/>
            <w:vAlign w:val="center"/>
          </w:tcPr>
          <w:p w14:paraId="543F21D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936.3</w:t>
            </w:r>
          </w:p>
        </w:tc>
      </w:tr>
      <w:tr w:rsidR="00DE4516" w:rsidRPr="00A260F0" w14:paraId="29FF957B"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561" w:type="pct"/>
            <w:noWrap/>
            <w:vAlign w:val="center"/>
            <w:hideMark/>
          </w:tcPr>
          <w:p w14:paraId="6A8841B9"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Pest and disease control</w:t>
            </w:r>
          </w:p>
        </w:tc>
        <w:tc>
          <w:tcPr>
            <w:tcW w:w="548" w:type="pct"/>
            <w:noWrap/>
            <w:vAlign w:val="center"/>
            <w:hideMark/>
          </w:tcPr>
          <w:p w14:paraId="084E4D3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647.4</w:t>
            </w:r>
          </w:p>
        </w:tc>
        <w:tc>
          <w:tcPr>
            <w:tcW w:w="469" w:type="pct"/>
            <w:noWrap/>
            <w:vAlign w:val="center"/>
            <w:hideMark/>
          </w:tcPr>
          <w:p w14:paraId="3EF43BB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1,796.7</w:t>
            </w:r>
          </w:p>
        </w:tc>
        <w:tc>
          <w:tcPr>
            <w:tcW w:w="547" w:type="pct"/>
            <w:noWrap/>
            <w:vAlign w:val="center"/>
            <w:hideMark/>
          </w:tcPr>
          <w:p w14:paraId="3AA409C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3,791.6</w:t>
            </w:r>
          </w:p>
        </w:tc>
        <w:tc>
          <w:tcPr>
            <w:tcW w:w="470" w:type="pct"/>
            <w:noWrap/>
            <w:vAlign w:val="center"/>
            <w:hideMark/>
          </w:tcPr>
          <w:p w14:paraId="42176AB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1,942.7</w:t>
            </w:r>
          </w:p>
        </w:tc>
        <w:tc>
          <w:tcPr>
            <w:tcW w:w="469" w:type="pct"/>
            <w:noWrap/>
            <w:vAlign w:val="center"/>
            <w:hideMark/>
          </w:tcPr>
          <w:p w14:paraId="17659F0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2,458.0</w:t>
            </w:r>
          </w:p>
        </w:tc>
        <w:tc>
          <w:tcPr>
            <w:tcW w:w="469" w:type="pct"/>
            <w:noWrap/>
            <w:vAlign w:val="center"/>
            <w:hideMark/>
          </w:tcPr>
          <w:p w14:paraId="3092EAB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2,745.7</w:t>
            </w:r>
          </w:p>
        </w:tc>
        <w:tc>
          <w:tcPr>
            <w:tcW w:w="468" w:type="pct"/>
            <w:noWrap/>
            <w:vAlign w:val="center"/>
          </w:tcPr>
          <w:p w14:paraId="0F43758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1,928.7</w:t>
            </w:r>
          </w:p>
        </w:tc>
      </w:tr>
      <w:tr w:rsidR="00DE4516" w:rsidRPr="00A260F0" w14:paraId="7250F6FC" w14:textId="77777777" w:rsidTr="00A86160">
        <w:trPr>
          <w:cantSplit/>
        </w:trPr>
        <w:tc>
          <w:tcPr>
            <w:tcW w:w="1561" w:type="pct"/>
            <w:noWrap/>
            <w:vAlign w:val="center"/>
            <w:hideMark/>
          </w:tcPr>
          <w:p w14:paraId="4D164B53"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Extension and advisory services</w:t>
            </w:r>
          </w:p>
        </w:tc>
        <w:tc>
          <w:tcPr>
            <w:tcW w:w="548" w:type="pct"/>
            <w:noWrap/>
            <w:vAlign w:val="center"/>
            <w:hideMark/>
          </w:tcPr>
          <w:p w14:paraId="6B549F7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5,069.6</w:t>
            </w:r>
          </w:p>
        </w:tc>
        <w:tc>
          <w:tcPr>
            <w:tcW w:w="469" w:type="pct"/>
            <w:noWrap/>
            <w:vAlign w:val="center"/>
            <w:hideMark/>
          </w:tcPr>
          <w:p w14:paraId="2876A32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2,533.8</w:t>
            </w:r>
          </w:p>
        </w:tc>
        <w:tc>
          <w:tcPr>
            <w:tcW w:w="547" w:type="pct"/>
            <w:noWrap/>
            <w:vAlign w:val="center"/>
            <w:hideMark/>
          </w:tcPr>
          <w:p w14:paraId="6A5DB9A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4,160.0</w:t>
            </w:r>
          </w:p>
        </w:tc>
        <w:tc>
          <w:tcPr>
            <w:tcW w:w="470" w:type="pct"/>
            <w:noWrap/>
            <w:vAlign w:val="center"/>
            <w:hideMark/>
          </w:tcPr>
          <w:p w14:paraId="28A8152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2,061.5</w:t>
            </w:r>
          </w:p>
        </w:tc>
        <w:tc>
          <w:tcPr>
            <w:tcW w:w="469" w:type="pct"/>
            <w:noWrap/>
            <w:vAlign w:val="center"/>
            <w:hideMark/>
          </w:tcPr>
          <w:p w14:paraId="533F8E8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1,075.5</w:t>
            </w:r>
          </w:p>
        </w:tc>
        <w:tc>
          <w:tcPr>
            <w:tcW w:w="469" w:type="pct"/>
            <w:noWrap/>
            <w:vAlign w:val="center"/>
            <w:hideMark/>
          </w:tcPr>
          <w:p w14:paraId="484C587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599.4</w:t>
            </w:r>
          </w:p>
        </w:tc>
        <w:tc>
          <w:tcPr>
            <w:tcW w:w="468" w:type="pct"/>
            <w:noWrap/>
            <w:vAlign w:val="center"/>
          </w:tcPr>
          <w:p w14:paraId="33EBA62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359.7</w:t>
            </w:r>
          </w:p>
        </w:tc>
      </w:tr>
      <w:tr w:rsidR="00DE4516" w:rsidRPr="00A260F0" w14:paraId="0593B575"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561" w:type="pct"/>
            <w:noWrap/>
            <w:vAlign w:val="center"/>
            <w:hideMark/>
          </w:tcPr>
          <w:p w14:paraId="272007D3"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Infrastructure</w:t>
            </w:r>
          </w:p>
        </w:tc>
        <w:tc>
          <w:tcPr>
            <w:tcW w:w="548" w:type="pct"/>
            <w:noWrap/>
            <w:vAlign w:val="center"/>
            <w:hideMark/>
          </w:tcPr>
          <w:p w14:paraId="12D9013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3,063.8</w:t>
            </w:r>
          </w:p>
        </w:tc>
        <w:tc>
          <w:tcPr>
            <w:tcW w:w="469" w:type="pct"/>
            <w:noWrap/>
            <w:vAlign w:val="center"/>
            <w:hideMark/>
          </w:tcPr>
          <w:p w14:paraId="2A118E5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1,074.8</w:t>
            </w:r>
          </w:p>
        </w:tc>
        <w:tc>
          <w:tcPr>
            <w:tcW w:w="547" w:type="pct"/>
            <w:noWrap/>
            <w:vAlign w:val="center"/>
            <w:hideMark/>
          </w:tcPr>
          <w:p w14:paraId="7E8DE81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2,607.3</w:t>
            </w:r>
          </w:p>
        </w:tc>
        <w:tc>
          <w:tcPr>
            <w:tcW w:w="470" w:type="pct"/>
            <w:noWrap/>
            <w:vAlign w:val="center"/>
            <w:hideMark/>
          </w:tcPr>
          <w:p w14:paraId="250D56F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1,488.1</w:t>
            </w:r>
          </w:p>
        </w:tc>
        <w:tc>
          <w:tcPr>
            <w:tcW w:w="469" w:type="pct"/>
            <w:noWrap/>
            <w:vAlign w:val="center"/>
            <w:hideMark/>
          </w:tcPr>
          <w:p w14:paraId="0BCE9DA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961.8</w:t>
            </w:r>
          </w:p>
        </w:tc>
        <w:tc>
          <w:tcPr>
            <w:tcW w:w="469" w:type="pct"/>
            <w:noWrap/>
            <w:vAlign w:val="center"/>
            <w:hideMark/>
          </w:tcPr>
          <w:p w14:paraId="1082A13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968.3</w:t>
            </w:r>
          </w:p>
        </w:tc>
        <w:tc>
          <w:tcPr>
            <w:tcW w:w="468" w:type="pct"/>
            <w:noWrap/>
            <w:vAlign w:val="center"/>
          </w:tcPr>
          <w:p w14:paraId="7E6F0EB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353.2</w:t>
            </w:r>
          </w:p>
        </w:tc>
      </w:tr>
      <w:tr w:rsidR="00DE4516" w:rsidRPr="00A260F0" w14:paraId="4CB894F5" w14:textId="77777777" w:rsidTr="00A86160">
        <w:trPr>
          <w:cantSplit/>
        </w:trPr>
        <w:tc>
          <w:tcPr>
            <w:tcW w:w="1561" w:type="pct"/>
            <w:noWrap/>
            <w:vAlign w:val="center"/>
            <w:hideMark/>
          </w:tcPr>
          <w:p w14:paraId="0EA50779"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General services</w:t>
            </w:r>
          </w:p>
        </w:tc>
        <w:tc>
          <w:tcPr>
            <w:tcW w:w="548" w:type="pct"/>
            <w:noWrap/>
            <w:vAlign w:val="center"/>
            <w:hideMark/>
          </w:tcPr>
          <w:p w14:paraId="6C1C68B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10,599.8</w:t>
            </w:r>
          </w:p>
        </w:tc>
        <w:tc>
          <w:tcPr>
            <w:tcW w:w="469" w:type="pct"/>
            <w:noWrap/>
            <w:vAlign w:val="center"/>
            <w:hideMark/>
          </w:tcPr>
          <w:p w14:paraId="18EB65A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7,510.7</w:t>
            </w:r>
          </w:p>
        </w:tc>
        <w:tc>
          <w:tcPr>
            <w:tcW w:w="547" w:type="pct"/>
            <w:noWrap/>
            <w:vAlign w:val="center"/>
            <w:hideMark/>
          </w:tcPr>
          <w:p w14:paraId="19A720F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13,514.9</w:t>
            </w:r>
          </w:p>
        </w:tc>
        <w:tc>
          <w:tcPr>
            <w:tcW w:w="470" w:type="pct"/>
            <w:noWrap/>
            <w:vAlign w:val="center"/>
            <w:hideMark/>
          </w:tcPr>
          <w:p w14:paraId="3BA87C2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7,761.6</w:t>
            </w:r>
          </w:p>
        </w:tc>
        <w:tc>
          <w:tcPr>
            <w:tcW w:w="469" w:type="pct"/>
            <w:noWrap/>
            <w:vAlign w:val="center"/>
            <w:hideMark/>
          </w:tcPr>
          <w:p w14:paraId="49AF7E2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5,996.6</w:t>
            </w:r>
          </w:p>
        </w:tc>
        <w:tc>
          <w:tcPr>
            <w:tcW w:w="469" w:type="pct"/>
            <w:noWrap/>
            <w:vAlign w:val="center"/>
            <w:hideMark/>
          </w:tcPr>
          <w:p w14:paraId="6C88129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5,488.0</w:t>
            </w:r>
          </w:p>
        </w:tc>
        <w:tc>
          <w:tcPr>
            <w:tcW w:w="468" w:type="pct"/>
            <w:noWrap/>
            <w:vAlign w:val="center"/>
          </w:tcPr>
          <w:p w14:paraId="3B3DCB9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3,779.7</w:t>
            </w:r>
          </w:p>
        </w:tc>
      </w:tr>
      <w:tr w:rsidR="00DE4516" w:rsidRPr="00A260F0" w14:paraId="043D0BB8"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561" w:type="pct"/>
            <w:tcBorders>
              <w:bottom w:val="single" w:sz="4" w:space="0" w:color="auto"/>
            </w:tcBorders>
            <w:noWrap/>
            <w:vAlign w:val="center"/>
            <w:hideMark/>
          </w:tcPr>
          <w:p w14:paraId="603755D1"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Development programmes</w:t>
            </w:r>
          </w:p>
        </w:tc>
        <w:tc>
          <w:tcPr>
            <w:tcW w:w="548" w:type="pct"/>
            <w:tcBorders>
              <w:bottom w:val="single" w:sz="4" w:space="0" w:color="auto"/>
            </w:tcBorders>
            <w:noWrap/>
            <w:vAlign w:val="center"/>
            <w:hideMark/>
          </w:tcPr>
          <w:p w14:paraId="45E4127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3,636.5</w:t>
            </w:r>
          </w:p>
        </w:tc>
        <w:tc>
          <w:tcPr>
            <w:tcW w:w="469" w:type="pct"/>
            <w:tcBorders>
              <w:bottom w:val="single" w:sz="4" w:space="0" w:color="auto"/>
            </w:tcBorders>
            <w:noWrap/>
            <w:vAlign w:val="center"/>
            <w:hideMark/>
          </w:tcPr>
          <w:p w14:paraId="59A5030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4,458.9</w:t>
            </w:r>
          </w:p>
        </w:tc>
        <w:tc>
          <w:tcPr>
            <w:tcW w:w="547" w:type="pct"/>
            <w:tcBorders>
              <w:bottom w:val="single" w:sz="4" w:space="0" w:color="auto"/>
            </w:tcBorders>
            <w:noWrap/>
            <w:vAlign w:val="center"/>
            <w:hideMark/>
          </w:tcPr>
          <w:p w14:paraId="2A72B67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2,673.0</w:t>
            </w:r>
          </w:p>
        </w:tc>
        <w:tc>
          <w:tcPr>
            <w:tcW w:w="470" w:type="pct"/>
            <w:tcBorders>
              <w:bottom w:val="single" w:sz="4" w:space="0" w:color="auto"/>
            </w:tcBorders>
            <w:noWrap/>
            <w:vAlign w:val="center"/>
            <w:hideMark/>
          </w:tcPr>
          <w:p w14:paraId="0DCE6AD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2,438.0</w:t>
            </w:r>
          </w:p>
        </w:tc>
        <w:tc>
          <w:tcPr>
            <w:tcW w:w="469" w:type="pct"/>
            <w:tcBorders>
              <w:bottom w:val="single" w:sz="4" w:space="0" w:color="auto"/>
            </w:tcBorders>
            <w:noWrap/>
            <w:vAlign w:val="center"/>
            <w:hideMark/>
          </w:tcPr>
          <w:p w14:paraId="42E586C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2,240.1</w:t>
            </w:r>
          </w:p>
        </w:tc>
        <w:tc>
          <w:tcPr>
            <w:tcW w:w="469" w:type="pct"/>
            <w:tcBorders>
              <w:bottom w:val="single" w:sz="4" w:space="0" w:color="auto"/>
            </w:tcBorders>
            <w:noWrap/>
            <w:vAlign w:val="center"/>
            <w:hideMark/>
          </w:tcPr>
          <w:p w14:paraId="7A6F935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1,309.1</w:t>
            </w:r>
          </w:p>
        </w:tc>
        <w:tc>
          <w:tcPr>
            <w:tcW w:w="468" w:type="pct"/>
            <w:tcBorders>
              <w:bottom w:val="single" w:sz="4" w:space="0" w:color="auto"/>
            </w:tcBorders>
            <w:noWrap/>
            <w:vAlign w:val="center"/>
            <w:hideMark/>
          </w:tcPr>
          <w:p w14:paraId="2574932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890.2</w:t>
            </w:r>
          </w:p>
        </w:tc>
      </w:tr>
    </w:tbl>
    <w:p w14:paraId="0D000E67" w14:textId="2745DF73" w:rsidR="00DE4516" w:rsidRDefault="00DE4516">
      <w:pPr>
        <w:pStyle w:val="TableSource"/>
        <w:autoSpaceDE w:val="0"/>
        <w:autoSpaceDN w:val="0"/>
        <w:adjustRightInd w:val="0"/>
        <w:rPr>
          <w:szCs w:val="24"/>
        </w:rPr>
      </w:pPr>
      <w:r>
        <w:rPr>
          <w:szCs w:val="24"/>
        </w:rPr>
        <w:t>Source:</w:t>
      </w:r>
      <w:r>
        <w:rPr>
          <w:szCs w:val="24"/>
        </w:rPr>
        <w:tab/>
        <w:t>WTO documents G/AG/N/OMN/12, 20 June 2014, to G/AG/N/OMN/25, 31 July 2019; and information provided by the authorities.</w:t>
      </w:r>
    </w:p>
    <w:p w14:paraId="56354FE5" w14:textId="77777777" w:rsidR="00DE4516" w:rsidRDefault="00DE4516">
      <w:pPr>
        <w:pStyle w:val="BodyText0"/>
        <w:autoSpaceDE w:val="0"/>
        <w:autoSpaceDN w:val="0"/>
        <w:adjustRightInd w:val="0"/>
        <w:rPr>
          <w:szCs w:val="24"/>
        </w:rPr>
      </w:pPr>
      <w:r>
        <w:rPr>
          <w:szCs w:val="24"/>
        </w:rPr>
        <w:t xml:space="preserve">Businesses in agriculture, livestock, and fisheries may apply for a soft loan from the Oman Development Bank (ODB) for their projects, up to OMR 1 million per project (Section 3.3.1). According to the authorities, the deployment of soft loans decreased from OMR 1.98 million in </w:t>
      </w:r>
      <w:r>
        <w:rPr>
          <w:szCs w:val="24"/>
        </w:rPr>
        <w:lastRenderedPageBreak/>
        <w:t xml:space="preserve">2013 to 0.88 million in 2018. In October 2017, Oman introduced its first ever agriculture insurance; the insurance not only covers farmers against the loss or damage to agriculture crops and greenhouses, but also extends to livestock and fishermen. The insurance line is provided by four domestic </w:t>
      </w:r>
      <w:proofErr w:type="gramStart"/>
      <w:r>
        <w:rPr>
          <w:szCs w:val="24"/>
        </w:rPr>
        <w:t>insurers, and</w:t>
      </w:r>
      <w:proofErr w:type="gramEnd"/>
      <w:r>
        <w:rPr>
          <w:szCs w:val="24"/>
        </w:rPr>
        <w:t xml:space="preserve"> is reinsured by Oman Reinsurance Company.</w:t>
      </w:r>
    </w:p>
    <w:p w14:paraId="5646F329" w14:textId="77777777" w:rsidR="00DE4516" w:rsidRDefault="00DE4516">
      <w:pPr>
        <w:pStyle w:val="BodyText0"/>
        <w:autoSpaceDE w:val="0"/>
        <w:autoSpaceDN w:val="0"/>
        <w:adjustRightInd w:val="0"/>
        <w:rPr>
          <w:szCs w:val="24"/>
        </w:rPr>
      </w:pPr>
      <w:r>
        <w:rPr>
          <w:szCs w:val="24"/>
        </w:rPr>
        <w:t>Agricultural land ownership is exclusively for Omanis.</w:t>
      </w:r>
      <w:r w:rsidRPr="00DE4516">
        <w:rPr>
          <w:rStyle w:val="FootnoteReference"/>
        </w:rPr>
        <w:footnoteReference w:id="211"/>
      </w:r>
    </w:p>
    <w:p w14:paraId="7AEB461B" w14:textId="77777777" w:rsidR="00DE4516" w:rsidRDefault="00DE4516">
      <w:pPr>
        <w:pStyle w:val="BodyText0"/>
        <w:autoSpaceDE w:val="0"/>
        <w:autoSpaceDN w:val="0"/>
        <w:adjustRightInd w:val="0"/>
        <w:rPr>
          <w:szCs w:val="24"/>
        </w:rPr>
      </w:pPr>
      <w:r>
        <w:rPr>
          <w:szCs w:val="24"/>
        </w:rPr>
        <w:t>Oman does not maintain tariff quotas or quantitative restrictions measures on agricultural products; the average MFN tariff rate for WTO-defined agricultural products is 10.2% in 2021, while the tariff is bound at 27.7% (</w:t>
      </w:r>
      <w:r>
        <w:rPr>
          <w:rStyle w:val="citetbl"/>
          <w:szCs w:val="24"/>
        </w:rPr>
        <w:t>Table 3.1</w:t>
      </w:r>
      <w:r>
        <w:rPr>
          <w:szCs w:val="24"/>
        </w:rPr>
        <w:t>). Oman also notified that it does not provide export subsidies to agricultural products.</w:t>
      </w:r>
      <w:r w:rsidRPr="00DE4516">
        <w:rPr>
          <w:rStyle w:val="FootnoteReference"/>
        </w:rPr>
        <w:footnoteReference w:id="212"/>
      </w:r>
    </w:p>
    <w:p w14:paraId="2EED6E53" w14:textId="77777777" w:rsidR="00DE4516" w:rsidRDefault="00DE4516">
      <w:pPr>
        <w:pStyle w:val="BodyText0"/>
        <w:autoSpaceDE w:val="0"/>
        <w:autoSpaceDN w:val="0"/>
        <w:adjustRightInd w:val="0"/>
        <w:rPr>
          <w:szCs w:val="24"/>
        </w:rPr>
      </w:pPr>
      <w:r>
        <w:rPr>
          <w:szCs w:val="24"/>
        </w:rPr>
        <w:t xml:space="preserve">Fisheries, as one of the five priority sectors identified in the National Programme for Enhancing Economic Diversification (also known as the </w:t>
      </w:r>
      <w:proofErr w:type="spellStart"/>
      <w:r>
        <w:rPr>
          <w:szCs w:val="24"/>
        </w:rPr>
        <w:t>Tanfeedh</w:t>
      </w:r>
      <w:proofErr w:type="spellEnd"/>
      <w:r>
        <w:rPr>
          <w:szCs w:val="24"/>
        </w:rPr>
        <w:t xml:space="preserve"> programme), began to grow during the review period. The sector policy is defined in the National Fisheries Development Strategy (2013-2020), with an aim of enhancing production, increasing the sector's efficiency, and protecting natural resources. Priorities in the Strategy include ensuring fish supply for local demand, improving the usage of fish reserves, and encouraging private investment in maritime and aquaculture industries.</w:t>
      </w:r>
    </w:p>
    <w:p w14:paraId="65AE2B02" w14:textId="77777777" w:rsidR="00DE4516" w:rsidRDefault="00DE4516">
      <w:pPr>
        <w:pStyle w:val="BodyText0"/>
        <w:autoSpaceDE w:val="0"/>
        <w:autoSpaceDN w:val="0"/>
        <w:adjustRightInd w:val="0"/>
        <w:rPr>
          <w:szCs w:val="24"/>
        </w:rPr>
      </w:pPr>
      <w:r>
        <w:rPr>
          <w:szCs w:val="24"/>
        </w:rPr>
        <w:t xml:space="preserve">Oman's fish stock includes, </w:t>
      </w:r>
      <w:r>
        <w:rPr>
          <w:i/>
          <w:szCs w:val="24"/>
        </w:rPr>
        <w:t>inter alia</w:t>
      </w:r>
      <w:r>
        <w:rPr>
          <w:szCs w:val="24"/>
        </w:rPr>
        <w:t>, large pelagic, small pelagic, and demersal. During the review period, the fisheries sector grew strongly – the fish catches increased almost threefold. In 2020, Oman landed 840,378 tonnes of fish, up from 211,314 tonnes in 2013. Oman's fish harvest has been dominated by artisanal fishing using small crafts. More than 90% of production was from traditional fishermen and coastal fishing; commercial fishing did not account for a significant share until 2019 (</w:t>
      </w:r>
      <w:r>
        <w:rPr>
          <w:rStyle w:val="citetbl"/>
          <w:szCs w:val="24"/>
        </w:rPr>
        <w:t>Table 4.3</w:t>
      </w:r>
      <w:r>
        <w:rPr>
          <w:szCs w:val="24"/>
        </w:rPr>
        <w:t>).</w:t>
      </w:r>
    </w:p>
    <w:p w14:paraId="65B4E928" w14:textId="77777777" w:rsidR="00DE4516" w:rsidRDefault="00DE4516">
      <w:pPr>
        <w:pStyle w:val="TableTitle"/>
        <w:autoSpaceDE w:val="0"/>
        <w:autoSpaceDN w:val="0"/>
        <w:adjustRightInd w:val="0"/>
      </w:pPr>
      <w:r>
        <w:t>Table 4.3 Selected indicators of fisheries, 2014-20</w:t>
      </w:r>
    </w:p>
    <w:p w14:paraId="68617FEA" w14:textId="77777777" w:rsidR="00DE4516" w:rsidRDefault="00DE4516">
      <w:pPr>
        <w:pStyle w:val="TableTitleCont"/>
        <w:autoSpaceDE w:val="0"/>
        <w:autoSpaceDN w:val="0"/>
        <w:adjustRightInd w:val="0"/>
        <w:rPr>
          <w:b/>
          <w:color w:val="006283"/>
        </w:rPr>
      </w:pPr>
      <w:r>
        <w:rPr>
          <w:b/>
          <w:color w:val="006283"/>
        </w:rPr>
        <w:t>(tonnes)</w:t>
      </w:r>
    </w:p>
    <w:tbl>
      <w:tblPr>
        <w:tblStyle w:val="WTOTable1"/>
        <w:tblW w:w="5000" w:type="pct"/>
        <w:tblLook w:val="05E0" w:firstRow="1" w:lastRow="1" w:firstColumn="1" w:lastColumn="1" w:noHBand="0" w:noVBand="1"/>
      </w:tblPr>
      <w:tblGrid>
        <w:gridCol w:w="2206"/>
        <w:gridCol w:w="972"/>
        <w:gridCol w:w="972"/>
        <w:gridCol w:w="972"/>
        <w:gridCol w:w="972"/>
        <w:gridCol w:w="973"/>
        <w:gridCol w:w="973"/>
        <w:gridCol w:w="976"/>
      </w:tblGrid>
      <w:tr w:rsidR="00DE4516" w:rsidRPr="007F015E" w14:paraId="0FEA6303" w14:textId="77777777" w:rsidTr="00A86160">
        <w:trPr>
          <w:cnfStyle w:val="100000000000" w:firstRow="1" w:lastRow="0" w:firstColumn="0" w:lastColumn="0" w:oddVBand="0" w:evenVBand="0" w:oddHBand="0" w:evenHBand="0" w:firstRowFirstColumn="0" w:firstRowLastColumn="0" w:lastRowFirstColumn="0" w:lastRowLastColumn="0"/>
          <w:cantSplit/>
        </w:trPr>
        <w:tc>
          <w:tcPr>
            <w:tcW w:w="1176" w:type="pct"/>
            <w:tcBorders>
              <w:top w:val="single" w:sz="4" w:space="0" w:color="auto"/>
            </w:tcBorders>
            <w:noWrap/>
            <w:vAlign w:val="center"/>
            <w:hideMark/>
          </w:tcPr>
          <w:p w14:paraId="4E2A2FBF" w14:textId="77777777" w:rsidR="00DE4516" w:rsidRPr="007F015E" w:rsidRDefault="00DE4516" w:rsidP="00DE4516">
            <w:pPr>
              <w:pStyle w:val="TableHead"/>
              <w:autoSpaceDE w:val="0"/>
              <w:autoSpaceDN w:val="0"/>
              <w:adjustRightInd w:val="0"/>
              <w:rPr>
                <w:b/>
              </w:rPr>
            </w:pPr>
          </w:p>
        </w:tc>
        <w:tc>
          <w:tcPr>
            <w:tcW w:w="546" w:type="pct"/>
            <w:tcBorders>
              <w:top w:val="single" w:sz="4" w:space="0" w:color="auto"/>
            </w:tcBorders>
            <w:noWrap/>
            <w:vAlign w:val="center"/>
            <w:hideMark/>
          </w:tcPr>
          <w:p w14:paraId="43768D6D"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2014</w:t>
            </w:r>
          </w:p>
        </w:tc>
        <w:tc>
          <w:tcPr>
            <w:tcW w:w="546" w:type="pct"/>
            <w:tcBorders>
              <w:top w:val="single" w:sz="4" w:space="0" w:color="auto"/>
            </w:tcBorders>
            <w:noWrap/>
            <w:vAlign w:val="center"/>
            <w:hideMark/>
          </w:tcPr>
          <w:p w14:paraId="361C5CAD"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2015</w:t>
            </w:r>
          </w:p>
        </w:tc>
        <w:tc>
          <w:tcPr>
            <w:tcW w:w="546" w:type="pct"/>
            <w:tcBorders>
              <w:top w:val="single" w:sz="4" w:space="0" w:color="auto"/>
            </w:tcBorders>
            <w:noWrap/>
            <w:vAlign w:val="center"/>
            <w:hideMark/>
          </w:tcPr>
          <w:p w14:paraId="791C16A9"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2016</w:t>
            </w:r>
          </w:p>
        </w:tc>
        <w:tc>
          <w:tcPr>
            <w:tcW w:w="546" w:type="pct"/>
            <w:tcBorders>
              <w:top w:val="single" w:sz="4" w:space="0" w:color="auto"/>
            </w:tcBorders>
            <w:noWrap/>
            <w:vAlign w:val="center"/>
            <w:hideMark/>
          </w:tcPr>
          <w:p w14:paraId="459E4BFA"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2017</w:t>
            </w:r>
          </w:p>
        </w:tc>
        <w:tc>
          <w:tcPr>
            <w:tcW w:w="546" w:type="pct"/>
            <w:tcBorders>
              <w:top w:val="single" w:sz="4" w:space="0" w:color="auto"/>
            </w:tcBorders>
            <w:noWrap/>
            <w:vAlign w:val="center"/>
            <w:hideMark/>
          </w:tcPr>
          <w:p w14:paraId="64D595F4"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2018</w:t>
            </w:r>
          </w:p>
        </w:tc>
        <w:tc>
          <w:tcPr>
            <w:tcW w:w="546" w:type="pct"/>
            <w:tcBorders>
              <w:top w:val="single" w:sz="4" w:space="0" w:color="auto"/>
            </w:tcBorders>
            <w:noWrap/>
            <w:vAlign w:val="center"/>
            <w:hideMark/>
          </w:tcPr>
          <w:p w14:paraId="70E68D33"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2019</w:t>
            </w:r>
          </w:p>
        </w:tc>
        <w:tc>
          <w:tcPr>
            <w:tcW w:w="548" w:type="pct"/>
            <w:tcBorders>
              <w:top w:val="single" w:sz="4" w:space="0" w:color="auto"/>
            </w:tcBorders>
            <w:noWrap/>
            <w:vAlign w:val="center"/>
            <w:hideMark/>
          </w:tcPr>
          <w:p w14:paraId="57C3DC61"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2020</w:t>
            </w:r>
          </w:p>
        </w:tc>
      </w:tr>
      <w:tr w:rsidR="00DE4516" w:rsidRPr="00A260F0" w14:paraId="4A446E7E" w14:textId="77777777" w:rsidTr="00A86160">
        <w:trPr>
          <w:cantSplit/>
        </w:trPr>
        <w:tc>
          <w:tcPr>
            <w:tcW w:w="5000" w:type="pct"/>
            <w:gridSpan w:val="8"/>
            <w:noWrap/>
            <w:vAlign w:val="center"/>
            <w:hideMark/>
          </w:tcPr>
          <w:p w14:paraId="2DE5218A" w14:textId="77777777" w:rsidR="00DE4516" w:rsidRPr="00A46ADC" w:rsidRDefault="00DE4516" w:rsidP="00DE4516">
            <w:pPr>
              <w:pStyle w:val="TableBody"/>
              <w:autoSpaceDE w:val="0"/>
              <w:autoSpaceDN w:val="0"/>
              <w:adjustRightInd w:val="0"/>
              <w:jc w:val="both"/>
              <w:rPr>
                <w:b/>
                <w:sz w:val="15"/>
                <w:szCs w:val="15"/>
              </w:rPr>
            </w:pPr>
            <w:r w:rsidRPr="00A46ADC">
              <w:rPr>
                <w:b/>
              </w:rPr>
              <w:t>Fish landed</w:t>
            </w:r>
          </w:p>
        </w:tc>
      </w:tr>
      <w:tr w:rsidR="00DE4516" w:rsidRPr="00A260F0" w14:paraId="3BD77838"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176" w:type="pct"/>
            <w:noWrap/>
            <w:vAlign w:val="center"/>
            <w:hideMark/>
          </w:tcPr>
          <w:p w14:paraId="3E4FBCED"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Commercial fishing</w:t>
            </w:r>
          </w:p>
        </w:tc>
        <w:tc>
          <w:tcPr>
            <w:tcW w:w="546" w:type="pct"/>
            <w:noWrap/>
            <w:vAlign w:val="center"/>
            <w:hideMark/>
          </w:tcPr>
          <w:p w14:paraId="140FB22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590</w:t>
            </w:r>
          </w:p>
        </w:tc>
        <w:tc>
          <w:tcPr>
            <w:tcW w:w="546" w:type="pct"/>
            <w:noWrap/>
            <w:vAlign w:val="center"/>
            <w:hideMark/>
          </w:tcPr>
          <w:p w14:paraId="39335FA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210</w:t>
            </w:r>
          </w:p>
        </w:tc>
        <w:tc>
          <w:tcPr>
            <w:tcW w:w="546" w:type="pct"/>
            <w:noWrap/>
            <w:vAlign w:val="center"/>
            <w:hideMark/>
          </w:tcPr>
          <w:p w14:paraId="02E8AA4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163</w:t>
            </w:r>
          </w:p>
        </w:tc>
        <w:tc>
          <w:tcPr>
            <w:tcW w:w="546" w:type="pct"/>
            <w:noWrap/>
            <w:vAlign w:val="center"/>
            <w:hideMark/>
          </w:tcPr>
          <w:p w14:paraId="32D9839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398</w:t>
            </w:r>
          </w:p>
        </w:tc>
        <w:tc>
          <w:tcPr>
            <w:tcW w:w="546" w:type="pct"/>
            <w:noWrap/>
            <w:vAlign w:val="center"/>
            <w:hideMark/>
          </w:tcPr>
          <w:p w14:paraId="5D9A263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413</w:t>
            </w:r>
          </w:p>
        </w:tc>
        <w:tc>
          <w:tcPr>
            <w:tcW w:w="546" w:type="pct"/>
            <w:noWrap/>
            <w:vAlign w:val="center"/>
            <w:hideMark/>
          </w:tcPr>
          <w:p w14:paraId="7DB95EE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20,055</w:t>
            </w:r>
          </w:p>
        </w:tc>
        <w:tc>
          <w:tcPr>
            <w:tcW w:w="548" w:type="pct"/>
            <w:noWrap/>
            <w:vAlign w:val="center"/>
            <w:hideMark/>
          </w:tcPr>
          <w:p w14:paraId="4B7AA9F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41,363</w:t>
            </w:r>
          </w:p>
        </w:tc>
      </w:tr>
      <w:tr w:rsidR="00DE4516" w:rsidRPr="00A260F0" w14:paraId="52DF0AC3" w14:textId="77777777" w:rsidTr="00A86160">
        <w:trPr>
          <w:cantSplit/>
        </w:trPr>
        <w:tc>
          <w:tcPr>
            <w:tcW w:w="1176" w:type="pct"/>
            <w:noWrap/>
            <w:vAlign w:val="center"/>
            <w:hideMark/>
          </w:tcPr>
          <w:p w14:paraId="542BD01D"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Traditional fishermen</w:t>
            </w:r>
          </w:p>
        </w:tc>
        <w:tc>
          <w:tcPr>
            <w:tcW w:w="546" w:type="pct"/>
            <w:noWrap/>
            <w:vAlign w:val="center"/>
            <w:hideMark/>
          </w:tcPr>
          <w:p w14:paraId="2FDBC53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207,824</w:t>
            </w:r>
          </w:p>
        </w:tc>
        <w:tc>
          <w:tcPr>
            <w:tcW w:w="546" w:type="pct"/>
            <w:noWrap/>
            <w:vAlign w:val="center"/>
            <w:hideMark/>
          </w:tcPr>
          <w:p w14:paraId="1D29E9A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254,767</w:t>
            </w:r>
          </w:p>
        </w:tc>
        <w:tc>
          <w:tcPr>
            <w:tcW w:w="546" w:type="pct"/>
            <w:noWrap/>
            <w:vAlign w:val="center"/>
            <w:hideMark/>
          </w:tcPr>
          <w:p w14:paraId="6BF4C21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277,014</w:t>
            </w:r>
          </w:p>
        </w:tc>
        <w:tc>
          <w:tcPr>
            <w:tcW w:w="546" w:type="pct"/>
            <w:noWrap/>
            <w:vAlign w:val="center"/>
            <w:hideMark/>
          </w:tcPr>
          <w:p w14:paraId="27C6EF2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343,926</w:t>
            </w:r>
          </w:p>
        </w:tc>
        <w:tc>
          <w:tcPr>
            <w:tcW w:w="546" w:type="pct"/>
            <w:noWrap/>
            <w:vAlign w:val="center"/>
            <w:hideMark/>
          </w:tcPr>
          <w:p w14:paraId="15D2973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548,672</w:t>
            </w:r>
          </w:p>
        </w:tc>
        <w:tc>
          <w:tcPr>
            <w:tcW w:w="546" w:type="pct"/>
            <w:noWrap/>
            <w:vAlign w:val="center"/>
            <w:hideMark/>
          </w:tcPr>
          <w:p w14:paraId="4B01161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555,210</w:t>
            </w:r>
          </w:p>
        </w:tc>
        <w:tc>
          <w:tcPr>
            <w:tcW w:w="548" w:type="pct"/>
            <w:noWrap/>
            <w:vAlign w:val="center"/>
            <w:hideMark/>
          </w:tcPr>
          <w:p w14:paraId="03B85D4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793,419</w:t>
            </w:r>
          </w:p>
        </w:tc>
      </w:tr>
      <w:tr w:rsidR="00DE4516" w:rsidRPr="00A260F0" w14:paraId="28ED14D5"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176" w:type="pct"/>
            <w:noWrap/>
            <w:vAlign w:val="center"/>
            <w:hideMark/>
          </w:tcPr>
          <w:p w14:paraId="51ACCDDB"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Coastal fishing</w:t>
            </w:r>
          </w:p>
        </w:tc>
        <w:tc>
          <w:tcPr>
            <w:tcW w:w="546" w:type="pct"/>
            <w:noWrap/>
            <w:vAlign w:val="center"/>
            <w:hideMark/>
          </w:tcPr>
          <w:p w14:paraId="6D621D6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2,618</w:t>
            </w:r>
          </w:p>
        </w:tc>
        <w:tc>
          <w:tcPr>
            <w:tcW w:w="546" w:type="pct"/>
            <w:noWrap/>
            <w:vAlign w:val="center"/>
            <w:hideMark/>
          </w:tcPr>
          <w:p w14:paraId="680FDAC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2,024</w:t>
            </w:r>
          </w:p>
        </w:tc>
        <w:tc>
          <w:tcPr>
            <w:tcW w:w="546" w:type="pct"/>
            <w:noWrap/>
            <w:vAlign w:val="center"/>
            <w:hideMark/>
          </w:tcPr>
          <w:p w14:paraId="4347F73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2,330</w:t>
            </w:r>
          </w:p>
        </w:tc>
        <w:tc>
          <w:tcPr>
            <w:tcW w:w="546" w:type="pct"/>
            <w:noWrap/>
            <w:vAlign w:val="center"/>
            <w:hideMark/>
          </w:tcPr>
          <w:p w14:paraId="3AE35E9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3,140</w:t>
            </w:r>
          </w:p>
        </w:tc>
        <w:tc>
          <w:tcPr>
            <w:tcW w:w="546" w:type="pct"/>
            <w:noWrap/>
            <w:vAlign w:val="center"/>
            <w:hideMark/>
          </w:tcPr>
          <w:p w14:paraId="3FB13C8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3,909</w:t>
            </w:r>
          </w:p>
        </w:tc>
        <w:tc>
          <w:tcPr>
            <w:tcW w:w="546" w:type="pct"/>
            <w:noWrap/>
            <w:vAlign w:val="center"/>
            <w:hideMark/>
          </w:tcPr>
          <w:p w14:paraId="0D6C915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3,921</w:t>
            </w:r>
          </w:p>
        </w:tc>
        <w:tc>
          <w:tcPr>
            <w:tcW w:w="548" w:type="pct"/>
            <w:noWrap/>
            <w:vAlign w:val="center"/>
            <w:hideMark/>
          </w:tcPr>
          <w:p w14:paraId="19107F3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4,289</w:t>
            </w:r>
          </w:p>
        </w:tc>
      </w:tr>
      <w:tr w:rsidR="00DE4516" w:rsidRPr="00A260F0" w14:paraId="6718C82E" w14:textId="77777777" w:rsidTr="00A86160">
        <w:trPr>
          <w:cantSplit/>
        </w:trPr>
        <w:tc>
          <w:tcPr>
            <w:tcW w:w="1176" w:type="pct"/>
            <w:noWrap/>
            <w:vAlign w:val="center"/>
            <w:hideMark/>
          </w:tcPr>
          <w:p w14:paraId="2A44FD88"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Aquaculture</w:t>
            </w:r>
          </w:p>
        </w:tc>
        <w:tc>
          <w:tcPr>
            <w:tcW w:w="546" w:type="pct"/>
            <w:noWrap/>
            <w:vAlign w:val="center"/>
            <w:hideMark/>
          </w:tcPr>
          <w:p w14:paraId="33BF0F3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282</w:t>
            </w:r>
          </w:p>
        </w:tc>
        <w:tc>
          <w:tcPr>
            <w:tcW w:w="546" w:type="pct"/>
            <w:noWrap/>
            <w:vAlign w:val="center"/>
            <w:hideMark/>
          </w:tcPr>
          <w:p w14:paraId="43B69AE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170</w:t>
            </w:r>
          </w:p>
        </w:tc>
        <w:tc>
          <w:tcPr>
            <w:tcW w:w="546" w:type="pct"/>
            <w:noWrap/>
            <w:vAlign w:val="center"/>
            <w:hideMark/>
          </w:tcPr>
          <w:p w14:paraId="4F614A1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103</w:t>
            </w:r>
          </w:p>
        </w:tc>
        <w:tc>
          <w:tcPr>
            <w:tcW w:w="546" w:type="pct"/>
            <w:noWrap/>
            <w:vAlign w:val="center"/>
            <w:hideMark/>
          </w:tcPr>
          <w:p w14:paraId="62631FD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77</w:t>
            </w:r>
          </w:p>
        </w:tc>
        <w:tc>
          <w:tcPr>
            <w:tcW w:w="546" w:type="pct"/>
            <w:noWrap/>
            <w:vAlign w:val="center"/>
            <w:hideMark/>
          </w:tcPr>
          <w:p w14:paraId="0FC9D87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451</w:t>
            </w:r>
          </w:p>
        </w:tc>
        <w:tc>
          <w:tcPr>
            <w:tcW w:w="546" w:type="pct"/>
            <w:noWrap/>
            <w:vAlign w:val="center"/>
            <w:hideMark/>
          </w:tcPr>
          <w:p w14:paraId="4D81569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1,054</w:t>
            </w:r>
          </w:p>
        </w:tc>
        <w:tc>
          <w:tcPr>
            <w:tcW w:w="548" w:type="pct"/>
            <w:noWrap/>
            <w:vAlign w:val="center"/>
            <w:hideMark/>
          </w:tcPr>
          <w:p w14:paraId="75E4D6F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1,307</w:t>
            </w:r>
          </w:p>
        </w:tc>
      </w:tr>
      <w:tr w:rsidR="00DE4516" w:rsidRPr="00A260F0" w14:paraId="78CF641B"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176" w:type="pct"/>
            <w:noWrap/>
            <w:vAlign w:val="center"/>
            <w:hideMark/>
          </w:tcPr>
          <w:p w14:paraId="3CC47AEE"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Total</w:t>
            </w:r>
          </w:p>
        </w:tc>
        <w:tc>
          <w:tcPr>
            <w:tcW w:w="546" w:type="pct"/>
            <w:noWrap/>
            <w:vAlign w:val="center"/>
            <w:hideMark/>
          </w:tcPr>
          <w:p w14:paraId="58ACDDB7"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211,314</w:t>
            </w:r>
          </w:p>
        </w:tc>
        <w:tc>
          <w:tcPr>
            <w:tcW w:w="546" w:type="pct"/>
            <w:noWrap/>
            <w:vAlign w:val="center"/>
            <w:hideMark/>
          </w:tcPr>
          <w:p w14:paraId="7AC2ACD7"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257,171</w:t>
            </w:r>
          </w:p>
        </w:tc>
        <w:tc>
          <w:tcPr>
            <w:tcW w:w="546" w:type="pct"/>
            <w:noWrap/>
            <w:vAlign w:val="center"/>
            <w:hideMark/>
          </w:tcPr>
          <w:p w14:paraId="196D9B82"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279,610</w:t>
            </w:r>
          </w:p>
        </w:tc>
        <w:tc>
          <w:tcPr>
            <w:tcW w:w="546" w:type="pct"/>
            <w:noWrap/>
            <w:vAlign w:val="center"/>
            <w:hideMark/>
          </w:tcPr>
          <w:p w14:paraId="1CF3972E"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347,541</w:t>
            </w:r>
          </w:p>
        </w:tc>
        <w:tc>
          <w:tcPr>
            <w:tcW w:w="546" w:type="pct"/>
            <w:noWrap/>
            <w:vAlign w:val="center"/>
            <w:hideMark/>
          </w:tcPr>
          <w:p w14:paraId="47FB8817"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553,445</w:t>
            </w:r>
          </w:p>
        </w:tc>
        <w:tc>
          <w:tcPr>
            <w:tcW w:w="546" w:type="pct"/>
            <w:noWrap/>
            <w:vAlign w:val="center"/>
            <w:hideMark/>
          </w:tcPr>
          <w:p w14:paraId="17A0C608"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580,240</w:t>
            </w:r>
          </w:p>
        </w:tc>
        <w:tc>
          <w:tcPr>
            <w:tcW w:w="548" w:type="pct"/>
            <w:noWrap/>
            <w:vAlign w:val="center"/>
            <w:hideMark/>
          </w:tcPr>
          <w:p w14:paraId="0DD9D50F"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840,378</w:t>
            </w:r>
          </w:p>
        </w:tc>
      </w:tr>
      <w:tr w:rsidR="00DE4516" w:rsidRPr="00A260F0" w14:paraId="0BCFC37E" w14:textId="77777777" w:rsidTr="00A86160">
        <w:trPr>
          <w:cantSplit/>
        </w:trPr>
        <w:tc>
          <w:tcPr>
            <w:tcW w:w="5000" w:type="pct"/>
            <w:gridSpan w:val="8"/>
            <w:noWrap/>
            <w:vAlign w:val="center"/>
            <w:hideMark/>
          </w:tcPr>
          <w:p w14:paraId="474060D6" w14:textId="77777777" w:rsidR="00DE4516" w:rsidRPr="00A46ADC" w:rsidRDefault="00DE4516" w:rsidP="00DE4516">
            <w:pPr>
              <w:pStyle w:val="TableBody"/>
              <w:autoSpaceDE w:val="0"/>
              <w:autoSpaceDN w:val="0"/>
              <w:adjustRightInd w:val="0"/>
              <w:jc w:val="both"/>
              <w:rPr>
                <w:b/>
                <w:sz w:val="15"/>
                <w:szCs w:val="15"/>
              </w:rPr>
            </w:pPr>
            <w:r w:rsidRPr="00A46ADC">
              <w:rPr>
                <w:b/>
              </w:rPr>
              <w:t>Fish export</w:t>
            </w:r>
          </w:p>
        </w:tc>
      </w:tr>
      <w:tr w:rsidR="00DE4516" w:rsidRPr="00A260F0" w14:paraId="4EE1F129"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176" w:type="pct"/>
            <w:noWrap/>
            <w:vAlign w:val="center"/>
            <w:hideMark/>
          </w:tcPr>
          <w:p w14:paraId="3C8B72C5"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Fresh fish</w:t>
            </w:r>
          </w:p>
        </w:tc>
        <w:tc>
          <w:tcPr>
            <w:tcW w:w="546" w:type="pct"/>
            <w:noWrap/>
            <w:vAlign w:val="center"/>
            <w:hideMark/>
          </w:tcPr>
          <w:p w14:paraId="4CBEB9A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20,001</w:t>
            </w:r>
          </w:p>
        </w:tc>
        <w:tc>
          <w:tcPr>
            <w:tcW w:w="546" w:type="pct"/>
            <w:noWrap/>
            <w:vAlign w:val="center"/>
            <w:hideMark/>
          </w:tcPr>
          <w:p w14:paraId="4BE5C79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38,559.1</w:t>
            </w:r>
          </w:p>
        </w:tc>
        <w:tc>
          <w:tcPr>
            <w:tcW w:w="546" w:type="pct"/>
            <w:noWrap/>
            <w:hideMark/>
          </w:tcPr>
          <w:p w14:paraId="49279A7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0F5EA00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3C2EE91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6EB1E7E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8" w:type="pct"/>
            <w:noWrap/>
            <w:vAlign w:val="center"/>
          </w:tcPr>
          <w:p w14:paraId="3A1B92F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73,289</w:t>
            </w:r>
          </w:p>
        </w:tc>
      </w:tr>
      <w:tr w:rsidR="00DE4516" w:rsidRPr="00A260F0" w14:paraId="52DDBDB5" w14:textId="77777777" w:rsidTr="00A86160">
        <w:trPr>
          <w:cantSplit/>
        </w:trPr>
        <w:tc>
          <w:tcPr>
            <w:tcW w:w="1176" w:type="pct"/>
            <w:noWrap/>
            <w:vAlign w:val="center"/>
            <w:hideMark/>
          </w:tcPr>
          <w:p w14:paraId="4CED8D28"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Frozen fish</w:t>
            </w:r>
          </w:p>
        </w:tc>
        <w:tc>
          <w:tcPr>
            <w:tcW w:w="546" w:type="pct"/>
            <w:noWrap/>
            <w:vAlign w:val="center"/>
            <w:hideMark/>
          </w:tcPr>
          <w:p w14:paraId="504D1A8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48,928</w:t>
            </w:r>
          </w:p>
        </w:tc>
        <w:tc>
          <w:tcPr>
            <w:tcW w:w="546" w:type="pct"/>
            <w:noWrap/>
            <w:vAlign w:val="center"/>
            <w:hideMark/>
          </w:tcPr>
          <w:p w14:paraId="38FEEB6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65,591.5</w:t>
            </w:r>
          </w:p>
        </w:tc>
        <w:tc>
          <w:tcPr>
            <w:tcW w:w="546" w:type="pct"/>
            <w:noWrap/>
            <w:hideMark/>
          </w:tcPr>
          <w:p w14:paraId="2699CA2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74EC033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1D43594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3BC4B09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8" w:type="pct"/>
            <w:noWrap/>
            <w:vAlign w:val="center"/>
          </w:tcPr>
          <w:p w14:paraId="03B85D3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214,114</w:t>
            </w:r>
          </w:p>
        </w:tc>
      </w:tr>
      <w:tr w:rsidR="00DE4516" w:rsidRPr="00A260F0" w14:paraId="411974BA"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176" w:type="pct"/>
            <w:noWrap/>
            <w:vAlign w:val="center"/>
            <w:hideMark/>
          </w:tcPr>
          <w:p w14:paraId="1FC3ACB6"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Crustaceans</w:t>
            </w:r>
            <w:r w:rsidRPr="00A46ADC">
              <w:rPr>
                <w:highlight w:val="blue"/>
              </w:rPr>
              <w:t xml:space="preserve"> &amp; </w:t>
            </w:r>
            <w:r w:rsidRPr="00A46ADC">
              <w:t>molluscs</w:t>
            </w:r>
          </w:p>
        </w:tc>
        <w:tc>
          <w:tcPr>
            <w:tcW w:w="546" w:type="pct"/>
            <w:noWrap/>
            <w:vAlign w:val="center"/>
            <w:hideMark/>
          </w:tcPr>
          <w:p w14:paraId="30C5816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2,611</w:t>
            </w:r>
          </w:p>
        </w:tc>
        <w:tc>
          <w:tcPr>
            <w:tcW w:w="546" w:type="pct"/>
            <w:noWrap/>
            <w:vAlign w:val="center"/>
            <w:hideMark/>
          </w:tcPr>
          <w:p w14:paraId="2403457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4,963.6</w:t>
            </w:r>
          </w:p>
        </w:tc>
        <w:tc>
          <w:tcPr>
            <w:tcW w:w="546" w:type="pct"/>
            <w:noWrap/>
            <w:hideMark/>
          </w:tcPr>
          <w:p w14:paraId="2C8C73F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2348C79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3A1E641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3AF2BDF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8" w:type="pct"/>
            <w:noWrap/>
            <w:vAlign w:val="center"/>
          </w:tcPr>
          <w:p w14:paraId="0D6D9C7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12,344</w:t>
            </w:r>
          </w:p>
        </w:tc>
      </w:tr>
      <w:tr w:rsidR="00DE4516" w:rsidRPr="00A260F0" w14:paraId="1D0A83FD" w14:textId="77777777" w:rsidTr="00A86160">
        <w:trPr>
          <w:cantSplit/>
        </w:trPr>
        <w:tc>
          <w:tcPr>
            <w:tcW w:w="1176" w:type="pct"/>
            <w:noWrap/>
            <w:vAlign w:val="center"/>
            <w:hideMark/>
          </w:tcPr>
          <w:p w14:paraId="089FCD14"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Total</w:t>
            </w:r>
          </w:p>
        </w:tc>
        <w:tc>
          <w:tcPr>
            <w:tcW w:w="546" w:type="pct"/>
            <w:noWrap/>
            <w:vAlign w:val="center"/>
            <w:hideMark/>
          </w:tcPr>
          <w:p w14:paraId="758B3302"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77,645</w:t>
            </w:r>
          </w:p>
        </w:tc>
        <w:tc>
          <w:tcPr>
            <w:tcW w:w="546" w:type="pct"/>
            <w:noWrap/>
            <w:vAlign w:val="center"/>
            <w:hideMark/>
          </w:tcPr>
          <w:p w14:paraId="7830BD26"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110,579</w:t>
            </w:r>
          </w:p>
        </w:tc>
        <w:tc>
          <w:tcPr>
            <w:tcW w:w="546" w:type="pct"/>
            <w:noWrap/>
            <w:hideMark/>
          </w:tcPr>
          <w:p w14:paraId="00D54A8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1198C9E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2D875B5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noWrap/>
            <w:hideMark/>
          </w:tcPr>
          <w:p w14:paraId="3CC91B6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8" w:type="pct"/>
            <w:noWrap/>
            <w:vAlign w:val="center"/>
          </w:tcPr>
          <w:p w14:paraId="0A2DE082"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299,747</w:t>
            </w:r>
          </w:p>
        </w:tc>
      </w:tr>
      <w:tr w:rsidR="00DE4516" w:rsidRPr="00A260F0" w14:paraId="5941FAC9"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176" w:type="pct"/>
            <w:tcBorders>
              <w:bottom w:val="single" w:sz="4" w:space="0" w:color="auto"/>
            </w:tcBorders>
            <w:noWrap/>
            <w:vAlign w:val="center"/>
            <w:hideMark/>
          </w:tcPr>
          <w:p w14:paraId="3776538F"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Export value ('000 OMR)</w:t>
            </w:r>
          </w:p>
        </w:tc>
        <w:tc>
          <w:tcPr>
            <w:tcW w:w="546" w:type="pct"/>
            <w:tcBorders>
              <w:bottom w:val="single" w:sz="4" w:space="0" w:color="auto"/>
            </w:tcBorders>
            <w:noWrap/>
            <w:vAlign w:val="center"/>
            <w:hideMark/>
          </w:tcPr>
          <w:p w14:paraId="517055D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52,494.6</w:t>
            </w:r>
          </w:p>
        </w:tc>
        <w:tc>
          <w:tcPr>
            <w:tcW w:w="546" w:type="pct"/>
            <w:tcBorders>
              <w:bottom w:val="single" w:sz="4" w:space="0" w:color="auto"/>
            </w:tcBorders>
            <w:noWrap/>
            <w:vAlign w:val="center"/>
            <w:hideMark/>
          </w:tcPr>
          <w:p w14:paraId="5D99D81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48.9</w:t>
            </w:r>
          </w:p>
        </w:tc>
        <w:tc>
          <w:tcPr>
            <w:tcW w:w="546" w:type="pct"/>
            <w:tcBorders>
              <w:bottom w:val="single" w:sz="4" w:space="0" w:color="auto"/>
            </w:tcBorders>
            <w:noWrap/>
            <w:hideMark/>
          </w:tcPr>
          <w:p w14:paraId="7204EDE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tcBorders>
              <w:bottom w:val="single" w:sz="4" w:space="0" w:color="auto"/>
            </w:tcBorders>
            <w:noWrap/>
            <w:hideMark/>
          </w:tcPr>
          <w:p w14:paraId="4226E20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tcBorders>
              <w:bottom w:val="single" w:sz="4" w:space="0" w:color="auto"/>
            </w:tcBorders>
            <w:noWrap/>
            <w:hideMark/>
          </w:tcPr>
          <w:p w14:paraId="68B9E1C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6" w:type="pct"/>
            <w:tcBorders>
              <w:bottom w:val="single" w:sz="4" w:space="0" w:color="auto"/>
            </w:tcBorders>
            <w:noWrap/>
            <w:hideMark/>
          </w:tcPr>
          <w:p w14:paraId="3E18B60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548" w:type="pct"/>
            <w:tcBorders>
              <w:bottom w:val="single" w:sz="4" w:space="0" w:color="auto"/>
            </w:tcBorders>
            <w:noWrap/>
            <w:vAlign w:val="center"/>
          </w:tcPr>
          <w:p w14:paraId="550C706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114,584</w:t>
            </w:r>
          </w:p>
        </w:tc>
      </w:tr>
    </w:tbl>
    <w:p w14:paraId="2B77A5E8" w14:textId="686672D4" w:rsidR="00DE4516" w:rsidRDefault="00DE4516">
      <w:pPr>
        <w:pStyle w:val="TableNote"/>
        <w:autoSpaceDE w:val="0"/>
        <w:autoSpaceDN w:val="0"/>
        <w:adjustRightInd w:val="0"/>
        <w:contextualSpacing w:val="0"/>
      </w:pPr>
      <w:r>
        <w:t>..</w:t>
      </w:r>
      <w:r>
        <w:tab/>
        <w:t>Not available.</w:t>
      </w:r>
    </w:p>
    <w:p w14:paraId="282472CD" w14:textId="77777777" w:rsidR="00DE4516" w:rsidRDefault="00DE4516">
      <w:pPr>
        <w:pStyle w:val="TableSource"/>
        <w:autoSpaceDE w:val="0"/>
        <w:autoSpaceDN w:val="0"/>
        <w:adjustRightInd w:val="0"/>
        <w:rPr>
          <w:szCs w:val="24"/>
        </w:rPr>
      </w:pPr>
      <w:r>
        <w:rPr>
          <w:szCs w:val="24"/>
        </w:rPr>
        <w:lastRenderedPageBreak/>
        <w:t>Source:</w:t>
      </w:r>
      <w:r>
        <w:rPr>
          <w:szCs w:val="24"/>
        </w:rPr>
        <w:tab/>
        <w:t xml:space="preserve">National Centre for Statistics and Information, </w:t>
      </w:r>
      <w:r>
        <w:rPr>
          <w:i/>
          <w:szCs w:val="24"/>
        </w:rPr>
        <w:t>Fisheries</w:t>
      </w:r>
      <w:r>
        <w:rPr>
          <w:szCs w:val="24"/>
        </w:rPr>
        <w:t xml:space="preserve">. Viewed at: </w:t>
      </w:r>
      <w:hyperlink r:id="rId24" w:history="1">
        <w:r w:rsidRPr="00D5600E">
          <w:rPr>
            <w:color w:val="0000FF"/>
            <w:szCs w:val="24"/>
            <w:u w:val="single"/>
          </w:rPr>
          <w:t>https://data.gov.om/OMFSRS2016/fisheries</w:t>
        </w:r>
      </w:hyperlink>
      <w:r>
        <w:rPr>
          <w:szCs w:val="24"/>
        </w:rPr>
        <w:t>; and information provided by the authorities.</w:t>
      </w:r>
    </w:p>
    <w:p w14:paraId="1954DAD2" w14:textId="77777777" w:rsidR="00DE4516" w:rsidRDefault="00DE4516">
      <w:pPr>
        <w:pStyle w:val="BodyText0"/>
        <w:autoSpaceDE w:val="0"/>
        <w:autoSpaceDN w:val="0"/>
        <w:adjustRightInd w:val="0"/>
        <w:rPr>
          <w:szCs w:val="24"/>
        </w:rPr>
      </w:pPr>
      <w:r>
        <w:rPr>
          <w:szCs w:val="24"/>
        </w:rPr>
        <w:t xml:space="preserve">In 2019, Al </w:t>
      </w:r>
      <w:proofErr w:type="spellStart"/>
      <w:r>
        <w:rPr>
          <w:szCs w:val="24"/>
        </w:rPr>
        <w:t>Wusta</w:t>
      </w:r>
      <w:proofErr w:type="spellEnd"/>
      <w:r>
        <w:rPr>
          <w:szCs w:val="24"/>
        </w:rPr>
        <w:t xml:space="preserve"> Fisheries, a fishing company owned by the Fisheries Development Oman, began its two-year trial fishing using modern industrial fishing methods (</w:t>
      </w:r>
      <w:proofErr w:type="gramStart"/>
      <w:r>
        <w:rPr>
          <w:szCs w:val="24"/>
        </w:rPr>
        <w:t>e.g.</w:t>
      </w:r>
      <w:proofErr w:type="gramEnd"/>
      <w:r>
        <w:rPr>
          <w:szCs w:val="24"/>
        </w:rPr>
        <w:t xml:space="preserve"> mid-water trawler fishing) to capture unexploited fishing stock. Al </w:t>
      </w:r>
      <w:proofErr w:type="spellStart"/>
      <w:r>
        <w:rPr>
          <w:szCs w:val="24"/>
        </w:rPr>
        <w:t>Wusta</w:t>
      </w:r>
      <w:proofErr w:type="spellEnd"/>
      <w:r>
        <w:rPr>
          <w:szCs w:val="24"/>
        </w:rPr>
        <w:t xml:space="preserve"> currently operates one vessel fishing at a sustainable rate of 80,000 tonnes per year. Also, the Government is making efforts to encourage artisanal fishermen to replace their traditional </w:t>
      </w:r>
      <w:r>
        <w:rPr>
          <w:i/>
          <w:szCs w:val="24"/>
        </w:rPr>
        <w:t>dhow</w:t>
      </w:r>
      <w:r>
        <w:rPr>
          <w:szCs w:val="24"/>
        </w:rPr>
        <w:t xml:space="preserve"> boats with more modern vessels</w:t>
      </w:r>
      <w:r w:rsidRPr="00DE4516">
        <w:rPr>
          <w:rStyle w:val="FootnoteReference"/>
        </w:rPr>
        <w:footnoteReference w:id="213"/>
      </w:r>
      <w:r>
        <w:rPr>
          <w:szCs w:val="24"/>
        </w:rPr>
        <w:t>, and employ more effective techniques. In this regard, Omani fishermen can get soft loans from the ODB and may apply for grants from the Government to cover up to 40% of the cost of fishing boats (Section 3.3.1).</w:t>
      </w:r>
    </w:p>
    <w:p w14:paraId="675B748A" w14:textId="77777777" w:rsidR="00DE4516" w:rsidRDefault="00DE4516">
      <w:pPr>
        <w:pStyle w:val="BodyText0"/>
        <w:autoSpaceDE w:val="0"/>
        <w:autoSpaceDN w:val="0"/>
        <w:adjustRightInd w:val="0"/>
        <w:rPr>
          <w:szCs w:val="24"/>
        </w:rPr>
      </w:pPr>
      <w:r>
        <w:rPr>
          <w:szCs w:val="24"/>
        </w:rPr>
        <w:t>Aquaculture is a fledgling industry in Oman. Current production efforts focus on white shrimp, abalone, bream, and grouper. The Oman Aquaculture Development Company (OADC), owned by the OIF, is the major player in the field. The OADC has two subsidiaries: Oceanic Shrimp Aquaculture and Blue Water. In May 2018, Blue Water harvested its first fish catch at its 3,000-tonne-capacity sea bream farm; the production level reached more than 1,600 tonnes by end-2020.</w:t>
      </w:r>
    </w:p>
    <w:p w14:paraId="3A92D290" w14:textId="77777777" w:rsidR="00DE4516" w:rsidRDefault="00DE4516">
      <w:pPr>
        <w:pStyle w:val="BodyText0"/>
        <w:autoSpaceDE w:val="0"/>
        <w:autoSpaceDN w:val="0"/>
        <w:adjustRightInd w:val="0"/>
        <w:rPr>
          <w:szCs w:val="24"/>
        </w:rPr>
      </w:pPr>
      <w:r>
        <w:rPr>
          <w:szCs w:val="24"/>
        </w:rPr>
        <w:t>In the Duqm Special Economic Zone (SEZ), a port and processing centre for fish are under construction. Once completed, as many as 60 fish manufacturing facilities are envisaged at the harbour, including facilities for cooling, freezing, and fish farming.</w:t>
      </w:r>
    </w:p>
    <w:p w14:paraId="2DA49E87" w14:textId="77777777" w:rsidR="00DE4516" w:rsidRDefault="00DE4516">
      <w:pPr>
        <w:pStyle w:val="BodyText0"/>
        <w:autoSpaceDE w:val="0"/>
        <w:autoSpaceDN w:val="0"/>
        <w:adjustRightInd w:val="0"/>
        <w:rPr>
          <w:szCs w:val="24"/>
        </w:rPr>
      </w:pPr>
      <w:r>
        <w:rPr>
          <w:szCs w:val="24"/>
        </w:rPr>
        <w:t>Foreign investors in the fisheries sector may enjoy a five-year exemption on corporate tax and customs duty; the exemption is renewable once for another five-year period (Section 3.3.1). In addition to soft loans from the ODB, Omani fishermen (including Omani companies) may apply for grants from the Government to cover up to 80% of the cost of fish feed, fingerlings (young fish), and equipment, including fish tanks.</w:t>
      </w:r>
    </w:p>
    <w:p w14:paraId="1F626E12" w14:textId="77777777" w:rsidR="00DE4516" w:rsidRDefault="00DE4516">
      <w:pPr>
        <w:pStyle w:val="BodyText0"/>
        <w:autoSpaceDE w:val="0"/>
        <w:autoSpaceDN w:val="0"/>
        <w:adjustRightInd w:val="0"/>
        <w:rPr>
          <w:szCs w:val="24"/>
        </w:rPr>
      </w:pPr>
      <w:r>
        <w:rPr>
          <w:szCs w:val="24"/>
        </w:rPr>
        <w:t>Oman is a net exporter of fish. Frozen fish, mainly supplying the US market, accounted for more than half of Oman's fish exports. Fresh fish is usually destined for other GCC countries and the European market. In 2020, a total of 299,747 tonnes of fish were exported, valued at OMR 114.6 million (</w:t>
      </w:r>
      <w:r>
        <w:rPr>
          <w:rStyle w:val="citetbl"/>
          <w:szCs w:val="24"/>
        </w:rPr>
        <w:t>Table 4.3</w:t>
      </w:r>
      <w:r>
        <w:rPr>
          <w:szCs w:val="24"/>
        </w:rPr>
        <w:t>).</w:t>
      </w:r>
    </w:p>
    <w:p w14:paraId="1E2577E4" w14:textId="77777777" w:rsidR="00DE4516" w:rsidRDefault="00DE4516">
      <w:pPr>
        <w:pStyle w:val="BodyText0"/>
        <w:autoSpaceDE w:val="0"/>
        <w:autoSpaceDN w:val="0"/>
        <w:adjustRightInd w:val="0"/>
        <w:rPr>
          <w:szCs w:val="24"/>
        </w:rPr>
      </w:pPr>
      <w:r>
        <w:rPr>
          <w:szCs w:val="24"/>
        </w:rPr>
        <w:t>According to the authorities, measures taken to conserve the marine ecosystem and combat illegal, unreported, and unregulated (IUU) fishing include: (</w:t>
      </w:r>
      <w:proofErr w:type="spellStart"/>
      <w:r>
        <w:rPr>
          <w:szCs w:val="24"/>
        </w:rPr>
        <w:t>i</w:t>
      </w:r>
      <w:proofErr w:type="spellEnd"/>
      <w:r>
        <w:rPr>
          <w:szCs w:val="24"/>
        </w:rPr>
        <w:t>) licensing requirements for all fishermen and their vessels and vehicles, for fish processing plants, and for fish exports; and (ii) export restrictions on certain species such as lobster and abalone.</w:t>
      </w:r>
    </w:p>
    <w:p w14:paraId="1E752705" w14:textId="77777777" w:rsidR="00DE4516" w:rsidRDefault="00DE4516">
      <w:pPr>
        <w:pStyle w:val="Heading20"/>
        <w:autoSpaceDE w:val="0"/>
        <w:autoSpaceDN w:val="0"/>
        <w:adjustRightInd w:val="0"/>
        <w:rPr>
          <w:szCs w:val="24"/>
        </w:rPr>
      </w:pPr>
      <w:r>
        <w:rPr>
          <w:szCs w:val="24"/>
        </w:rPr>
        <w:t>Mining and Energy</w:t>
      </w:r>
    </w:p>
    <w:p w14:paraId="0F669F58" w14:textId="77777777" w:rsidR="00DE4516" w:rsidRDefault="00DE4516">
      <w:pPr>
        <w:pStyle w:val="BodyText0"/>
        <w:autoSpaceDE w:val="0"/>
        <w:autoSpaceDN w:val="0"/>
        <w:adjustRightInd w:val="0"/>
        <w:rPr>
          <w:szCs w:val="24"/>
        </w:rPr>
      </w:pPr>
      <w:r>
        <w:rPr>
          <w:szCs w:val="24"/>
        </w:rPr>
        <w:t xml:space="preserve">The institutions responsible for the mining and energy sector have been overhauled since the last Review. On 18 August 2020, the Ministry of Oil and Gas (MOG) was renamed as the Ministry of Energy and Minerals (MEM); in the meantime, the Public Authority for Mining (PAM) was </w:t>
      </w:r>
      <w:proofErr w:type="gramStart"/>
      <w:r>
        <w:rPr>
          <w:szCs w:val="24"/>
        </w:rPr>
        <w:t>disbanded</w:t>
      </w:r>
      <w:proofErr w:type="gramEnd"/>
      <w:r>
        <w:rPr>
          <w:szCs w:val="24"/>
        </w:rPr>
        <w:t xml:space="preserve"> and its functions were transferred to the MEM.</w:t>
      </w:r>
      <w:r w:rsidRPr="00DE4516">
        <w:rPr>
          <w:rStyle w:val="FootnoteReference"/>
        </w:rPr>
        <w:footnoteReference w:id="214"/>
      </w:r>
    </w:p>
    <w:p w14:paraId="6EFBB31B" w14:textId="77777777" w:rsidR="00DE4516" w:rsidRDefault="00DE4516">
      <w:pPr>
        <w:pStyle w:val="Heading30"/>
        <w:autoSpaceDE w:val="0"/>
        <w:autoSpaceDN w:val="0"/>
        <w:adjustRightInd w:val="0"/>
        <w:rPr>
          <w:szCs w:val="24"/>
        </w:rPr>
      </w:pPr>
      <w:r>
        <w:rPr>
          <w:szCs w:val="24"/>
        </w:rPr>
        <w:t>Mining and quarrying</w:t>
      </w:r>
    </w:p>
    <w:p w14:paraId="4912FF3B" w14:textId="77777777" w:rsidR="00DE4516" w:rsidRDefault="00DE4516">
      <w:pPr>
        <w:pStyle w:val="BodyText0"/>
        <w:autoSpaceDE w:val="0"/>
        <w:autoSpaceDN w:val="0"/>
        <w:adjustRightInd w:val="0"/>
        <w:rPr>
          <w:szCs w:val="24"/>
        </w:rPr>
      </w:pPr>
      <w:r>
        <w:rPr>
          <w:szCs w:val="24"/>
        </w:rPr>
        <w:t>The contribution from the mining and quarrying sector to Oman's economy gradually increased, from 0.4% in 2014 to 0.9% in 2020 (</w:t>
      </w:r>
      <w:r>
        <w:rPr>
          <w:rStyle w:val="citetbl"/>
          <w:szCs w:val="24"/>
        </w:rPr>
        <w:t>Table 1.1</w:t>
      </w:r>
      <w:r>
        <w:rPr>
          <w:szCs w:val="24"/>
        </w:rPr>
        <w:t>). The Government identified the sector as one of the key sectors to diversify the economy. Oman has large deposits of metals and industrial minerals, with promising reserves of copper, chromite, gypsum, limestone, and marble. In terms of production, building materials, gypsum, and marble are the leading products (</w:t>
      </w:r>
      <w:r>
        <w:rPr>
          <w:rStyle w:val="citetbl"/>
          <w:szCs w:val="24"/>
        </w:rPr>
        <w:t>Table 4.4</w:t>
      </w:r>
      <w:r>
        <w:rPr>
          <w:szCs w:val="24"/>
        </w:rPr>
        <w:t>).</w:t>
      </w:r>
    </w:p>
    <w:p w14:paraId="78D64DFA" w14:textId="77777777" w:rsidR="00DE4516" w:rsidRDefault="00DE4516">
      <w:pPr>
        <w:pStyle w:val="TableTitle"/>
        <w:autoSpaceDE w:val="0"/>
        <w:autoSpaceDN w:val="0"/>
        <w:adjustRightInd w:val="0"/>
      </w:pPr>
      <w:r>
        <w:lastRenderedPageBreak/>
        <w:t>Table 4.4 Selected mineral production, 2014-20</w:t>
      </w:r>
    </w:p>
    <w:tbl>
      <w:tblPr>
        <w:tblStyle w:val="WTOTable1"/>
        <w:tblW w:w="5000" w:type="pct"/>
        <w:tblLook w:val="05E0" w:firstRow="1" w:lastRow="1" w:firstColumn="1" w:lastColumn="1" w:noHBand="0" w:noVBand="1"/>
      </w:tblPr>
      <w:tblGrid>
        <w:gridCol w:w="1696"/>
        <w:gridCol w:w="1985"/>
        <w:gridCol w:w="763"/>
        <w:gridCol w:w="763"/>
        <w:gridCol w:w="763"/>
        <w:gridCol w:w="763"/>
        <w:gridCol w:w="763"/>
        <w:gridCol w:w="763"/>
        <w:gridCol w:w="757"/>
      </w:tblGrid>
      <w:tr w:rsidR="00DE4516" w:rsidRPr="007F015E" w14:paraId="238FAFAD" w14:textId="77777777" w:rsidTr="00A86160">
        <w:trPr>
          <w:cnfStyle w:val="100000000000" w:firstRow="1" w:lastRow="0" w:firstColumn="0" w:lastColumn="0" w:oddVBand="0" w:evenVBand="0" w:oddHBand="0" w:evenHBand="0" w:firstRowFirstColumn="0" w:firstRowLastColumn="0" w:lastRowFirstColumn="0" w:lastRowLastColumn="0"/>
          <w:cantSplit/>
        </w:trPr>
        <w:tc>
          <w:tcPr>
            <w:tcW w:w="941" w:type="pct"/>
            <w:tcBorders>
              <w:top w:val="single" w:sz="4" w:space="0" w:color="auto"/>
            </w:tcBorders>
            <w:noWrap/>
            <w:vAlign w:val="center"/>
            <w:hideMark/>
          </w:tcPr>
          <w:p w14:paraId="0173A72C" w14:textId="77777777" w:rsidR="00DE4516" w:rsidRPr="007F015E" w:rsidRDefault="00DE4516" w:rsidP="00DE4516">
            <w:pPr>
              <w:pStyle w:val="TableHead"/>
              <w:autoSpaceDE w:val="0"/>
              <w:autoSpaceDN w:val="0"/>
              <w:adjustRightInd w:val="0"/>
              <w:rPr>
                <w:b/>
              </w:rPr>
            </w:pPr>
          </w:p>
        </w:tc>
        <w:tc>
          <w:tcPr>
            <w:tcW w:w="1101" w:type="pct"/>
            <w:tcBorders>
              <w:top w:val="single" w:sz="4" w:space="0" w:color="auto"/>
            </w:tcBorders>
            <w:noWrap/>
            <w:vAlign w:val="center"/>
            <w:hideMark/>
          </w:tcPr>
          <w:p w14:paraId="4CE0FFAD" w14:textId="77777777" w:rsidR="00DE4516" w:rsidRPr="007F015E" w:rsidRDefault="00DE4516" w:rsidP="00DE4516">
            <w:pPr>
              <w:pStyle w:val="TableHead"/>
              <w:autoSpaceDE w:val="0"/>
              <w:autoSpaceDN w:val="0"/>
              <w:adjustRightInd w:val="0"/>
              <w:rPr>
                <w:b/>
              </w:rPr>
            </w:pPr>
          </w:p>
        </w:tc>
        <w:tc>
          <w:tcPr>
            <w:tcW w:w="423" w:type="pct"/>
            <w:tcBorders>
              <w:top w:val="single" w:sz="4" w:space="0" w:color="auto"/>
            </w:tcBorders>
            <w:noWrap/>
            <w:vAlign w:val="center"/>
            <w:hideMark/>
          </w:tcPr>
          <w:p w14:paraId="6EBD6EA1"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2014</w:t>
            </w:r>
          </w:p>
        </w:tc>
        <w:tc>
          <w:tcPr>
            <w:tcW w:w="423" w:type="pct"/>
            <w:tcBorders>
              <w:top w:val="single" w:sz="4" w:space="0" w:color="auto"/>
            </w:tcBorders>
            <w:noWrap/>
            <w:vAlign w:val="center"/>
            <w:hideMark/>
          </w:tcPr>
          <w:p w14:paraId="744A1989"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2015</w:t>
            </w:r>
          </w:p>
        </w:tc>
        <w:tc>
          <w:tcPr>
            <w:tcW w:w="423" w:type="pct"/>
            <w:tcBorders>
              <w:top w:val="single" w:sz="4" w:space="0" w:color="auto"/>
            </w:tcBorders>
            <w:noWrap/>
            <w:vAlign w:val="center"/>
            <w:hideMark/>
          </w:tcPr>
          <w:p w14:paraId="59C29122"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2016</w:t>
            </w:r>
          </w:p>
        </w:tc>
        <w:tc>
          <w:tcPr>
            <w:tcW w:w="423" w:type="pct"/>
            <w:tcBorders>
              <w:top w:val="single" w:sz="4" w:space="0" w:color="auto"/>
            </w:tcBorders>
            <w:noWrap/>
            <w:vAlign w:val="center"/>
            <w:hideMark/>
          </w:tcPr>
          <w:p w14:paraId="1846A2A4"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2017</w:t>
            </w:r>
          </w:p>
        </w:tc>
        <w:tc>
          <w:tcPr>
            <w:tcW w:w="423" w:type="pct"/>
            <w:tcBorders>
              <w:top w:val="single" w:sz="4" w:space="0" w:color="auto"/>
            </w:tcBorders>
            <w:noWrap/>
            <w:vAlign w:val="center"/>
            <w:hideMark/>
          </w:tcPr>
          <w:p w14:paraId="68DA2685"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2018</w:t>
            </w:r>
          </w:p>
        </w:tc>
        <w:tc>
          <w:tcPr>
            <w:tcW w:w="423" w:type="pct"/>
            <w:tcBorders>
              <w:top w:val="single" w:sz="4" w:space="0" w:color="auto"/>
            </w:tcBorders>
            <w:noWrap/>
            <w:vAlign w:val="center"/>
            <w:hideMark/>
          </w:tcPr>
          <w:p w14:paraId="1404BE52"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2019</w:t>
            </w:r>
          </w:p>
        </w:tc>
        <w:tc>
          <w:tcPr>
            <w:tcW w:w="423" w:type="pct"/>
            <w:tcBorders>
              <w:top w:val="single" w:sz="4" w:space="0" w:color="auto"/>
            </w:tcBorders>
            <w:noWrap/>
            <w:vAlign w:val="center"/>
            <w:hideMark/>
          </w:tcPr>
          <w:p w14:paraId="150608E3"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2020</w:t>
            </w:r>
          </w:p>
        </w:tc>
      </w:tr>
      <w:tr w:rsidR="00DE4516" w:rsidRPr="00A260F0" w14:paraId="0A217EC2" w14:textId="77777777" w:rsidTr="00A86160">
        <w:trPr>
          <w:cantSplit/>
        </w:trPr>
        <w:tc>
          <w:tcPr>
            <w:tcW w:w="941" w:type="pct"/>
            <w:noWrap/>
            <w:vAlign w:val="center"/>
            <w:hideMark/>
          </w:tcPr>
          <w:p w14:paraId="5A535710"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Building materials</w:t>
            </w:r>
          </w:p>
        </w:tc>
        <w:tc>
          <w:tcPr>
            <w:tcW w:w="1101" w:type="pct"/>
            <w:noWrap/>
            <w:vAlign w:val="center"/>
            <w:hideMark/>
          </w:tcPr>
          <w:p w14:paraId="4A3FEB23"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 xml:space="preserve">Production </w:t>
            </w:r>
            <w:r w:rsidRPr="00A46ADC">
              <w:br/>
              <w:t>(million cubic meters)</w:t>
            </w:r>
          </w:p>
        </w:tc>
        <w:tc>
          <w:tcPr>
            <w:tcW w:w="423" w:type="pct"/>
            <w:noWrap/>
            <w:vAlign w:val="center"/>
            <w:hideMark/>
          </w:tcPr>
          <w:p w14:paraId="112C6DE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62.5</w:t>
            </w:r>
          </w:p>
        </w:tc>
        <w:tc>
          <w:tcPr>
            <w:tcW w:w="423" w:type="pct"/>
            <w:noWrap/>
            <w:vAlign w:val="center"/>
            <w:hideMark/>
          </w:tcPr>
          <w:p w14:paraId="708084F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49.4</w:t>
            </w:r>
          </w:p>
        </w:tc>
        <w:tc>
          <w:tcPr>
            <w:tcW w:w="423" w:type="pct"/>
            <w:noWrap/>
            <w:vAlign w:val="center"/>
            <w:hideMark/>
          </w:tcPr>
          <w:p w14:paraId="0D78E57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45.8</w:t>
            </w:r>
          </w:p>
        </w:tc>
        <w:tc>
          <w:tcPr>
            <w:tcW w:w="423" w:type="pct"/>
            <w:noWrap/>
            <w:vAlign w:val="center"/>
            <w:hideMark/>
          </w:tcPr>
          <w:p w14:paraId="7208173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43.4</w:t>
            </w:r>
          </w:p>
        </w:tc>
        <w:tc>
          <w:tcPr>
            <w:tcW w:w="423" w:type="pct"/>
            <w:noWrap/>
            <w:vAlign w:val="center"/>
          </w:tcPr>
          <w:p w14:paraId="3B6F850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44.9</w:t>
            </w:r>
          </w:p>
        </w:tc>
        <w:tc>
          <w:tcPr>
            <w:tcW w:w="423" w:type="pct"/>
            <w:noWrap/>
            <w:vAlign w:val="center"/>
          </w:tcPr>
          <w:p w14:paraId="404F34A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57.7</w:t>
            </w:r>
          </w:p>
        </w:tc>
        <w:tc>
          <w:tcPr>
            <w:tcW w:w="423" w:type="pct"/>
            <w:noWrap/>
            <w:vAlign w:val="center"/>
          </w:tcPr>
          <w:p w14:paraId="39A500E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48.3</w:t>
            </w:r>
          </w:p>
        </w:tc>
      </w:tr>
      <w:tr w:rsidR="00DE4516" w:rsidRPr="00A260F0" w14:paraId="613E2DDE"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941" w:type="pct"/>
            <w:noWrap/>
            <w:vAlign w:val="center"/>
            <w:hideMark/>
          </w:tcPr>
          <w:p w14:paraId="42089937" w14:textId="77777777" w:rsidR="00DE4516" w:rsidRPr="00A46ADC" w:rsidRDefault="00DE4516" w:rsidP="00DE4516">
            <w:pPr>
              <w:pStyle w:val="TableBody"/>
              <w:autoSpaceDE w:val="0"/>
              <w:autoSpaceDN w:val="0"/>
              <w:adjustRightInd w:val="0"/>
              <w:jc w:val="both"/>
            </w:pPr>
          </w:p>
        </w:tc>
        <w:tc>
          <w:tcPr>
            <w:tcW w:w="1101" w:type="pct"/>
            <w:noWrap/>
            <w:vAlign w:val="center"/>
            <w:hideMark/>
          </w:tcPr>
          <w:p w14:paraId="5EEAAA6C"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Value</w:t>
            </w:r>
            <w:r w:rsidRPr="00A46ADC">
              <w:br/>
              <w:t>(million OMR)</w:t>
            </w:r>
          </w:p>
        </w:tc>
        <w:tc>
          <w:tcPr>
            <w:tcW w:w="423" w:type="pct"/>
            <w:noWrap/>
            <w:vAlign w:val="center"/>
            <w:hideMark/>
          </w:tcPr>
          <w:p w14:paraId="6B98CA1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53.8</w:t>
            </w:r>
          </w:p>
        </w:tc>
        <w:tc>
          <w:tcPr>
            <w:tcW w:w="423" w:type="pct"/>
            <w:noWrap/>
            <w:vAlign w:val="center"/>
            <w:hideMark/>
          </w:tcPr>
          <w:p w14:paraId="5F8E0B4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68.6</w:t>
            </w:r>
          </w:p>
        </w:tc>
        <w:tc>
          <w:tcPr>
            <w:tcW w:w="423" w:type="pct"/>
            <w:noWrap/>
            <w:vAlign w:val="center"/>
            <w:hideMark/>
          </w:tcPr>
          <w:p w14:paraId="6752A54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67.7</w:t>
            </w:r>
          </w:p>
        </w:tc>
        <w:tc>
          <w:tcPr>
            <w:tcW w:w="423" w:type="pct"/>
            <w:noWrap/>
            <w:vAlign w:val="center"/>
            <w:hideMark/>
          </w:tcPr>
          <w:p w14:paraId="689BD83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65.5</w:t>
            </w:r>
          </w:p>
        </w:tc>
        <w:tc>
          <w:tcPr>
            <w:tcW w:w="423" w:type="pct"/>
            <w:noWrap/>
            <w:vAlign w:val="center"/>
            <w:hideMark/>
          </w:tcPr>
          <w:p w14:paraId="3DC2384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62.4</w:t>
            </w:r>
          </w:p>
        </w:tc>
        <w:tc>
          <w:tcPr>
            <w:tcW w:w="423" w:type="pct"/>
            <w:noWrap/>
            <w:vAlign w:val="center"/>
            <w:hideMark/>
          </w:tcPr>
          <w:p w14:paraId="5EF6D40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43.3</w:t>
            </w:r>
          </w:p>
        </w:tc>
        <w:tc>
          <w:tcPr>
            <w:tcW w:w="423" w:type="pct"/>
            <w:noWrap/>
            <w:vAlign w:val="center"/>
          </w:tcPr>
          <w:p w14:paraId="3E30627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34.4</w:t>
            </w:r>
          </w:p>
        </w:tc>
      </w:tr>
      <w:tr w:rsidR="00DE4516" w:rsidRPr="00A260F0" w14:paraId="14AD8AC9" w14:textId="77777777" w:rsidTr="00A86160">
        <w:trPr>
          <w:cantSplit/>
        </w:trPr>
        <w:tc>
          <w:tcPr>
            <w:tcW w:w="941" w:type="pct"/>
            <w:noWrap/>
            <w:vAlign w:val="center"/>
            <w:hideMark/>
          </w:tcPr>
          <w:p w14:paraId="29729828"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Limestone</w:t>
            </w:r>
          </w:p>
        </w:tc>
        <w:tc>
          <w:tcPr>
            <w:tcW w:w="1101" w:type="pct"/>
            <w:noWrap/>
            <w:vAlign w:val="center"/>
            <w:hideMark/>
          </w:tcPr>
          <w:p w14:paraId="2C440FB3" w14:textId="77777777" w:rsidR="00DE4516" w:rsidRDefault="00DE4516" w:rsidP="00DE4516">
            <w:pPr>
              <w:pStyle w:val="TableBody"/>
              <w:autoSpaceDE w:val="0"/>
              <w:autoSpaceDN w:val="0"/>
              <w:adjustRightInd w:val="0"/>
            </w:pPr>
            <w:r>
              <w:t>Production</w:t>
            </w:r>
          </w:p>
          <w:p w14:paraId="4A1AFF59"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w:t>
            </w:r>
            <w:proofErr w:type="gramStart"/>
            <w:r w:rsidRPr="00A46ADC">
              <w:t>million</w:t>
            </w:r>
            <w:proofErr w:type="gramEnd"/>
            <w:r w:rsidRPr="00A46ADC">
              <w:t xml:space="preserve"> tonnes)</w:t>
            </w:r>
          </w:p>
        </w:tc>
        <w:tc>
          <w:tcPr>
            <w:tcW w:w="423" w:type="pct"/>
            <w:noWrap/>
            <w:vAlign w:val="center"/>
            <w:hideMark/>
          </w:tcPr>
          <w:p w14:paraId="08C2D17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8.7</w:t>
            </w:r>
          </w:p>
        </w:tc>
        <w:tc>
          <w:tcPr>
            <w:tcW w:w="423" w:type="pct"/>
            <w:noWrap/>
            <w:vAlign w:val="center"/>
            <w:hideMark/>
          </w:tcPr>
          <w:p w14:paraId="34E9F3A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12.2</w:t>
            </w:r>
          </w:p>
        </w:tc>
        <w:tc>
          <w:tcPr>
            <w:tcW w:w="423" w:type="pct"/>
            <w:noWrap/>
            <w:vAlign w:val="center"/>
            <w:hideMark/>
          </w:tcPr>
          <w:p w14:paraId="0E3452F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12.5</w:t>
            </w:r>
          </w:p>
        </w:tc>
        <w:tc>
          <w:tcPr>
            <w:tcW w:w="423" w:type="pct"/>
            <w:noWrap/>
            <w:vAlign w:val="center"/>
            <w:hideMark/>
          </w:tcPr>
          <w:p w14:paraId="085E86C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18.1</w:t>
            </w:r>
          </w:p>
        </w:tc>
        <w:tc>
          <w:tcPr>
            <w:tcW w:w="423" w:type="pct"/>
            <w:noWrap/>
            <w:vAlign w:val="center"/>
          </w:tcPr>
          <w:p w14:paraId="2D66102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14.0</w:t>
            </w:r>
          </w:p>
        </w:tc>
        <w:tc>
          <w:tcPr>
            <w:tcW w:w="423" w:type="pct"/>
            <w:noWrap/>
            <w:vAlign w:val="center"/>
          </w:tcPr>
          <w:p w14:paraId="3F85C1E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10.0</w:t>
            </w:r>
          </w:p>
        </w:tc>
        <w:tc>
          <w:tcPr>
            <w:tcW w:w="423" w:type="pct"/>
            <w:noWrap/>
            <w:vAlign w:val="center"/>
          </w:tcPr>
          <w:p w14:paraId="096C23F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6.4</w:t>
            </w:r>
          </w:p>
        </w:tc>
      </w:tr>
      <w:tr w:rsidR="00DE4516" w:rsidRPr="00A260F0" w14:paraId="6A3E2AC5"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941" w:type="pct"/>
            <w:noWrap/>
            <w:vAlign w:val="center"/>
            <w:hideMark/>
          </w:tcPr>
          <w:p w14:paraId="60B20DBF" w14:textId="77777777" w:rsidR="00DE4516" w:rsidRPr="00A46ADC" w:rsidRDefault="00DE4516" w:rsidP="00DE4516">
            <w:pPr>
              <w:pStyle w:val="TableBody"/>
              <w:autoSpaceDE w:val="0"/>
              <w:autoSpaceDN w:val="0"/>
              <w:adjustRightInd w:val="0"/>
              <w:jc w:val="both"/>
            </w:pPr>
          </w:p>
        </w:tc>
        <w:tc>
          <w:tcPr>
            <w:tcW w:w="1101" w:type="pct"/>
            <w:noWrap/>
            <w:vAlign w:val="center"/>
            <w:hideMark/>
          </w:tcPr>
          <w:p w14:paraId="29C6323A"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Value</w:t>
            </w:r>
            <w:r w:rsidRPr="00A46ADC">
              <w:br/>
              <w:t>(million OMR)</w:t>
            </w:r>
          </w:p>
        </w:tc>
        <w:tc>
          <w:tcPr>
            <w:tcW w:w="423" w:type="pct"/>
            <w:noWrap/>
            <w:vAlign w:val="center"/>
            <w:hideMark/>
          </w:tcPr>
          <w:p w14:paraId="3381ACB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9.9</w:t>
            </w:r>
          </w:p>
        </w:tc>
        <w:tc>
          <w:tcPr>
            <w:tcW w:w="423" w:type="pct"/>
            <w:noWrap/>
            <w:vAlign w:val="center"/>
            <w:hideMark/>
          </w:tcPr>
          <w:p w14:paraId="10CCCE6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11.9</w:t>
            </w:r>
          </w:p>
        </w:tc>
        <w:tc>
          <w:tcPr>
            <w:tcW w:w="423" w:type="pct"/>
            <w:noWrap/>
            <w:vAlign w:val="center"/>
            <w:hideMark/>
          </w:tcPr>
          <w:p w14:paraId="1C1786B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15.5</w:t>
            </w:r>
          </w:p>
        </w:tc>
        <w:tc>
          <w:tcPr>
            <w:tcW w:w="423" w:type="pct"/>
            <w:noWrap/>
            <w:vAlign w:val="center"/>
            <w:hideMark/>
          </w:tcPr>
          <w:p w14:paraId="4D98A60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14.8</w:t>
            </w:r>
          </w:p>
        </w:tc>
        <w:tc>
          <w:tcPr>
            <w:tcW w:w="423" w:type="pct"/>
            <w:noWrap/>
            <w:vAlign w:val="center"/>
            <w:hideMark/>
          </w:tcPr>
          <w:p w14:paraId="74270CB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15.8</w:t>
            </w:r>
          </w:p>
        </w:tc>
        <w:tc>
          <w:tcPr>
            <w:tcW w:w="423" w:type="pct"/>
            <w:noWrap/>
            <w:vAlign w:val="center"/>
            <w:hideMark/>
          </w:tcPr>
          <w:p w14:paraId="191F0FE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9.7</w:t>
            </w:r>
          </w:p>
        </w:tc>
        <w:tc>
          <w:tcPr>
            <w:tcW w:w="423" w:type="pct"/>
            <w:noWrap/>
            <w:vAlign w:val="center"/>
          </w:tcPr>
          <w:p w14:paraId="57B2323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12.9</w:t>
            </w:r>
          </w:p>
        </w:tc>
      </w:tr>
      <w:tr w:rsidR="00DE4516" w:rsidRPr="00A260F0" w14:paraId="4CBE149C" w14:textId="77777777" w:rsidTr="00A86160">
        <w:trPr>
          <w:cantSplit/>
        </w:trPr>
        <w:tc>
          <w:tcPr>
            <w:tcW w:w="941" w:type="pct"/>
            <w:noWrap/>
            <w:vAlign w:val="center"/>
            <w:hideMark/>
          </w:tcPr>
          <w:p w14:paraId="6DFBB4E2"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Gypsum</w:t>
            </w:r>
          </w:p>
        </w:tc>
        <w:tc>
          <w:tcPr>
            <w:tcW w:w="1101" w:type="pct"/>
            <w:noWrap/>
            <w:vAlign w:val="center"/>
            <w:hideMark/>
          </w:tcPr>
          <w:p w14:paraId="6C5742D3" w14:textId="77777777" w:rsidR="00DE4516" w:rsidRDefault="00DE4516" w:rsidP="00DE4516">
            <w:pPr>
              <w:pStyle w:val="TableBody"/>
              <w:autoSpaceDE w:val="0"/>
              <w:autoSpaceDN w:val="0"/>
              <w:adjustRightInd w:val="0"/>
            </w:pPr>
            <w:r>
              <w:t>Production</w:t>
            </w:r>
          </w:p>
          <w:p w14:paraId="6AAB9B40"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w:t>
            </w:r>
            <w:proofErr w:type="gramStart"/>
            <w:r w:rsidRPr="00A46ADC">
              <w:t>million</w:t>
            </w:r>
            <w:proofErr w:type="gramEnd"/>
            <w:r w:rsidRPr="00A46ADC">
              <w:t xml:space="preserve"> tonnes)</w:t>
            </w:r>
          </w:p>
        </w:tc>
        <w:tc>
          <w:tcPr>
            <w:tcW w:w="423" w:type="pct"/>
            <w:noWrap/>
            <w:vAlign w:val="center"/>
            <w:hideMark/>
          </w:tcPr>
          <w:p w14:paraId="546FD72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3.4</w:t>
            </w:r>
          </w:p>
        </w:tc>
        <w:tc>
          <w:tcPr>
            <w:tcW w:w="423" w:type="pct"/>
            <w:noWrap/>
            <w:vAlign w:val="center"/>
            <w:hideMark/>
          </w:tcPr>
          <w:p w14:paraId="619E5C3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6.3</w:t>
            </w:r>
          </w:p>
        </w:tc>
        <w:tc>
          <w:tcPr>
            <w:tcW w:w="423" w:type="pct"/>
            <w:noWrap/>
            <w:vAlign w:val="center"/>
            <w:hideMark/>
          </w:tcPr>
          <w:p w14:paraId="1343C04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7.9</w:t>
            </w:r>
          </w:p>
        </w:tc>
        <w:tc>
          <w:tcPr>
            <w:tcW w:w="423" w:type="pct"/>
            <w:noWrap/>
            <w:vAlign w:val="center"/>
            <w:hideMark/>
          </w:tcPr>
          <w:p w14:paraId="2933728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8.4</w:t>
            </w:r>
          </w:p>
        </w:tc>
        <w:tc>
          <w:tcPr>
            <w:tcW w:w="423" w:type="pct"/>
            <w:noWrap/>
            <w:vAlign w:val="center"/>
          </w:tcPr>
          <w:p w14:paraId="35BC802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9.4</w:t>
            </w:r>
          </w:p>
        </w:tc>
        <w:tc>
          <w:tcPr>
            <w:tcW w:w="423" w:type="pct"/>
            <w:noWrap/>
            <w:vAlign w:val="center"/>
          </w:tcPr>
          <w:p w14:paraId="1B8C2D7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11.0</w:t>
            </w:r>
          </w:p>
        </w:tc>
        <w:tc>
          <w:tcPr>
            <w:tcW w:w="423" w:type="pct"/>
            <w:noWrap/>
            <w:vAlign w:val="center"/>
          </w:tcPr>
          <w:p w14:paraId="6BB9AA1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10.2</w:t>
            </w:r>
          </w:p>
        </w:tc>
      </w:tr>
      <w:tr w:rsidR="00DE4516" w:rsidRPr="00A260F0" w14:paraId="52AB4B41"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941" w:type="pct"/>
            <w:noWrap/>
            <w:vAlign w:val="center"/>
            <w:hideMark/>
          </w:tcPr>
          <w:p w14:paraId="3329749F" w14:textId="77777777" w:rsidR="00DE4516" w:rsidRPr="00A46ADC" w:rsidRDefault="00DE4516" w:rsidP="00DE4516">
            <w:pPr>
              <w:pStyle w:val="TableBody"/>
              <w:autoSpaceDE w:val="0"/>
              <w:autoSpaceDN w:val="0"/>
              <w:adjustRightInd w:val="0"/>
              <w:jc w:val="both"/>
            </w:pPr>
          </w:p>
        </w:tc>
        <w:tc>
          <w:tcPr>
            <w:tcW w:w="1101" w:type="pct"/>
            <w:noWrap/>
            <w:vAlign w:val="center"/>
            <w:hideMark/>
          </w:tcPr>
          <w:p w14:paraId="586BCA55"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Value</w:t>
            </w:r>
            <w:r w:rsidRPr="00A46ADC">
              <w:br/>
              <w:t>(million OMR)</w:t>
            </w:r>
          </w:p>
        </w:tc>
        <w:tc>
          <w:tcPr>
            <w:tcW w:w="423" w:type="pct"/>
            <w:noWrap/>
            <w:vAlign w:val="center"/>
            <w:hideMark/>
          </w:tcPr>
          <w:p w14:paraId="3A3DFF2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5.1</w:t>
            </w:r>
          </w:p>
        </w:tc>
        <w:tc>
          <w:tcPr>
            <w:tcW w:w="423" w:type="pct"/>
            <w:noWrap/>
            <w:vAlign w:val="center"/>
            <w:hideMark/>
          </w:tcPr>
          <w:p w14:paraId="7772B16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9.2</w:t>
            </w:r>
          </w:p>
        </w:tc>
        <w:tc>
          <w:tcPr>
            <w:tcW w:w="423" w:type="pct"/>
            <w:noWrap/>
            <w:vAlign w:val="center"/>
            <w:hideMark/>
          </w:tcPr>
          <w:p w14:paraId="060C3FF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10.1</w:t>
            </w:r>
          </w:p>
        </w:tc>
        <w:tc>
          <w:tcPr>
            <w:tcW w:w="423" w:type="pct"/>
            <w:noWrap/>
            <w:vAlign w:val="center"/>
            <w:hideMark/>
          </w:tcPr>
          <w:p w14:paraId="1EFDC8B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18.1</w:t>
            </w:r>
          </w:p>
        </w:tc>
        <w:tc>
          <w:tcPr>
            <w:tcW w:w="423" w:type="pct"/>
            <w:noWrap/>
            <w:vAlign w:val="center"/>
            <w:hideMark/>
          </w:tcPr>
          <w:p w14:paraId="09099E8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23.3</w:t>
            </w:r>
          </w:p>
        </w:tc>
        <w:tc>
          <w:tcPr>
            <w:tcW w:w="423" w:type="pct"/>
            <w:noWrap/>
            <w:vAlign w:val="center"/>
            <w:hideMark/>
          </w:tcPr>
          <w:p w14:paraId="51133B3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21.4</w:t>
            </w:r>
          </w:p>
        </w:tc>
        <w:tc>
          <w:tcPr>
            <w:tcW w:w="423" w:type="pct"/>
            <w:noWrap/>
            <w:vAlign w:val="center"/>
          </w:tcPr>
          <w:p w14:paraId="69D2AFB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21.1</w:t>
            </w:r>
          </w:p>
        </w:tc>
      </w:tr>
      <w:tr w:rsidR="00DE4516" w:rsidRPr="00A260F0" w14:paraId="7A88A7E6" w14:textId="77777777" w:rsidTr="00A86160">
        <w:trPr>
          <w:cantSplit/>
        </w:trPr>
        <w:tc>
          <w:tcPr>
            <w:tcW w:w="941" w:type="pct"/>
            <w:noWrap/>
            <w:vAlign w:val="center"/>
            <w:hideMark/>
          </w:tcPr>
          <w:p w14:paraId="1072E5AA"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Marble</w:t>
            </w:r>
          </w:p>
        </w:tc>
        <w:tc>
          <w:tcPr>
            <w:tcW w:w="1101" w:type="pct"/>
            <w:noWrap/>
            <w:vAlign w:val="center"/>
            <w:hideMark/>
          </w:tcPr>
          <w:p w14:paraId="22E17790" w14:textId="77777777" w:rsidR="00DE4516" w:rsidRDefault="00DE4516" w:rsidP="00DE4516">
            <w:pPr>
              <w:pStyle w:val="TableBody"/>
              <w:autoSpaceDE w:val="0"/>
              <w:autoSpaceDN w:val="0"/>
              <w:adjustRightInd w:val="0"/>
            </w:pPr>
            <w:r>
              <w:t>Production</w:t>
            </w:r>
          </w:p>
          <w:p w14:paraId="3EB489C2"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w:t>
            </w:r>
            <w:proofErr w:type="gramStart"/>
            <w:r w:rsidRPr="00A46ADC">
              <w:t>million</w:t>
            </w:r>
            <w:proofErr w:type="gramEnd"/>
            <w:r w:rsidRPr="00A46ADC">
              <w:t xml:space="preserve"> tonnes)</w:t>
            </w:r>
          </w:p>
        </w:tc>
        <w:tc>
          <w:tcPr>
            <w:tcW w:w="423" w:type="pct"/>
            <w:noWrap/>
            <w:vAlign w:val="center"/>
            <w:hideMark/>
          </w:tcPr>
          <w:p w14:paraId="2F15A50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1.6</w:t>
            </w:r>
          </w:p>
        </w:tc>
        <w:tc>
          <w:tcPr>
            <w:tcW w:w="423" w:type="pct"/>
            <w:noWrap/>
            <w:vAlign w:val="center"/>
            <w:hideMark/>
          </w:tcPr>
          <w:p w14:paraId="6C68D74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1.6</w:t>
            </w:r>
          </w:p>
        </w:tc>
        <w:tc>
          <w:tcPr>
            <w:tcW w:w="423" w:type="pct"/>
            <w:noWrap/>
            <w:vAlign w:val="center"/>
            <w:hideMark/>
          </w:tcPr>
          <w:p w14:paraId="0D18BC6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1.4</w:t>
            </w:r>
          </w:p>
        </w:tc>
        <w:tc>
          <w:tcPr>
            <w:tcW w:w="423" w:type="pct"/>
            <w:noWrap/>
            <w:vAlign w:val="center"/>
            <w:hideMark/>
          </w:tcPr>
          <w:p w14:paraId="0900990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w:t>
            </w:r>
          </w:p>
        </w:tc>
        <w:tc>
          <w:tcPr>
            <w:tcW w:w="423" w:type="pct"/>
            <w:noWrap/>
            <w:vAlign w:val="center"/>
          </w:tcPr>
          <w:p w14:paraId="76FA902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w:t>
            </w:r>
          </w:p>
        </w:tc>
        <w:tc>
          <w:tcPr>
            <w:tcW w:w="423" w:type="pct"/>
            <w:noWrap/>
            <w:vAlign w:val="center"/>
          </w:tcPr>
          <w:p w14:paraId="057A263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w:t>
            </w:r>
          </w:p>
        </w:tc>
        <w:tc>
          <w:tcPr>
            <w:tcW w:w="423" w:type="pct"/>
            <w:noWrap/>
            <w:vAlign w:val="center"/>
          </w:tcPr>
          <w:p w14:paraId="3A19601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w:t>
            </w:r>
          </w:p>
        </w:tc>
      </w:tr>
      <w:tr w:rsidR="00DE4516" w:rsidRPr="00A260F0" w14:paraId="5532CB39"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941" w:type="pct"/>
            <w:noWrap/>
            <w:vAlign w:val="center"/>
            <w:hideMark/>
          </w:tcPr>
          <w:p w14:paraId="679E1651" w14:textId="77777777" w:rsidR="00DE4516" w:rsidRPr="00A46ADC" w:rsidRDefault="00DE4516" w:rsidP="00DE4516">
            <w:pPr>
              <w:pStyle w:val="TableBody"/>
              <w:autoSpaceDE w:val="0"/>
              <w:autoSpaceDN w:val="0"/>
              <w:adjustRightInd w:val="0"/>
              <w:jc w:val="both"/>
            </w:pPr>
          </w:p>
        </w:tc>
        <w:tc>
          <w:tcPr>
            <w:tcW w:w="1101" w:type="pct"/>
            <w:noWrap/>
            <w:vAlign w:val="center"/>
            <w:hideMark/>
          </w:tcPr>
          <w:p w14:paraId="36CB13B1"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Value</w:t>
            </w:r>
            <w:r w:rsidRPr="00A46ADC">
              <w:br/>
              <w:t>(million OMR)</w:t>
            </w:r>
          </w:p>
        </w:tc>
        <w:tc>
          <w:tcPr>
            <w:tcW w:w="423" w:type="pct"/>
            <w:noWrap/>
            <w:vAlign w:val="center"/>
            <w:hideMark/>
          </w:tcPr>
          <w:p w14:paraId="27BF473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21.8</w:t>
            </w:r>
          </w:p>
        </w:tc>
        <w:tc>
          <w:tcPr>
            <w:tcW w:w="423" w:type="pct"/>
            <w:noWrap/>
            <w:vAlign w:val="center"/>
            <w:hideMark/>
          </w:tcPr>
          <w:p w14:paraId="701BE19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17.9</w:t>
            </w:r>
          </w:p>
        </w:tc>
        <w:tc>
          <w:tcPr>
            <w:tcW w:w="423" w:type="pct"/>
            <w:noWrap/>
            <w:vAlign w:val="center"/>
            <w:hideMark/>
          </w:tcPr>
          <w:p w14:paraId="78AB660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14.4</w:t>
            </w:r>
          </w:p>
        </w:tc>
        <w:tc>
          <w:tcPr>
            <w:tcW w:w="423" w:type="pct"/>
            <w:noWrap/>
            <w:vAlign w:val="center"/>
            <w:hideMark/>
          </w:tcPr>
          <w:p w14:paraId="62760FA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13.0</w:t>
            </w:r>
          </w:p>
        </w:tc>
        <w:tc>
          <w:tcPr>
            <w:tcW w:w="423" w:type="pct"/>
            <w:noWrap/>
            <w:vAlign w:val="center"/>
          </w:tcPr>
          <w:p w14:paraId="6643764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11.0</w:t>
            </w:r>
          </w:p>
        </w:tc>
        <w:tc>
          <w:tcPr>
            <w:tcW w:w="423" w:type="pct"/>
            <w:noWrap/>
            <w:vAlign w:val="center"/>
          </w:tcPr>
          <w:p w14:paraId="451D37E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9.6</w:t>
            </w:r>
          </w:p>
        </w:tc>
        <w:tc>
          <w:tcPr>
            <w:tcW w:w="423" w:type="pct"/>
            <w:noWrap/>
            <w:vAlign w:val="center"/>
          </w:tcPr>
          <w:p w14:paraId="0CF6053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9.5</w:t>
            </w:r>
          </w:p>
        </w:tc>
      </w:tr>
      <w:tr w:rsidR="00DE4516" w:rsidRPr="00A260F0" w14:paraId="72DA2475" w14:textId="77777777" w:rsidTr="00A86160">
        <w:trPr>
          <w:cantSplit/>
        </w:trPr>
        <w:tc>
          <w:tcPr>
            <w:tcW w:w="941" w:type="pct"/>
            <w:noWrap/>
            <w:vAlign w:val="center"/>
            <w:hideMark/>
          </w:tcPr>
          <w:p w14:paraId="18AB250C"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Chromite</w:t>
            </w:r>
          </w:p>
        </w:tc>
        <w:tc>
          <w:tcPr>
            <w:tcW w:w="1101" w:type="pct"/>
            <w:noWrap/>
            <w:vAlign w:val="center"/>
            <w:hideMark/>
          </w:tcPr>
          <w:p w14:paraId="78B900F1" w14:textId="77777777" w:rsidR="00DE4516" w:rsidRDefault="00DE4516" w:rsidP="00DE4516">
            <w:pPr>
              <w:pStyle w:val="TableBody"/>
              <w:autoSpaceDE w:val="0"/>
              <w:autoSpaceDN w:val="0"/>
              <w:adjustRightInd w:val="0"/>
            </w:pPr>
            <w:r>
              <w:t>Production</w:t>
            </w:r>
          </w:p>
          <w:p w14:paraId="6C66179B"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w:t>
            </w:r>
            <w:proofErr w:type="gramStart"/>
            <w:r w:rsidRPr="00A46ADC">
              <w:t>million</w:t>
            </w:r>
            <w:proofErr w:type="gramEnd"/>
            <w:r w:rsidRPr="00A46ADC">
              <w:t xml:space="preserve"> tonnes)</w:t>
            </w:r>
          </w:p>
        </w:tc>
        <w:tc>
          <w:tcPr>
            <w:tcW w:w="423" w:type="pct"/>
            <w:noWrap/>
            <w:vAlign w:val="center"/>
            <w:hideMark/>
          </w:tcPr>
          <w:p w14:paraId="23A4917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0.8</w:t>
            </w:r>
          </w:p>
        </w:tc>
        <w:tc>
          <w:tcPr>
            <w:tcW w:w="423" w:type="pct"/>
            <w:noWrap/>
            <w:vAlign w:val="center"/>
            <w:hideMark/>
          </w:tcPr>
          <w:p w14:paraId="7B6D5B5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0.4</w:t>
            </w:r>
          </w:p>
        </w:tc>
        <w:tc>
          <w:tcPr>
            <w:tcW w:w="423" w:type="pct"/>
            <w:noWrap/>
            <w:vAlign w:val="center"/>
            <w:hideMark/>
          </w:tcPr>
          <w:p w14:paraId="2D55318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0.6</w:t>
            </w:r>
          </w:p>
        </w:tc>
        <w:tc>
          <w:tcPr>
            <w:tcW w:w="423" w:type="pct"/>
            <w:noWrap/>
            <w:vAlign w:val="center"/>
            <w:hideMark/>
          </w:tcPr>
          <w:p w14:paraId="3858FE1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0.5</w:t>
            </w:r>
          </w:p>
        </w:tc>
        <w:tc>
          <w:tcPr>
            <w:tcW w:w="423" w:type="pct"/>
            <w:noWrap/>
            <w:vAlign w:val="center"/>
          </w:tcPr>
          <w:p w14:paraId="4918F5E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0.9</w:t>
            </w:r>
          </w:p>
        </w:tc>
        <w:tc>
          <w:tcPr>
            <w:tcW w:w="423" w:type="pct"/>
            <w:noWrap/>
            <w:vAlign w:val="center"/>
          </w:tcPr>
          <w:p w14:paraId="5D9F4DB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0.7</w:t>
            </w:r>
          </w:p>
        </w:tc>
        <w:tc>
          <w:tcPr>
            <w:tcW w:w="423" w:type="pct"/>
            <w:noWrap/>
            <w:vAlign w:val="center"/>
          </w:tcPr>
          <w:p w14:paraId="4374CC9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0.4</w:t>
            </w:r>
          </w:p>
        </w:tc>
      </w:tr>
      <w:tr w:rsidR="00DE4516" w:rsidRPr="00A260F0" w14:paraId="6DAD0A40"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941" w:type="pct"/>
            <w:noWrap/>
            <w:vAlign w:val="center"/>
            <w:hideMark/>
          </w:tcPr>
          <w:p w14:paraId="35B587A7" w14:textId="77777777" w:rsidR="00DE4516" w:rsidRPr="00A46ADC" w:rsidRDefault="00DE4516" w:rsidP="00DE4516">
            <w:pPr>
              <w:pStyle w:val="TableBody"/>
              <w:autoSpaceDE w:val="0"/>
              <w:autoSpaceDN w:val="0"/>
              <w:adjustRightInd w:val="0"/>
              <w:jc w:val="both"/>
            </w:pPr>
          </w:p>
        </w:tc>
        <w:tc>
          <w:tcPr>
            <w:tcW w:w="1101" w:type="pct"/>
            <w:noWrap/>
            <w:vAlign w:val="center"/>
            <w:hideMark/>
          </w:tcPr>
          <w:p w14:paraId="1021E1EB"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Value</w:t>
            </w:r>
            <w:r w:rsidRPr="00A46ADC">
              <w:br/>
              <w:t>(million OMR)</w:t>
            </w:r>
          </w:p>
        </w:tc>
        <w:tc>
          <w:tcPr>
            <w:tcW w:w="423" w:type="pct"/>
            <w:noWrap/>
            <w:vAlign w:val="center"/>
            <w:hideMark/>
          </w:tcPr>
          <w:p w14:paraId="7EE4BC7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22.9</w:t>
            </w:r>
          </w:p>
        </w:tc>
        <w:tc>
          <w:tcPr>
            <w:tcW w:w="423" w:type="pct"/>
            <w:noWrap/>
            <w:vAlign w:val="center"/>
            <w:hideMark/>
          </w:tcPr>
          <w:p w14:paraId="281E7DF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16.0</w:t>
            </w:r>
          </w:p>
        </w:tc>
        <w:tc>
          <w:tcPr>
            <w:tcW w:w="423" w:type="pct"/>
            <w:noWrap/>
            <w:vAlign w:val="center"/>
            <w:hideMark/>
          </w:tcPr>
          <w:p w14:paraId="34D24B4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18.1</w:t>
            </w:r>
          </w:p>
        </w:tc>
        <w:tc>
          <w:tcPr>
            <w:tcW w:w="423" w:type="pct"/>
            <w:noWrap/>
            <w:vAlign w:val="center"/>
            <w:hideMark/>
          </w:tcPr>
          <w:p w14:paraId="029E127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22.1</w:t>
            </w:r>
          </w:p>
        </w:tc>
        <w:tc>
          <w:tcPr>
            <w:tcW w:w="423" w:type="pct"/>
            <w:noWrap/>
            <w:vAlign w:val="center"/>
            <w:hideMark/>
          </w:tcPr>
          <w:p w14:paraId="05376A3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30.1</w:t>
            </w:r>
          </w:p>
        </w:tc>
        <w:tc>
          <w:tcPr>
            <w:tcW w:w="423" w:type="pct"/>
            <w:noWrap/>
            <w:vAlign w:val="center"/>
            <w:hideMark/>
          </w:tcPr>
          <w:p w14:paraId="39F2E46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19.6</w:t>
            </w:r>
          </w:p>
        </w:tc>
        <w:tc>
          <w:tcPr>
            <w:tcW w:w="423" w:type="pct"/>
            <w:noWrap/>
            <w:vAlign w:val="center"/>
          </w:tcPr>
          <w:p w14:paraId="3630154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8.9</w:t>
            </w:r>
          </w:p>
        </w:tc>
      </w:tr>
      <w:tr w:rsidR="00DE4516" w:rsidRPr="00A260F0" w14:paraId="3513DB35" w14:textId="77777777" w:rsidTr="00A86160">
        <w:trPr>
          <w:cantSplit/>
        </w:trPr>
        <w:tc>
          <w:tcPr>
            <w:tcW w:w="941" w:type="pct"/>
            <w:noWrap/>
            <w:vAlign w:val="center"/>
            <w:hideMark/>
          </w:tcPr>
          <w:p w14:paraId="226F21B4"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Copper</w:t>
            </w:r>
          </w:p>
        </w:tc>
        <w:tc>
          <w:tcPr>
            <w:tcW w:w="1101" w:type="pct"/>
            <w:noWrap/>
            <w:vAlign w:val="center"/>
            <w:hideMark/>
          </w:tcPr>
          <w:p w14:paraId="1C6CB1F6"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metric tonnes</w:t>
            </w:r>
          </w:p>
        </w:tc>
        <w:tc>
          <w:tcPr>
            <w:tcW w:w="423" w:type="pct"/>
            <w:noWrap/>
            <w:vAlign w:val="center"/>
            <w:hideMark/>
          </w:tcPr>
          <w:p w14:paraId="10F3ED5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0.1</w:t>
            </w:r>
          </w:p>
        </w:tc>
        <w:tc>
          <w:tcPr>
            <w:tcW w:w="423" w:type="pct"/>
            <w:noWrap/>
            <w:vAlign w:val="center"/>
            <w:hideMark/>
          </w:tcPr>
          <w:p w14:paraId="78E57E5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c>
          <w:tcPr>
            <w:tcW w:w="423" w:type="pct"/>
            <w:noWrap/>
            <w:vAlign w:val="center"/>
            <w:hideMark/>
          </w:tcPr>
          <w:p w14:paraId="172DD2D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c>
          <w:tcPr>
            <w:tcW w:w="423" w:type="pct"/>
            <w:noWrap/>
            <w:vAlign w:val="center"/>
            <w:hideMark/>
          </w:tcPr>
          <w:p w14:paraId="53FE2AC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c>
          <w:tcPr>
            <w:tcW w:w="423" w:type="pct"/>
            <w:noWrap/>
            <w:vAlign w:val="center"/>
            <w:hideMark/>
          </w:tcPr>
          <w:p w14:paraId="58BC796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c>
          <w:tcPr>
            <w:tcW w:w="423" w:type="pct"/>
            <w:noWrap/>
            <w:vAlign w:val="center"/>
            <w:hideMark/>
          </w:tcPr>
          <w:p w14:paraId="518B0F9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c>
          <w:tcPr>
            <w:tcW w:w="423" w:type="pct"/>
            <w:noWrap/>
            <w:vAlign w:val="center"/>
          </w:tcPr>
          <w:p w14:paraId="5EE2924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r>
      <w:tr w:rsidR="00DE4516" w:rsidRPr="00A260F0" w14:paraId="072F6D9E"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941" w:type="pct"/>
            <w:noWrap/>
            <w:vAlign w:val="center"/>
            <w:hideMark/>
          </w:tcPr>
          <w:p w14:paraId="55CD596B" w14:textId="77777777" w:rsidR="00DE4516" w:rsidRPr="00A46ADC" w:rsidRDefault="00DE4516" w:rsidP="00DE4516">
            <w:pPr>
              <w:pStyle w:val="TableBody"/>
              <w:autoSpaceDE w:val="0"/>
              <w:autoSpaceDN w:val="0"/>
              <w:adjustRightInd w:val="0"/>
              <w:jc w:val="both"/>
            </w:pPr>
          </w:p>
        </w:tc>
        <w:tc>
          <w:tcPr>
            <w:tcW w:w="1101" w:type="pct"/>
            <w:noWrap/>
            <w:vAlign w:val="center"/>
            <w:hideMark/>
          </w:tcPr>
          <w:p w14:paraId="41EC3D8E" w14:textId="77777777" w:rsidR="00DE4516" w:rsidRPr="00A46ADC" w:rsidRDefault="00DE4516" w:rsidP="00DE4516">
            <w:pPr>
              <w:pStyle w:val="TableBody"/>
              <w:autoSpaceDE w:val="0"/>
              <w:autoSpaceDN w:val="0"/>
              <w:adjustRightInd w:val="0"/>
              <w:jc w:val="both"/>
              <w:rPr>
                <w:sz w:val="15"/>
                <w:szCs w:val="14"/>
              </w:rPr>
            </w:pPr>
            <w:r w:rsidRPr="00A46ADC">
              <w:t>Value</w:t>
            </w:r>
            <w:r w:rsidRPr="00A46ADC">
              <w:br/>
              <w:t>(million OMR)</w:t>
            </w:r>
          </w:p>
        </w:tc>
        <w:tc>
          <w:tcPr>
            <w:tcW w:w="423" w:type="pct"/>
            <w:noWrap/>
            <w:vAlign w:val="center"/>
            <w:hideMark/>
          </w:tcPr>
          <w:p w14:paraId="1F0248B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22.6</w:t>
            </w:r>
          </w:p>
        </w:tc>
        <w:tc>
          <w:tcPr>
            <w:tcW w:w="423" w:type="pct"/>
            <w:noWrap/>
            <w:vAlign w:val="center"/>
            <w:hideMark/>
          </w:tcPr>
          <w:p w14:paraId="35ABEC3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11.3</w:t>
            </w:r>
          </w:p>
        </w:tc>
        <w:tc>
          <w:tcPr>
            <w:tcW w:w="423" w:type="pct"/>
            <w:noWrap/>
            <w:vAlign w:val="center"/>
            <w:hideMark/>
          </w:tcPr>
          <w:p w14:paraId="1F92F1F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c>
          <w:tcPr>
            <w:tcW w:w="423" w:type="pct"/>
            <w:noWrap/>
            <w:vAlign w:val="center"/>
            <w:hideMark/>
          </w:tcPr>
          <w:p w14:paraId="6359A31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c>
          <w:tcPr>
            <w:tcW w:w="423" w:type="pct"/>
            <w:noWrap/>
            <w:vAlign w:val="center"/>
            <w:hideMark/>
          </w:tcPr>
          <w:p w14:paraId="00D1933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c>
          <w:tcPr>
            <w:tcW w:w="423" w:type="pct"/>
            <w:noWrap/>
            <w:vAlign w:val="center"/>
            <w:hideMark/>
          </w:tcPr>
          <w:p w14:paraId="0308E51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c>
          <w:tcPr>
            <w:tcW w:w="423" w:type="pct"/>
            <w:noWrap/>
            <w:vAlign w:val="center"/>
          </w:tcPr>
          <w:p w14:paraId="0748995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0.0</w:t>
            </w:r>
          </w:p>
        </w:tc>
      </w:tr>
      <w:tr w:rsidR="00DE4516" w:rsidRPr="00A260F0" w14:paraId="2070BA7F" w14:textId="77777777" w:rsidTr="00A86160">
        <w:trPr>
          <w:cantSplit/>
        </w:trPr>
        <w:tc>
          <w:tcPr>
            <w:tcW w:w="2041" w:type="pct"/>
            <w:gridSpan w:val="2"/>
            <w:tcBorders>
              <w:bottom w:val="single" w:sz="4" w:space="0" w:color="auto"/>
            </w:tcBorders>
            <w:noWrap/>
            <w:vAlign w:val="center"/>
            <w:hideMark/>
          </w:tcPr>
          <w:p w14:paraId="418D0AC8" w14:textId="77777777" w:rsidR="00DE4516" w:rsidRPr="00A46ADC" w:rsidRDefault="00DE4516" w:rsidP="00DE4516">
            <w:pPr>
              <w:pStyle w:val="TableBody"/>
              <w:autoSpaceDE w:val="0"/>
              <w:autoSpaceDN w:val="0"/>
              <w:adjustRightInd w:val="0"/>
              <w:jc w:val="both"/>
              <w:rPr>
                <w:rFonts w:cs="Calibri"/>
                <w:b/>
                <w:bCs/>
                <w:color w:val="000000"/>
                <w:sz w:val="15"/>
                <w:szCs w:val="14"/>
              </w:rPr>
            </w:pPr>
            <w:r w:rsidRPr="00A46ADC">
              <w:rPr>
                <w:b/>
              </w:rPr>
              <w:t>Sectoral GDP (million OMR)</w:t>
            </w:r>
          </w:p>
        </w:tc>
        <w:tc>
          <w:tcPr>
            <w:tcW w:w="423" w:type="pct"/>
            <w:tcBorders>
              <w:bottom w:val="single" w:sz="4" w:space="0" w:color="auto"/>
            </w:tcBorders>
            <w:noWrap/>
            <w:vAlign w:val="center"/>
            <w:hideMark/>
          </w:tcPr>
          <w:p w14:paraId="5AE366DE"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120.0</w:t>
            </w:r>
          </w:p>
        </w:tc>
        <w:tc>
          <w:tcPr>
            <w:tcW w:w="423" w:type="pct"/>
            <w:tcBorders>
              <w:bottom w:val="single" w:sz="4" w:space="0" w:color="auto"/>
            </w:tcBorders>
            <w:noWrap/>
            <w:vAlign w:val="center"/>
            <w:hideMark/>
          </w:tcPr>
          <w:p w14:paraId="60EE315B"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122.8</w:t>
            </w:r>
          </w:p>
        </w:tc>
        <w:tc>
          <w:tcPr>
            <w:tcW w:w="423" w:type="pct"/>
            <w:tcBorders>
              <w:bottom w:val="single" w:sz="4" w:space="0" w:color="auto"/>
            </w:tcBorders>
            <w:noWrap/>
            <w:vAlign w:val="center"/>
            <w:hideMark/>
          </w:tcPr>
          <w:p w14:paraId="2CE860AD"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128.1</w:t>
            </w:r>
          </w:p>
        </w:tc>
        <w:tc>
          <w:tcPr>
            <w:tcW w:w="423" w:type="pct"/>
            <w:tcBorders>
              <w:bottom w:val="single" w:sz="4" w:space="0" w:color="auto"/>
            </w:tcBorders>
            <w:noWrap/>
            <w:vAlign w:val="center"/>
            <w:hideMark/>
          </w:tcPr>
          <w:p w14:paraId="69D1A6E9"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148.1</w:t>
            </w:r>
          </w:p>
        </w:tc>
        <w:tc>
          <w:tcPr>
            <w:tcW w:w="423" w:type="pct"/>
            <w:tcBorders>
              <w:bottom w:val="single" w:sz="4" w:space="0" w:color="auto"/>
            </w:tcBorders>
            <w:noWrap/>
            <w:vAlign w:val="center"/>
            <w:hideMark/>
          </w:tcPr>
          <w:p w14:paraId="2AFD1F39"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140.3</w:t>
            </w:r>
          </w:p>
        </w:tc>
        <w:tc>
          <w:tcPr>
            <w:tcW w:w="423" w:type="pct"/>
            <w:tcBorders>
              <w:bottom w:val="single" w:sz="4" w:space="0" w:color="auto"/>
            </w:tcBorders>
            <w:noWrap/>
            <w:vAlign w:val="center"/>
            <w:hideMark/>
          </w:tcPr>
          <w:p w14:paraId="4BA39ABC"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125.5</w:t>
            </w:r>
          </w:p>
        </w:tc>
        <w:tc>
          <w:tcPr>
            <w:tcW w:w="423" w:type="pct"/>
            <w:tcBorders>
              <w:bottom w:val="single" w:sz="4" w:space="0" w:color="auto"/>
            </w:tcBorders>
            <w:noWrap/>
            <w:vAlign w:val="center"/>
          </w:tcPr>
          <w:p w14:paraId="5E73EDA5"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129.5</w:t>
            </w:r>
          </w:p>
        </w:tc>
      </w:tr>
    </w:tbl>
    <w:p w14:paraId="23698FE6" w14:textId="1CF20472" w:rsidR="00DE4516" w:rsidRDefault="00DE4516">
      <w:pPr>
        <w:pStyle w:val="TableSource"/>
        <w:autoSpaceDE w:val="0"/>
        <w:autoSpaceDN w:val="0"/>
        <w:adjustRightInd w:val="0"/>
        <w:rPr>
          <w:szCs w:val="24"/>
        </w:rPr>
      </w:pPr>
      <w:r>
        <w:rPr>
          <w:szCs w:val="24"/>
        </w:rPr>
        <w:t>Source:</w:t>
      </w:r>
      <w:r>
        <w:rPr>
          <w:szCs w:val="24"/>
        </w:rPr>
        <w:tab/>
        <w:t xml:space="preserve">National Centre for Statistics and Information, </w:t>
      </w:r>
      <w:r>
        <w:rPr>
          <w:i/>
          <w:szCs w:val="24"/>
        </w:rPr>
        <w:t>Oil and Gas</w:t>
      </w:r>
      <w:r>
        <w:rPr>
          <w:szCs w:val="24"/>
        </w:rPr>
        <w:t xml:space="preserve">. Viewed at: </w:t>
      </w:r>
      <w:hyperlink r:id="rId25" w:history="1">
        <w:r w:rsidRPr="00D5600E">
          <w:rPr>
            <w:color w:val="0000FF"/>
            <w:szCs w:val="24"/>
            <w:u w:val="single"/>
          </w:rPr>
          <w:t>https://data.gov.om/OMOLGS2016/oil-and-gas</w:t>
        </w:r>
      </w:hyperlink>
      <w:r>
        <w:rPr>
          <w:szCs w:val="24"/>
        </w:rPr>
        <w:t>; and information provided by the authorities.</w:t>
      </w:r>
    </w:p>
    <w:p w14:paraId="23C2309D" w14:textId="77777777" w:rsidR="00DE4516" w:rsidRDefault="00DE4516">
      <w:pPr>
        <w:pStyle w:val="BodyText0"/>
        <w:autoSpaceDE w:val="0"/>
        <w:autoSpaceDN w:val="0"/>
        <w:adjustRightInd w:val="0"/>
        <w:rPr>
          <w:szCs w:val="24"/>
        </w:rPr>
      </w:pPr>
      <w:r>
        <w:rPr>
          <w:szCs w:val="24"/>
        </w:rPr>
        <w:t>Since the last Review in 2013, the legal and institutional framework has been restructured with an aim to further streamline administrative operation and enhance the efficiency of the sector. The PAM, created in 2014, was dissolved in August 2020; its regulatory functions were transferred to the MEM. The main legislation concerning the sector is the Mineral Resources Law, which entered in force on 14 March 2019 and repealed the Mining Law and its amendments.</w:t>
      </w:r>
      <w:r w:rsidRPr="00DE4516">
        <w:rPr>
          <w:rStyle w:val="FootnoteReference"/>
        </w:rPr>
        <w:footnoteReference w:id="215"/>
      </w:r>
      <w:r>
        <w:rPr>
          <w:szCs w:val="24"/>
        </w:rPr>
        <w:t xml:space="preserve"> The Law strengthens the powers of the sectoral regulating authority, whose exclusive responsibilities include issuing mining licences, negotiating concession agreements, conducting inspections of mining activities, and ensuring compliance by the licensees. According to the authorities, the new framework may provide investors with more incentives, guarantees, transparency, and certainty.</w:t>
      </w:r>
    </w:p>
    <w:p w14:paraId="6BCFCA81" w14:textId="77777777" w:rsidR="00DE4516" w:rsidRDefault="00DE4516">
      <w:pPr>
        <w:pStyle w:val="BodyText0"/>
        <w:autoSpaceDE w:val="0"/>
        <w:autoSpaceDN w:val="0"/>
        <w:adjustRightInd w:val="0"/>
        <w:rPr>
          <w:szCs w:val="24"/>
        </w:rPr>
      </w:pPr>
      <w:r>
        <w:rPr>
          <w:szCs w:val="24"/>
        </w:rPr>
        <w:t>The Mineral Resources Law reaffirms state ownership of the natural underground resources in Oman's territory (including in the territorial waters, in the exclusive economic zone, and on the continental shelf); any mining activity must acquire a permit or a licence from the authorities.</w:t>
      </w:r>
    </w:p>
    <w:p w14:paraId="1D989E0B" w14:textId="77777777" w:rsidR="00DE4516" w:rsidRDefault="00DE4516">
      <w:pPr>
        <w:pStyle w:val="BodyText0"/>
        <w:autoSpaceDE w:val="0"/>
        <w:autoSpaceDN w:val="0"/>
        <w:adjustRightInd w:val="0"/>
        <w:rPr>
          <w:szCs w:val="24"/>
        </w:rPr>
      </w:pPr>
      <w:r>
        <w:rPr>
          <w:szCs w:val="24"/>
        </w:rPr>
        <w:lastRenderedPageBreak/>
        <w:t>For mining activities, there are three types of licences. It is also possible to obtain a whole life licence that combines all three licences.</w:t>
      </w:r>
    </w:p>
    <w:p w14:paraId="02F3C41F" w14:textId="77777777" w:rsidR="00DE4516" w:rsidRDefault="00DE4516">
      <w:pPr>
        <w:pStyle w:val="NumBulListLevel1"/>
        <w:autoSpaceDE w:val="0"/>
        <w:autoSpaceDN w:val="0"/>
        <w:adjustRightInd w:val="0"/>
        <w:rPr>
          <w:szCs w:val="24"/>
        </w:rPr>
      </w:pPr>
      <w:r>
        <w:rPr>
          <w:szCs w:val="24"/>
        </w:rPr>
        <w:t>•</w:t>
      </w:r>
      <w:r>
        <w:rPr>
          <w:szCs w:val="24"/>
        </w:rPr>
        <w:tab/>
        <w:t>Prospection Licence:</w:t>
      </w:r>
      <w:r>
        <w:rPr>
          <w:szCs w:val="24"/>
        </w:rPr>
        <w:tab/>
        <w:t xml:space="preserve">for activities that test the surface or the subsurface of the earth, using geological and geophysical methods to identify different </w:t>
      </w:r>
      <w:proofErr w:type="gramStart"/>
      <w:r>
        <w:rPr>
          <w:szCs w:val="24"/>
        </w:rPr>
        <w:t>minerals;</w:t>
      </w:r>
      <w:proofErr w:type="gramEnd"/>
    </w:p>
    <w:p w14:paraId="5CB78E9C" w14:textId="77777777" w:rsidR="00DE4516" w:rsidRDefault="00DE4516">
      <w:pPr>
        <w:pStyle w:val="NumBulListLevel1"/>
        <w:autoSpaceDE w:val="0"/>
        <w:autoSpaceDN w:val="0"/>
        <w:adjustRightInd w:val="0"/>
        <w:rPr>
          <w:szCs w:val="24"/>
        </w:rPr>
      </w:pPr>
      <w:r>
        <w:rPr>
          <w:szCs w:val="24"/>
        </w:rPr>
        <w:t>•</w:t>
      </w:r>
      <w:r>
        <w:rPr>
          <w:szCs w:val="24"/>
        </w:rPr>
        <w:tab/>
        <w:t>Exploration Licence:</w:t>
      </w:r>
      <w:r>
        <w:rPr>
          <w:szCs w:val="24"/>
        </w:rPr>
        <w:tab/>
        <w:t>for activities of extraction operations to locate or prove mineral deposits; and</w:t>
      </w:r>
    </w:p>
    <w:p w14:paraId="08E6DD1B" w14:textId="77777777" w:rsidR="00DE4516" w:rsidRDefault="00DE4516">
      <w:pPr>
        <w:pStyle w:val="NumBulListLevel1"/>
        <w:autoSpaceDE w:val="0"/>
        <w:autoSpaceDN w:val="0"/>
        <w:adjustRightInd w:val="0"/>
        <w:rPr>
          <w:szCs w:val="24"/>
        </w:rPr>
      </w:pPr>
      <w:r>
        <w:rPr>
          <w:szCs w:val="24"/>
        </w:rPr>
        <w:t>•</w:t>
      </w:r>
      <w:r>
        <w:rPr>
          <w:szCs w:val="24"/>
        </w:rPr>
        <w:tab/>
        <w:t>Exploitation Licence:</w:t>
      </w:r>
      <w:r>
        <w:rPr>
          <w:szCs w:val="24"/>
        </w:rPr>
        <w:tab/>
        <w:t>for activities of extracting mineral resources with the aim of producing them on large scale.</w:t>
      </w:r>
    </w:p>
    <w:p w14:paraId="1BBD048A" w14:textId="77777777" w:rsidR="00DE4516" w:rsidRDefault="00DE4516">
      <w:pPr>
        <w:pStyle w:val="BodyText0"/>
        <w:autoSpaceDE w:val="0"/>
        <w:autoSpaceDN w:val="0"/>
        <w:adjustRightInd w:val="0"/>
        <w:rPr>
          <w:szCs w:val="24"/>
        </w:rPr>
      </w:pPr>
      <w:r>
        <w:rPr>
          <w:szCs w:val="24"/>
        </w:rPr>
        <w:t>Licence applicants must obtain pre</w:t>
      </w:r>
      <w:r>
        <w:rPr>
          <w:szCs w:val="24"/>
        </w:rPr>
        <w:noBreakHyphen/>
        <w:t>approval from various ministries. In addition to halving the number of ministerial approvals to four, the Mineral Resources Law also puts a strict timeline (60 days) for governmental agencies to respond to a mining licence application. Under the Law, licences for prospection and exploration are valid for one year, renewable for a period up to three years; a licence for exploitation is valid for five years, renewable for three years. Licences are not transferable, unless approved by the authorities.</w:t>
      </w:r>
    </w:p>
    <w:p w14:paraId="3D63F0A8" w14:textId="77777777" w:rsidR="00DE4516" w:rsidRDefault="00DE4516">
      <w:pPr>
        <w:pStyle w:val="BodyText0"/>
        <w:autoSpaceDE w:val="0"/>
        <w:autoSpaceDN w:val="0"/>
        <w:adjustRightInd w:val="0"/>
        <w:rPr>
          <w:szCs w:val="24"/>
        </w:rPr>
      </w:pPr>
      <w:r>
        <w:rPr>
          <w:szCs w:val="24"/>
        </w:rPr>
        <w:t>The Law draws a distinction between licences and concession agreements – the mining rights for any perimeter exceeding five km</w:t>
      </w:r>
      <w:r>
        <w:rPr>
          <w:szCs w:val="24"/>
          <w:vertAlign w:val="superscript"/>
        </w:rPr>
        <w:t>2</w:t>
      </w:r>
      <w:r>
        <w:rPr>
          <w:szCs w:val="24"/>
        </w:rPr>
        <w:t xml:space="preserve"> should be granted solely on a concession agreement. Concession agreements for large deposits shall be granted for a period between 20 and 30 years, upon approval from the authorities and being authorized by virtue of a Royal Decree. Concessionaires are not allowed to sub-let their perimeters granted by the agreement. According to the authorities, mining concessions are considered as major means for developing the mining sectors, while extraction of building materials and marble continues to be managed mainly through the licensing process.</w:t>
      </w:r>
    </w:p>
    <w:p w14:paraId="3E1444A8" w14:textId="77777777" w:rsidR="00DE4516" w:rsidRDefault="00DE4516">
      <w:pPr>
        <w:pStyle w:val="BodyText0"/>
        <w:autoSpaceDE w:val="0"/>
        <w:autoSpaceDN w:val="0"/>
        <w:adjustRightInd w:val="0"/>
        <w:rPr>
          <w:szCs w:val="24"/>
        </w:rPr>
      </w:pPr>
      <w:r>
        <w:rPr>
          <w:szCs w:val="24"/>
        </w:rPr>
        <w:t>Licensees are requested to submit a financial guarantee of 1% of the project cost, and to pay an annual rent and royalties. Compared to the fixed 10% set in the previous law, the new law provides flexibility on royalty payment: at least 5% on the annual value of the extracted minerals, dependent on world market conditions. In addition, a licence holder is required to pay a minimum of 1% of annual production towards a corporate social responsibility fund managed by the authorities.</w:t>
      </w:r>
    </w:p>
    <w:p w14:paraId="2A9AC2E4" w14:textId="77777777" w:rsidR="00DE4516" w:rsidRDefault="00DE4516">
      <w:pPr>
        <w:pStyle w:val="BodyText0"/>
        <w:autoSpaceDE w:val="0"/>
        <w:autoSpaceDN w:val="0"/>
        <w:adjustRightInd w:val="0"/>
        <w:rPr>
          <w:szCs w:val="24"/>
        </w:rPr>
      </w:pPr>
      <w:r>
        <w:rPr>
          <w:szCs w:val="24"/>
        </w:rPr>
        <w:t xml:space="preserve">The main metallic minerals are produced by the state-owned Oman Mining Company (OMC), and the privately owned </w:t>
      </w:r>
      <w:proofErr w:type="spellStart"/>
      <w:r>
        <w:rPr>
          <w:szCs w:val="24"/>
        </w:rPr>
        <w:t>Mawarid</w:t>
      </w:r>
      <w:proofErr w:type="spellEnd"/>
      <w:r>
        <w:rPr>
          <w:szCs w:val="24"/>
        </w:rPr>
        <w:t xml:space="preserve"> Mining. In addition, chromite is being mined by Oman Chromite Company (OCC), which is partially state-owned. Another important player in Oman's mining industry is Minerals Development Oman (MDO), a state-owned conglomeration of three Omani sovereign wealth funds and government investment entities</w:t>
      </w:r>
      <w:r w:rsidRPr="00DE4516">
        <w:rPr>
          <w:rStyle w:val="FootnoteReference"/>
        </w:rPr>
        <w:footnoteReference w:id="216"/>
      </w:r>
      <w:r>
        <w:rPr>
          <w:szCs w:val="24"/>
        </w:rPr>
        <w:t>; the MDO's role is to facilitate investment through joint ventures with private firms. The MDO has received multiple mining licences and is investing heavily in prospective mineral resources, as the Government's preferred partner for mineral concessions.</w:t>
      </w:r>
    </w:p>
    <w:p w14:paraId="0E3360D9" w14:textId="77777777" w:rsidR="00DE4516" w:rsidRDefault="00DE4516">
      <w:pPr>
        <w:pStyle w:val="BodyText0"/>
        <w:autoSpaceDE w:val="0"/>
        <w:autoSpaceDN w:val="0"/>
        <w:adjustRightInd w:val="0"/>
        <w:rPr>
          <w:szCs w:val="24"/>
        </w:rPr>
      </w:pPr>
      <w:r>
        <w:rPr>
          <w:szCs w:val="24"/>
        </w:rPr>
        <w:t xml:space="preserve">Although foreign firms can acquire mining permits, most foreign investors participate in this sector as service contractors or as joint venture partners with Omani firms. The improvement of transport infrastructure, especially the railway link under construction, is expected to boost the production and trade of mining minerals, attracting foreign </w:t>
      </w:r>
      <w:proofErr w:type="gramStart"/>
      <w:r>
        <w:rPr>
          <w:szCs w:val="24"/>
        </w:rPr>
        <w:t>investment</w:t>
      </w:r>
      <w:proofErr w:type="gramEnd"/>
      <w:r>
        <w:rPr>
          <w:szCs w:val="24"/>
        </w:rPr>
        <w:t xml:space="preserve"> and creating jobs.</w:t>
      </w:r>
    </w:p>
    <w:p w14:paraId="64172B43" w14:textId="77777777" w:rsidR="00DE4516" w:rsidRDefault="00DE4516">
      <w:pPr>
        <w:pStyle w:val="BodyText0"/>
        <w:autoSpaceDE w:val="0"/>
        <w:autoSpaceDN w:val="0"/>
        <w:adjustRightInd w:val="0"/>
        <w:rPr>
          <w:szCs w:val="24"/>
        </w:rPr>
      </w:pPr>
      <w:r>
        <w:rPr>
          <w:szCs w:val="24"/>
        </w:rPr>
        <w:t xml:space="preserve">In 2020, there were 4,691 people employed in the mining and quarrying sector, of which 1,006 were Omani. As with many of Oman's key development sectors, there is a minimum </w:t>
      </w:r>
      <w:proofErr w:type="spellStart"/>
      <w:r>
        <w:rPr>
          <w:szCs w:val="24"/>
        </w:rPr>
        <w:t>Omanization</w:t>
      </w:r>
      <w:proofErr w:type="spellEnd"/>
      <w:r>
        <w:rPr>
          <w:szCs w:val="24"/>
        </w:rPr>
        <w:t xml:space="preserve"> target of 35% for all private companies. The mining sector reached approximately 21% in 2020.</w:t>
      </w:r>
    </w:p>
    <w:p w14:paraId="67E39FA6" w14:textId="77777777" w:rsidR="00DE4516" w:rsidRDefault="00DE4516">
      <w:pPr>
        <w:pStyle w:val="Heading30"/>
        <w:autoSpaceDE w:val="0"/>
        <w:autoSpaceDN w:val="0"/>
        <w:adjustRightInd w:val="0"/>
        <w:rPr>
          <w:szCs w:val="24"/>
        </w:rPr>
      </w:pPr>
      <w:r>
        <w:rPr>
          <w:szCs w:val="24"/>
        </w:rPr>
        <w:t>Hydrocarbons</w:t>
      </w:r>
    </w:p>
    <w:p w14:paraId="22709C3E" w14:textId="77777777" w:rsidR="00DE4516" w:rsidRDefault="00DE4516">
      <w:pPr>
        <w:pStyle w:val="BodyText0"/>
        <w:autoSpaceDE w:val="0"/>
        <w:autoSpaceDN w:val="0"/>
        <w:adjustRightInd w:val="0"/>
        <w:rPr>
          <w:szCs w:val="24"/>
        </w:rPr>
      </w:pPr>
      <w:r>
        <w:rPr>
          <w:szCs w:val="24"/>
        </w:rPr>
        <w:t xml:space="preserve">Hydrocarbons play a major role in Oman's economy, though their share in GDP decreased from 46.6% in 2014 to 33% in 2019; they contributed a large part of government revenues, </w:t>
      </w:r>
      <w:r>
        <w:rPr>
          <w:szCs w:val="24"/>
        </w:rPr>
        <w:lastRenderedPageBreak/>
        <w:t>accounting 75.5% in 2019, down from 84.3% in 2014. Oman is not an OPEC member. Its oil production generally expanded during the review period: the average daily crude oil production reached its peak at 1 million barrels in 2016, then fell to 950,700 in 2020 (</w:t>
      </w:r>
      <w:r>
        <w:rPr>
          <w:rStyle w:val="citetbl"/>
          <w:szCs w:val="24"/>
        </w:rPr>
        <w:t>Table 4.5</w:t>
      </w:r>
      <w:r>
        <w:rPr>
          <w:szCs w:val="24"/>
        </w:rPr>
        <w:t>).</w:t>
      </w:r>
    </w:p>
    <w:p w14:paraId="5526B071" w14:textId="77777777" w:rsidR="00DE4516" w:rsidRDefault="00DE4516">
      <w:pPr>
        <w:pStyle w:val="TableTitle"/>
        <w:autoSpaceDE w:val="0"/>
        <w:autoSpaceDN w:val="0"/>
        <w:adjustRightInd w:val="0"/>
      </w:pPr>
      <w:r>
        <w:t>Table 4.5 Selected indicators for oil and gas, 2014-20</w:t>
      </w:r>
    </w:p>
    <w:tbl>
      <w:tblPr>
        <w:tblStyle w:val="WTOTable1"/>
        <w:tblW w:w="0" w:type="auto"/>
        <w:tblLayout w:type="fixed"/>
        <w:tblLook w:val="05E0" w:firstRow="1" w:lastRow="1" w:firstColumn="1" w:lastColumn="1" w:noHBand="0" w:noVBand="1"/>
      </w:tblPr>
      <w:tblGrid>
        <w:gridCol w:w="2122"/>
        <w:gridCol w:w="984"/>
        <w:gridCol w:w="985"/>
        <w:gridCol w:w="985"/>
        <w:gridCol w:w="985"/>
        <w:gridCol w:w="985"/>
        <w:gridCol w:w="985"/>
        <w:gridCol w:w="985"/>
      </w:tblGrid>
      <w:tr w:rsidR="007F015E" w:rsidRPr="007F015E" w14:paraId="60832E45" w14:textId="77777777" w:rsidTr="00A86160">
        <w:trPr>
          <w:cnfStyle w:val="100000000000" w:firstRow="1" w:lastRow="0" w:firstColumn="0" w:lastColumn="0" w:oddVBand="0" w:evenVBand="0" w:oddHBand="0" w:evenHBand="0" w:firstRowFirstColumn="0" w:firstRowLastColumn="0" w:lastRowFirstColumn="0" w:lastRowLastColumn="0"/>
          <w:cantSplit/>
        </w:trPr>
        <w:tc>
          <w:tcPr>
            <w:tcW w:w="2122" w:type="dxa"/>
            <w:tcBorders>
              <w:top w:val="single" w:sz="4" w:space="0" w:color="auto"/>
            </w:tcBorders>
            <w:noWrap/>
            <w:vAlign w:val="center"/>
            <w:hideMark/>
          </w:tcPr>
          <w:p w14:paraId="1E599979" w14:textId="77777777" w:rsidR="00DE4516" w:rsidRPr="007F015E" w:rsidRDefault="00DE4516" w:rsidP="00DE4516">
            <w:pPr>
              <w:pStyle w:val="TableHead"/>
              <w:autoSpaceDE w:val="0"/>
              <w:autoSpaceDN w:val="0"/>
              <w:adjustRightInd w:val="0"/>
              <w:rPr>
                <w:b/>
              </w:rPr>
            </w:pPr>
          </w:p>
        </w:tc>
        <w:tc>
          <w:tcPr>
            <w:tcW w:w="984" w:type="dxa"/>
            <w:tcBorders>
              <w:top w:val="single" w:sz="4" w:space="0" w:color="auto"/>
            </w:tcBorders>
            <w:noWrap/>
            <w:vAlign w:val="center"/>
            <w:hideMark/>
          </w:tcPr>
          <w:p w14:paraId="6E617F09"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2014</w:t>
            </w:r>
          </w:p>
        </w:tc>
        <w:tc>
          <w:tcPr>
            <w:tcW w:w="985" w:type="dxa"/>
            <w:tcBorders>
              <w:top w:val="single" w:sz="4" w:space="0" w:color="auto"/>
            </w:tcBorders>
            <w:noWrap/>
            <w:vAlign w:val="center"/>
            <w:hideMark/>
          </w:tcPr>
          <w:p w14:paraId="2D53726F"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2015</w:t>
            </w:r>
          </w:p>
        </w:tc>
        <w:tc>
          <w:tcPr>
            <w:tcW w:w="985" w:type="dxa"/>
            <w:tcBorders>
              <w:top w:val="single" w:sz="4" w:space="0" w:color="auto"/>
            </w:tcBorders>
            <w:noWrap/>
            <w:vAlign w:val="center"/>
            <w:hideMark/>
          </w:tcPr>
          <w:p w14:paraId="7559D108"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2016</w:t>
            </w:r>
          </w:p>
        </w:tc>
        <w:tc>
          <w:tcPr>
            <w:tcW w:w="985" w:type="dxa"/>
            <w:tcBorders>
              <w:top w:val="single" w:sz="4" w:space="0" w:color="auto"/>
            </w:tcBorders>
            <w:noWrap/>
            <w:vAlign w:val="center"/>
            <w:hideMark/>
          </w:tcPr>
          <w:p w14:paraId="11B50F67"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2017</w:t>
            </w:r>
          </w:p>
        </w:tc>
        <w:tc>
          <w:tcPr>
            <w:tcW w:w="985" w:type="dxa"/>
            <w:tcBorders>
              <w:top w:val="single" w:sz="4" w:space="0" w:color="auto"/>
            </w:tcBorders>
            <w:noWrap/>
            <w:vAlign w:val="center"/>
            <w:hideMark/>
          </w:tcPr>
          <w:p w14:paraId="6A1CA0AE"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2018</w:t>
            </w:r>
          </w:p>
        </w:tc>
        <w:tc>
          <w:tcPr>
            <w:tcW w:w="985" w:type="dxa"/>
            <w:tcBorders>
              <w:top w:val="single" w:sz="4" w:space="0" w:color="auto"/>
            </w:tcBorders>
            <w:noWrap/>
            <w:vAlign w:val="center"/>
            <w:hideMark/>
          </w:tcPr>
          <w:p w14:paraId="674D313D"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2019</w:t>
            </w:r>
          </w:p>
        </w:tc>
        <w:tc>
          <w:tcPr>
            <w:tcW w:w="985" w:type="dxa"/>
            <w:tcBorders>
              <w:top w:val="single" w:sz="4" w:space="0" w:color="auto"/>
            </w:tcBorders>
            <w:noWrap/>
            <w:vAlign w:val="center"/>
            <w:hideMark/>
          </w:tcPr>
          <w:p w14:paraId="1766DEEF" w14:textId="77777777" w:rsidR="00DE4516" w:rsidRPr="007F015E" w:rsidRDefault="00DE4516" w:rsidP="00DE4516">
            <w:pPr>
              <w:pStyle w:val="TableHead"/>
              <w:autoSpaceDE w:val="0"/>
              <w:autoSpaceDN w:val="0"/>
              <w:adjustRightInd w:val="0"/>
              <w:jc w:val="right"/>
              <w:rPr>
                <w:rFonts w:cs="Calibri"/>
                <w:b/>
                <w:color w:val="FFFFFF" w:themeColor="background1"/>
                <w:sz w:val="15"/>
                <w:szCs w:val="14"/>
              </w:rPr>
            </w:pPr>
            <w:r w:rsidRPr="007F015E">
              <w:rPr>
                <w:b/>
              </w:rPr>
              <w:t>2020</w:t>
            </w:r>
          </w:p>
        </w:tc>
      </w:tr>
      <w:tr w:rsidR="007F015E" w:rsidRPr="00A260F0" w14:paraId="4BDAE957" w14:textId="77777777" w:rsidTr="00A86160">
        <w:trPr>
          <w:cantSplit/>
        </w:trPr>
        <w:tc>
          <w:tcPr>
            <w:tcW w:w="2122" w:type="dxa"/>
            <w:noWrap/>
            <w:vAlign w:val="center"/>
            <w:hideMark/>
          </w:tcPr>
          <w:p w14:paraId="2392F6CB" w14:textId="77777777" w:rsidR="00DE4516" w:rsidRPr="00A46ADC" w:rsidRDefault="00DE4516" w:rsidP="00DE4516">
            <w:pPr>
              <w:pStyle w:val="TableBody"/>
              <w:autoSpaceDE w:val="0"/>
              <w:autoSpaceDN w:val="0"/>
              <w:adjustRightInd w:val="0"/>
              <w:jc w:val="both"/>
              <w:rPr>
                <w:rFonts w:cs="Calibri"/>
                <w:b/>
                <w:bCs/>
                <w:sz w:val="15"/>
                <w:szCs w:val="14"/>
              </w:rPr>
            </w:pPr>
            <w:r w:rsidRPr="00A46ADC">
              <w:rPr>
                <w:b/>
              </w:rPr>
              <w:t>GDP (million OMR)</w:t>
            </w:r>
          </w:p>
        </w:tc>
        <w:tc>
          <w:tcPr>
            <w:tcW w:w="984" w:type="dxa"/>
            <w:noWrap/>
            <w:vAlign w:val="center"/>
            <w:hideMark/>
          </w:tcPr>
          <w:p w14:paraId="58128889" w14:textId="77777777" w:rsidR="00DE4516" w:rsidRPr="00A46ADC" w:rsidRDefault="00DE4516" w:rsidP="00DE4516">
            <w:pPr>
              <w:pStyle w:val="TableBody"/>
              <w:autoSpaceDE w:val="0"/>
              <w:autoSpaceDN w:val="0"/>
              <w:adjustRightInd w:val="0"/>
              <w:jc w:val="right"/>
              <w:rPr>
                <w:rFonts w:cs="Calibri"/>
                <w:b/>
                <w:bCs/>
                <w:sz w:val="15"/>
                <w:szCs w:val="14"/>
              </w:rPr>
            </w:pPr>
            <w:r w:rsidRPr="00A46ADC">
              <w:rPr>
                <w:b/>
              </w:rPr>
              <w:t>32,978.2</w:t>
            </w:r>
          </w:p>
        </w:tc>
        <w:tc>
          <w:tcPr>
            <w:tcW w:w="985" w:type="dxa"/>
            <w:noWrap/>
            <w:vAlign w:val="center"/>
            <w:hideMark/>
          </w:tcPr>
          <w:p w14:paraId="5A0CD1D9" w14:textId="77777777" w:rsidR="00DE4516" w:rsidRPr="00A46ADC" w:rsidRDefault="00DE4516" w:rsidP="00DE4516">
            <w:pPr>
              <w:pStyle w:val="TableBody"/>
              <w:autoSpaceDE w:val="0"/>
              <w:autoSpaceDN w:val="0"/>
              <w:adjustRightInd w:val="0"/>
              <w:jc w:val="right"/>
              <w:rPr>
                <w:b/>
                <w:bCs/>
                <w:sz w:val="15"/>
                <w:szCs w:val="14"/>
              </w:rPr>
            </w:pPr>
            <w:r w:rsidRPr="00A46ADC">
              <w:rPr>
                <w:b/>
              </w:rPr>
              <w:t>27,803.8</w:t>
            </w:r>
          </w:p>
        </w:tc>
        <w:tc>
          <w:tcPr>
            <w:tcW w:w="985" w:type="dxa"/>
            <w:noWrap/>
            <w:vAlign w:val="center"/>
            <w:hideMark/>
          </w:tcPr>
          <w:p w14:paraId="38DB691E" w14:textId="77777777" w:rsidR="00DE4516" w:rsidRPr="00A46ADC" w:rsidRDefault="00DE4516" w:rsidP="00DE4516">
            <w:pPr>
              <w:pStyle w:val="TableBody"/>
              <w:autoSpaceDE w:val="0"/>
              <w:autoSpaceDN w:val="0"/>
              <w:adjustRightInd w:val="0"/>
              <w:jc w:val="right"/>
              <w:rPr>
                <w:b/>
                <w:bCs/>
                <w:sz w:val="15"/>
                <w:szCs w:val="14"/>
              </w:rPr>
            </w:pPr>
            <w:r w:rsidRPr="00A46ADC">
              <w:rPr>
                <w:b/>
              </w:rPr>
              <w:t>26,103.3</w:t>
            </w:r>
          </w:p>
        </w:tc>
        <w:tc>
          <w:tcPr>
            <w:tcW w:w="985" w:type="dxa"/>
            <w:noWrap/>
            <w:vAlign w:val="center"/>
            <w:hideMark/>
          </w:tcPr>
          <w:p w14:paraId="545C8455" w14:textId="77777777" w:rsidR="00DE4516" w:rsidRPr="00A46ADC" w:rsidRDefault="00DE4516" w:rsidP="00DE4516">
            <w:pPr>
              <w:pStyle w:val="TableBody"/>
              <w:autoSpaceDE w:val="0"/>
              <w:autoSpaceDN w:val="0"/>
              <w:adjustRightInd w:val="0"/>
              <w:jc w:val="right"/>
              <w:rPr>
                <w:b/>
                <w:bCs/>
                <w:sz w:val="15"/>
                <w:szCs w:val="14"/>
              </w:rPr>
            </w:pPr>
            <w:r w:rsidRPr="00A46ADC">
              <w:rPr>
                <w:b/>
              </w:rPr>
              <w:t>28,259.8</w:t>
            </w:r>
          </w:p>
        </w:tc>
        <w:tc>
          <w:tcPr>
            <w:tcW w:w="985" w:type="dxa"/>
            <w:noWrap/>
            <w:vAlign w:val="center"/>
            <w:hideMark/>
          </w:tcPr>
          <w:p w14:paraId="7C4D81F3" w14:textId="77777777" w:rsidR="00DE4516" w:rsidRPr="00A46ADC" w:rsidRDefault="00DE4516" w:rsidP="00DE4516">
            <w:pPr>
              <w:pStyle w:val="TableBody"/>
              <w:autoSpaceDE w:val="0"/>
              <w:autoSpaceDN w:val="0"/>
              <w:adjustRightInd w:val="0"/>
              <w:jc w:val="right"/>
              <w:rPr>
                <w:b/>
                <w:bCs/>
                <w:sz w:val="15"/>
                <w:szCs w:val="14"/>
              </w:rPr>
            </w:pPr>
            <w:r w:rsidRPr="00A46ADC">
              <w:rPr>
                <w:b/>
              </w:rPr>
              <w:t>31,822.2</w:t>
            </w:r>
          </w:p>
        </w:tc>
        <w:tc>
          <w:tcPr>
            <w:tcW w:w="985" w:type="dxa"/>
            <w:noWrap/>
            <w:vAlign w:val="center"/>
            <w:hideMark/>
          </w:tcPr>
          <w:p w14:paraId="447F35A6" w14:textId="77777777" w:rsidR="00DE4516" w:rsidRPr="00A46ADC" w:rsidRDefault="00DE4516" w:rsidP="00DE4516">
            <w:pPr>
              <w:pStyle w:val="TableBody"/>
              <w:autoSpaceDE w:val="0"/>
              <w:autoSpaceDN w:val="0"/>
              <w:adjustRightInd w:val="0"/>
              <w:jc w:val="right"/>
              <w:rPr>
                <w:b/>
                <w:bCs/>
                <w:sz w:val="15"/>
                <w:szCs w:val="14"/>
              </w:rPr>
            </w:pPr>
            <w:r w:rsidRPr="00A46ADC">
              <w:rPr>
                <w:b/>
              </w:rPr>
              <w:t>30,586.3</w:t>
            </w:r>
          </w:p>
        </w:tc>
        <w:tc>
          <w:tcPr>
            <w:tcW w:w="985" w:type="dxa"/>
            <w:noWrap/>
            <w:vAlign w:val="center"/>
            <w:hideMark/>
          </w:tcPr>
          <w:p w14:paraId="5F39EA35"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24,366.2</w:t>
            </w:r>
          </w:p>
        </w:tc>
      </w:tr>
      <w:tr w:rsidR="007F015E" w:rsidRPr="00A260F0" w14:paraId="6A72D89F"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122" w:type="dxa"/>
            <w:noWrap/>
            <w:vAlign w:val="center"/>
            <w:hideMark/>
          </w:tcPr>
          <w:p w14:paraId="283692A3" w14:textId="77777777" w:rsidR="00DE4516" w:rsidRPr="00A46ADC" w:rsidRDefault="00DE4516" w:rsidP="00DE4516">
            <w:pPr>
              <w:pStyle w:val="TableBody"/>
              <w:autoSpaceDE w:val="0"/>
              <w:autoSpaceDN w:val="0"/>
              <w:adjustRightInd w:val="0"/>
              <w:ind w:left="150"/>
              <w:jc w:val="both"/>
              <w:rPr>
                <w:rFonts w:cs="Calibri"/>
                <w:color w:val="000000"/>
                <w:sz w:val="15"/>
                <w:szCs w:val="14"/>
              </w:rPr>
            </w:pPr>
            <w:r w:rsidRPr="00A46ADC">
              <w:t xml:space="preserve">% </w:t>
            </w:r>
            <w:proofErr w:type="gramStart"/>
            <w:r w:rsidRPr="00A46ADC">
              <w:t>from</w:t>
            </w:r>
            <w:proofErr w:type="gramEnd"/>
            <w:r w:rsidRPr="00A46ADC">
              <w:t xml:space="preserve"> </w:t>
            </w:r>
            <w:r w:rsidRPr="00A46ADC">
              <w:rPr>
                <w:highlight w:val="blue"/>
              </w:rPr>
              <w:t>oil &amp; g</w:t>
            </w:r>
            <w:r w:rsidRPr="00A46ADC">
              <w:t>as</w:t>
            </w:r>
          </w:p>
        </w:tc>
        <w:tc>
          <w:tcPr>
            <w:tcW w:w="984" w:type="dxa"/>
            <w:noWrap/>
            <w:vAlign w:val="center"/>
            <w:hideMark/>
          </w:tcPr>
          <w:p w14:paraId="50A43D7F" w14:textId="77777777" w:rsidR="00DE4516" w:rsidRPr="00A46ADC" w:rsidRDefault="00DE4516" w:rsidP="00DE4516">
            <w:pPr>
              <w:pStyle w:val="TableBody"/>
              <w:autoSpaceDE w:val="0"/>
              <w:autoSpaceDN w:val="0"/>
              <w:adjustRightInd w:val="0"/>
              <w:jc w:val="right"/>
              <w:rPr>
                <w:rFonts w:cs="Calibri"/>
                <w:sz w:val="15"/>
                <w:szCs w:val="14"/>
              </w:rPr>
            </w:pPr>
            <w:r w:rsidRPr="00A46ADC">
              <w:t>46.6</w:t>
            </w:r>
          </w:p>
        </w:tc>
        <w:tc>
          <w:tcPr>
            <w:tcW w:w="985" w:type="dxa"/>
            <w:noWrap/>
            <w:vAlign w:val="center"/>
            <w:hideMark/>
          </w:tcPr>
          <w:p w14:paraId="47D81983" w14:textId="77777777" w:rsidR="00DE4516" w:rsidRPr="00A46ADC" w:rsidRDefault="00DE4516" w:rsidP="00DE4516">
            <w:pPr>
              <w:pStyle w:val="TableBody"/>
              <w:autoSpaceDE w:val="0"/>
              <w:autoSpaceDN w:val="0"/>
              <w:adjustRightInd w:val="0"/>
              <w:jc w:val="right"/>
              <w:rPr>
                <w:rFonts w:cs="Calibri"/>
                <w:sz w:val="15"/>
                <w:szCs w:val="14"/>
              </w:rPr>
            </w:pPr>
            <w:r w:rsidRPr="00A46ADC">
              <w:t>33.3</w:t>
            </w:r>
          </w:p>
        </w:tc>
        <w:tc>
          <w:tcPr>
            <w:tcW w:w="985" w:type="dxa"/>
            <w:noWrap/>
            <w:vAlign w:val="center"/>
            <w:hideMark/>
          </w:tcPr>
          <w:p w14:paraId="48579167" w14:textId="77777777" w:rsidR="00DE4516" w:rsidRPr="00A46ADC" w:rsidRDefault="00DE4516" w:rsidP="00DE4516">
            <w:pPr>
              <w:pStyle w:val="TableBody"/>
              <w:autoSpaceDE w:val="0"/>
              <w:autoSpaceDN w:val="0"/>
              <w:adjustRightInd w:val="0"/>
              <w:jc w:val="right"/>
              <w:rPr>
                <w:rFonts w:cs="Calibri"/>
                <w:sz w:val="15"/>
                <w:szCs w:val="14"/>
              </w:rPr>
            </w:pPr>
            <w:r w:rsidRPr="00A46ADC">
              <w:t>26.7</w:t>
            </w:r>
          </w:p>
        </w:tc>
        <w:tc>
          <w:tcPr>
            <w:tcW w:w="985" w:type="dxa"/>
            <w:noWrap/>
            <w:vAlign w:val="center"/>
            <w:hideMark/>
          </w:tcPr>
          <w:p w14:paraId="6271FBF3" w14:textId="77777777" w:rsidR="00DE4516" w:rsidRPr="00A46ADC" w:rsidRDefault="00DE4516" w:rsidP="00DE4516">
            <w:pPr>
              <w:pStyle w:val="TableBody"/>
              <w:autoSpaceDE w:val="0"/>
              <w:autoSpaceDN w:val="0"/>
              <w:adjustRightInd w:val="0"/>
              <w:jc w:val="right"/>
              <w:rPr>
                <w:rFonts w:cs="Calibri"/>
                <w:sz w:val="15"/>
                <w:szCs w:val="14"/>
              </w:rPr>
            </w:pPr>
            <w:r w:rsidRPr="00A46ADC">
              <w:t>29.7</w:t>
            </w:r>
          </w:p>
        </w:tc>
        <w:tc>
          <w:tcPr>
            <w:tcW w:w="985" w:type="dxa"/>
            <w:noWrap/>
            <w:vAlign w:val="center"/>
            <w:hideMark/>
          </w:tcPr>
          <w:p w14:paraId="49DB89D2" w14:textId="77777777" w:rsidR="00DE4516" w:rsidRPr="00A46ADC" w:rsidRDefault="00DE4516" w:rsidP="00DE4516">
            <w:pPr>
              <w:pStyle w:val="TableBody"/>
              <w:autoSpaceDE w:val="0"/>
              <w:autoSpaceDN w:val="0"/>
              <w:adjustRightInd w:val="0"/>
              <w:jc w:val="right"/>
              <w:rPr>
                <w:rFonts w:cs="Calibri"/>
                <w:sz w:val="15"/>
                <w:szCs w:val="14"/>
              </w:rPr>
            </w:pPr>
            <w:r w:rsidRPr="00A46ADC">
              <w:t>36.2</w:t>
            </w:r>
          </w:p>
        </w:tc>
        <w:tc>
          <w:tcPr>
            <w:tcW w:w="985" w:type="dxa"/>
            <w:noWrap/>
            <w:vAlign w:val="center"/>
            <w:hideMark/>
          </w:tcPr>
          <w:p w14:paraId="06431063" w14:textId="77777777" w:rsidR="00DE4516" w:rsidRPr="00A46ADC" w:rsidRDefault="00DE4516" w:rsidP="00DE4516">
            <w:pPr>
              <w:pStyle w:val="TableBody"/>
              <w:autoSpaceDE w:val="0"/>
              <w:autoSpaceDN w:val="0"/>
              <w:adjustRightInd w:val="0"/>
              <w:jc w:val="right"/>
              <w:rPr>
                <w:rFonts w:cs="Calibri"/>
                <w:sz w:val="15"/>
                <w:szCs w:val="14"/>
              </w:rPr>
            </w:pPr>
            <w:r w:rsidRPr="00A46ADC">
              <w:t>33.0</w:t>
            </w:r>
          </w:p>
        </w:tc>
        <w:tc>
          <w:tcPr>
            <w:tcW w:w="985" w:type="dxa"/>
            <w:noWrap/>
            <w:vAlign w:val="center"/>
            <w:hideMark/>
          </w:tcPr>
          <w:p w14:paraId="55D86A4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30.1</w:t>
            </w:r>
          </w:p>
        </w:tc>
      </w:tr>
      <w:tr w:rsidR="007F015E" w:rsidRPr="00A260F0" w14:paraId="457F7791" w14:textId="77777777" w:rsidTr="00A86160">
        <w:trPr>
          <w:cantSplit/>
        </w:trPr>
        <w:tc>
          <w:tcPr>
            <w:tcW w:w="2122" w:type="dxa"/>
            <w:noWrap/>
            <w:vAlign w:val="center"/>
            <w:hideMark/>
          </w:tcPr>
          <w:p w14:paraId="52ED44FF" w14:textId="77777777" w:rsidR="00DE4516" w:rsidRPr="00A46ADC" w:rsidRDefault="00DE4516" w:rsidP="00DE4516">
            <w:pPr>
              <w:pStyle w:val="TableBody"/>
              <w:autoSpaceDE w:val="0"/>
              <w:autoSpaceDN w:val="0"/>
              <w:adjustRightInd w:val="0"/>
              <w:jc w:val="both"/>
              <w:rPr>
                <w:rFonts w:cs="Calibri"/>
                <w:b/>
                <w:bCs/>
                <w:color w:val="000000"/>
                <w:sz w:val="15"/>
                <w:szCs w:val="14"/>
              </w:rPr>
            </w:pPr>
            <w:r w:rsidRPr="00A46ADC">
              <w:rPr>
                <w:b/>
              </w:rPr>
              <w:t>Government revenues (million OMR)</w:t>
            </w:r>
          </w:p>
        </w:tc>
        <w:tc>
          <w:tcPr>
            <w:tcW w:w="984" w:type="dxa"/>
            <w:noWrap/>
            <w:vAlign w:val="center"/>
            <w:hideMark/>
          </w:tcPr>
          <w:p w14:paraId="737CC06D"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14,107.0</w:t>
            </w:r>
          </w:p>
        </w:tc>
        <w:tc>
          <w:tcPr>
            <w:tcW w:w="985" w:type="dxa"/>
            <w:noWrap/>
            <w:vAlign w:val="center"/>
            <w:hideMark/>
          </w:tcPr>
          <w:p w14:paraId="13EF14FB"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9,064.5</w:t>
            </w:r>
          </w:p>
        </w:tc>
        <w:tc>
          <w:tcPr>
            <w:tcW w:w="985" w:type="dxa"/>
            <w:noWrap/>
            <w:vAlign w:val="center"/>
            <w:hideMark/>
          </w:tcPr>
          <w:p w14:paraId="56048C91"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7,608.1</w:t>
            </w:r>
          </w:p>
        </w:tc>
        <w:tc>
          <w:tcPr>
            <w:tcW w:w="985" w:type="dxa"/>
            <w:noWrap/>
            <w:vAlign w:val="center"/>
            <w:hideMark/>
          </w:tcPr>
          <w:p w14:paraId="0791770A"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8,514.1</w:t>
            </w:r>
          </w:p>
        </w:tc>
        <w:tc>
          <w:tcPr>
            <w:tcW w:w="985" w:type="dxa"/>
            <w:noWrap/>
            <w:vAlign w:val="center"/>
            <w:hideMark/>
          </w:tcPr>
          <w:p w14:paraId="72905E5F"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10,949.6</w:t>
            </w:r>
          </w:p>
        </w:tc>
        <w:tc>
          <w:tcPr>
            <w:tcW w:w="985" w:type="dxa"/>
            <w:noWrap/>
            <w:vAlign w:val="center"/>
            <w:hideMark/>
          </w:tcPr>
          <w:p w14:paraId="27815501"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10,588.7</w:t>
            </w:r>
          </w:p>
        </w:tc>
        <w:tc>
          <w:tcPr>
            <w:tcW w:w="985" w:type="dxa"/>
            <w:noWrap/>
            <w:vAlign w:val="center"/>
            <w:hideMark/>
          </w:tcPr>
          <w:p w14:paraId="27A6CFD2"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5,902.0</w:t>
            </w:r>
          </w:p>
        </w:tc>
      </w:tr>
      <w:tr w:rsidR="007F015E" w:rsidRPr="00A260F0" w14:paraId="643172BE"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122" w:type="dxa"/>
            <w:noWrap/>
            <w:vAlign w:val="center"/>
            <w:hideMark/>
          </w:tcPr>
          <w:p w14:paraId="461ACC11" w14:textId="77777777" w:rsidR="00DE4516" w:rsidRPr="00A46ADC" w:rsidRDefault="00DE4516" w:rsidP="00DE4516">
            <w:pPr>
              <w:pStyle w:val="TableBody"/>
              <w:autoSpaceDE w:val="0"/>
              <w:autoSpaceDN w:val="0"/>
              <w:adjustRightInd w:val="0"/>
              <w:ind w:left="150"/>
              <w:jc w:val="both"/>
              <w:rPr>
                <w:rFonts w:cs="Calibri"/>
                <w:color w:val="000000"/>
                <w:sz w:val="15"/>
                <w:szCs w:val="14"/>
              </w:rPr>
            </w:pPr>
            <w:r w:rsidRPr="00A46ADC">
              <w:t xml:space="preserve">% </w:t>
            </w:r>
            <w:proofErr w:type="gramStart"/>
            <w:r w:rsidRPr="00A46ADC">
              <w:t>from</w:t>
            </w:r>
            <w:proofErr w:type="gramEnd"/>
            <w:r w:rsidRPr="00A46ADC">
              <w:t xml:space="preserve"> </w:t>
            </w:r>
            <w:r w:rsidRPr="00A46ADC">
              <w:rPr>
                <w:highlight w:val="blue"/>
              </w:rPr>
              <w:t>oil &amp; g</w:t>
            </w:r>
            <w:r w:rsidRPr="00A46ADC">
              <w:t>as</w:t>
            </w:r>
          </w:p>
        </w:tc>
        <w:tc>
          <w:tcPr>
            <w:tcW w:w="984" w:type="dxa"/>
            <w:noWrap/>
            <w:vAlign w:val="center"/>
            <w:hideMark/>
          </w:tcPr>
          <w:p w14:paraId="0D13929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84.3</w:t>
            </w:r>
          </w:p>
        </w:tc>
        <w:tc>
          <w:tcPr>
            <w:tcW w:w="985" w:type="dxa"/>
            <w:noWrap/>
            <w:vAlign w:val="center"/>
            <w:hideMark/>
          </w:tcPr>
          <w:p w14:paraId="42EAE88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78.7</w:t>
            </w:r>
          </w:p>
        </w:tc>
        <w:tc>
          <w:tcPr>
            <w:tcW w:w="985" w:type="dxa"/>
            <w:noWrap/>
            <w:vAlign w:val="center"/>
            <w:hideMark/>
          </w:tcPr>
          <w:p w14:paraId="48E7FFD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68.2</w:t>
            </w:r>
          </w:p>
        </w:tc>
        <w:tc>
          <w:tcPr>
            <w:tcW w:w="985" w:type="dxa"/>
            <w:noWrap/>
            <w:vAlign w:val="center"/>
            <w:hideMark/>
          </w:tcPr>
          <w:p w14:paraId="074F227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72.9</w:t>
            </w:r>
          </w:p>
        </w:tc>
        <w:tc>
          <w:tcPr>
            <w:tcW w:w="985" w:type="dxa"/>
            <w:noWrap/>
            <w:vAlign w:val="center"/>
            <w:hideMark/>
          </w:tcPr>
          <w:p w14:paraId="01EAFC8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78.2</w:t>
            </w:r>
          </w:p>
        </w:tc>
        <w:tc>
          <w:tcPr>
            <w:tcW w:w="985" w:type="dxa"/>
            <w:noWrap/>
            <w:vAlign w:val="center"/>
            <w:hideMark/>
          </w:tcPr>
          <w:p w14:paraId="2EE6050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75.5</w:t>
            </w:r>
          </w:p>
        </w:tc>
        <w:tc>
          <w:tcPr>
            <w:tcW w:w="985" w:type="dxa"/>
            <w:noWrap/>
            <w:vAlign w:val="center"/>
            <w:hideMark/>
          </w:tcPr>
          <w:p w14:paraId="495BDCC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w:t>
            </w:r>
          </w:p>
        </w:tc>
      </w:tr>
      <w:tr w:rsidR="007F015E" w:rsidRPr="00A260F0" w14:paraId="38BFEFB3" w14:textId="77777777" w:rsidTr="00A86160">
        <w:trPr>
          <w:cantSplit/>
        </w:trPr>
        <w:tc>
          <w:tcPr>
            <w:tcW w:w="2122" w:type="dxa"/>
            <w:noWrap/>
            <w:vAlign w:val="center"/>
            <w:hideMark/>
          </w:tcPr>
          <w:p w14:paraId="580BC28E" w14:textId="77777777" w:rsidR="00DE4516" w:rsidRPr="00A46ADC" w:rsidRDefault="00DE4516" w:rsidP="00DE4516">
            <w:pPr>
              <w:pStyle w:val="TableBody"/>
              <w:autoSpaceDE w:val="0"/>
              <w:autoSpaceDN w:val="0"/>
              <w:adjustRightInd w:val="0"/>
              <w:jc w:val="both"/>
              <w:rPr>
                <w:rFonts w:cs="Calibri"/>
                <w:b/>
                <w:bCs/>
                <w:color w:val="000000"/>
                <w:sz w:val="15"/>
                <w:szCs w:val="14"/>
              </w:rPr>
            </w:pPr>
            <w:r w:rsidRPr="00A46ADC">
              <w:rPr>
                <w:b/>
              </w:rPr>
              <w:t>Average daily crude oil production ('000 barrels)</w:t>
            </w:r>
          </w:p>
        </w:tc>
        <w:tc>
          <w:tcPr>
            <w:tcW w:w="984" w:type="dxa"/>
            <w:noWrap/>
            <w:vAlign w:val="center"/>
            <w:hideMark/>
          </w:tcPr>
          <w:p w14:paraId="5633B221"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943.5</w:t>
            </w:r>
          </w:p>
        </w:tc>
        <w:tc>
          <w:tcPr>
            <w:tcW w:w="985" w:type="dxa"/>
            <w:noWrap/>
            <w:vAlign w:val="center"/>
            <w:hideMark/>
          </w:tcPr>
          <w:p w14:paraId="18456F16"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981.1</w:t>
            </w:r>
          </w:p>
        </w:tc>
        <w:tc>
          <w:tcPr>
            <w:tcW w:w="985" w:type="dxa"/>
            <w:noWrap/>
            <w:vAlign w:val="center"/>
            <w:hideMark/>
          </w:tcPr>
          <w:p w14:paraId="3AC36354"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1,004.3</w:t>
            </w:r>
          </w:p>
        </w:tc>
        <w:tc>
          <w:tcPr>
            <w:tcW w:w="985" w:type="dxa"/>
            <w:noWrap/>
            <w:vAlign w:val="center"/>
            <w:hideMark/>
          </w:tcPr>
          <w:p w14:paraId="74C65A2A"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970.6</w:t>
            </w:r>
          </w:p>
        </w:tc>
        <w:tc>
          <w:tcPr>
            <w:tcW w:w="985" w:type="dxa"/>
            <w:noWrap/>
            <w:vAlign w:val="center"/>
            <w:hideMark/>
          </w:tcPr>
          <w:p w14:paraId="787DF67D"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978.4</w:t>
            </w:r>
          </w:p>
        </w:tc>
        <w:tc>
          <w:tcPr>
            <w:tcW w:w="985" w:type="dxa"/>
            <w:noWrap/>
            <w:vAlign w:val="center"/>
            <w:hideMark/>
          </w:tcPr>
          <w:p w14:paraId="136615B8"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970.9</w:t>
            </w:r>
          </w:p>
        </w:tc>
        <w:tc>
          <w:tcPr>
            <w:tcW w:w="985" w:type="dxa"/>
            <w:noWrap/>
            <w:vAlign w:val="center"/>
            <w:hideMark/>
          </w:tcPr>
          <w:p w14:paraId="4E5BF482"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950.7</w:t>
            </w:r>
          </w:p>
        </w:tc>
      </w:tr>
      <w:tr w:rsidR="007F015E" w:rsidRPr="00A260F0" w14:paraId="6F4B7574"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122" w:type="dxa"/>
            <w:noWrap/>
            <w:vAlign w:val="center"/>
            <w:hideMark/>
          </w:tcPr>
          <w:p w14:paraId="365B8304" w14:textId="77777777" w:rsidR="00DE4516" w:rsidRPr="00A46ADC" w:rsidRDefault="00DE4516" w:rsidP="00DE4516">
            <w:pPr>
              <w:pStyle w:val="TableBody"/>
              <w:autoSpaceDE w:val="0"/>
              <w:autoSpaceDN w:val="0"/>
              <w:adjustRightInd w:val="0"/>
              <w:jc w:val="both"/>
              <w:rPr>
                <w:rFonts w:cs="Calibri"/>
                <w:b/>
                <w:bCs/>
                <w:color w:val="000000"/>
                <w:sz w:val="15"/>
                <w:szCs w:val="14"/>
              </w:rPr>
            </w:pPr>
            <w:r w:rsidRPr="00A46ADC">
              <w:rPr>
                <w:b/>
              </w:rPr>
              <w:t>Total production of gas (billion standard cubic feet)</w:t>
            </w:r>
          </w:p>
        </w:tc>
        <w:tc>
          <w:tcPr>
            <w:tcW w:w="984" w:type="dxa"/>
            <w:noWrap/>
            <w:vAlign w:val="center"/>
            <w:hideMark/>
          </w:tcPr>
          <w:p w14:paraId="6FBDF3E3"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1,332.8</w:t>
            </w:r>
          </w:p>
        </w:tc>
        <w:tc>
          <w:tcPr>
            <w:tcW w:w="985" w:type="dxa"/>
            <w:noWrap/>
            <w:vAlign w:val="center"/>
            <w:hideMark/>
          </w:tcPr>
          <w:p w14:paraId="65423796"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1,408.5</w:t>
            </w:r>
          </w:p>
        </w:tc>
        <w:tc>
          <w:tcPr>
            <w:tcW w:w="985" w:type="dxa"/>
            <w:noWrap/>
            <w:vAlign w:val="center"/>
            <w:hideMark/>
          </w:tcPr>
          <w:p w14:paraId="385B5387"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1,445.4</w:t>
            </w:r>
          </w:p>
        </w:tc>
        <w:tc>
          <w:tcPr>
            <w:tcW w:w="985" w:type="dxa"/>
            <w:noWrap/>
            <w:vAlign w:val="center"/>
            <w:hideMark/>
          </w:tcPr>
          <w:p w14:paraId="22A03A50"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1,447.4</w:t>
            </w:r>
          </w:p>
        </w:tc>
        <w:tc>
          <w:tcPr>
            <w:tcW w:w="985" w:type="dxa"/>
            <w:noWrap/>
            <w:vAlign w:val="center"/>
          </w:tcPr>
          <w:p w14:paraId="77E9C17C"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1,617.7</w:t>
            </w:r>
          </w:p>
        </w:tc>
        <w:tc>
          <w:tcPr>
            <w:tcW w:w="985" w:type="dxa"/>
            <w:noWrap/>
            <w:vAlign w:val="center"/>
          </w:tcPr>
          <w:p w14:paraId="5DB0BB9D"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1,647.2</w:t>
            </w:r>
          </w:p>
        </w:tc>
        <w:tc>
          <w:tcPr>
            <w:tcW w:w="985" w:type="dxa"/>
            <w:noWrap/>
            <w:vAlign w:val="center"/>
          </w:tcPr>
          <w:p w14:paraId="601A62C1"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1,646.5</w:t>
            </w:r>
          </w:p>
        </w:tc>
      </w:tr>
      <w:tr w:rsidR="007F015E" w:rsidRPr="00A260F0" w14:paraId="2FDAF82F" w14:textId="77777777" w:rsidTr="00A86160">
        <w:trPr>
          <w:cantSplit/>
        </w:trPr>
        <w:tc>
          <w:tcPr>
            <w:tcW w:w="2122" w:type="dxa"/>
            <w:noWrap/>
            <w:vAlign w:val="center"/>
            <w:hideMark/>
          </w:tcPr>
          <w:p w14:paraId="3CE5E032" w14:textId="77777777" w:rsidR="00DE4516" w:rsidRPr="00A46ADC" w:rsidRDefault="00DE4516" w:rsidP="00DE4516">
            <w:pPr>
              <w:pStyle w:val="TableBody"/>
              <w:autoSpaceDE w:val="0"/>
              <w:autoSpaceDN w:val="0"/>
              <w:adjustRightInd w:val="0"/>
              <w:ind w:left="150"/>
              <w:jc w:val="both"/>
              <w:rPr>
                <w:rFonts w:cs="Calibri"/>
                <w:color w:val="000000"/>
                <w:sz w:val="15"/>
                <w:szCs w:val="14"/>
              </w:rPr>
            </w:pPr>
            <w:r w:rsidRPr="00A46ADC">
              <w:t>Associated gas</w:t>
            </w:r>
          </w:p>
        </w:tc>
        <w:tc>
          <w:tcPr>
            <w:tcW w:w="984" w:type="dxa"/>
            <w:noWrap/>
            <w:vAlign w:val="center"/>
            <w:hideMark/>
          </w:tcPr>
          <w:p w14:paraId="59D6BE2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239.5</w:t>
            </w:r>
          </w:p>
        </w:tc>
        <w:tc>
          <w:tcPr>
            <w:tcW w:w="985" w:type="dxa"/>
            <w:noWrap/>
            <w:vAlign w:val="center"/>
            <w:hideMark/>
          </w:tcPr>
          <w:p w14:paraId="1E49856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247.7</w:t>
            </w:r>
          </w:p>
        </w:tc>
        <w:tc>
          <w:tcPr>
            <w:tcW w:w="985" w:type="dxa"/>
            <w:noWrap/>
            <w:vAlign w:val="center"/>
            <w:hideMark/>
          </w:tcPr>
          <w:p w14:paraId="0590ADB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250.2</w:t>
            </w:r>
          </w:p>
        </w:tc>
        <w:tc>
          <w:tcPr>
            <w:tcW w:w="985" w:type="dxa"/>
            <w:noWrap/>
            <w:vAlign w:val="center"/>
            <w:hideMark/>
          </w:tcPr>
          <w:p w14:paraId="1A644C4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243.3</w:t>
            </w:r>
          </w:p>
        </w:tc>
        <w:tc>
          <w:tcPr>
            <w:tcW w:w="985" w:type="dxa"/>
            <w:noWrap/>
            <w:vAlign w:val="center"/>
          </w:tcPr>
          <w:p w14:paraId="14CDEAC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284.4</w:t>
            </w:r>
          </w:p>
        </w:tc>
        <w:tc>
          <w:tcPr>
            <w:tcW w:w="985" w:type="dxa"/>
            <w:noWrap/>
            <w:vAlign w:val="center"/>
          </w:tcPr>
          <w:p w14:paraId="3AB4784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294.6</w:t>
            </w:r>
          </w:p>
        </w:tc>
        <w:tc>
          <w:tcPr>
            <w:tcW w:w="985" w:type="dxa"/>
            <w:noWrap/>
            <w:vAlign w:val="center"/>
          </w:tcPr>
          <w:p w14:paraId="38765D0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271.1</w:t>
            </w:r>
          </w:p>
        </w:tc>
      </w:tr>
      <w:tr w:rsidR="007F015E" w:rsidRPr="00A260F0" w14:paraId="66FB4126"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122" w:type="dxa"/>
            <w:noWrap/>
            <w:vAlign w:val="center"/>
            <w:hideMark/>
          </w:tcPr>
          <w:p w14:paraId="7E6FF079" w14:textId="77777777" w:rsidR="00DE4516" w:rsidRPr="00A46ADC" w:rsidRDefault="00DE4516" w:rsidP="00DE4516">
            <w:pPr>
              <w:pStyle w:val="TableBody"/>
              <w:autoSpaceDE w:val="0"/>
              <w:autoSpaceDN w:val="0"/>
              <w:adjustRightInd w:val="0"/>
              <w:ind w:left="150"/>
              <w:jc w:val="both"/>
              <w:rPr>
                <w:rFonts w:cs="Calibri"/>
                <w:color w:val="000000"/>
                <w:sz w:val="15"/>
                <w:szCs w:val="14"/>
              </w:rPr>
            </w:pPr>
            <w:r w:rsidRPr="00A46ADC">
              <w:t>Non</w:t>
            </w:r>
            <w:r w:rsidRPr="00A46ADC">
              <w:noBreakHyphen/>
              <w:t>associated gas</w:t>
            </w:r>
          </w:p>
        </w:tc>
        <w:tc>
          <w:tcPr>
            <w:tcW w:w="984" w:type="dxa"/>
            <w:noWrap/>
            <w:vAlign w:val="center"/>
            <w:hideMark/>
          </w:tcPr>
          <w:p w14:paraId="2769442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1,092.6</w:t>
            </w:r>
          </w:p>
        </w:tc>
        <w:tc>
          <w:tcPr>
            <w:tcW w:w="985" w:type="dxa"/>
            <w:noWrap/>
            <w:vAlign w:val="center"/>
            <w:hideMark/>
          </w:tcPr>
          <w:p w14:paraId="0C6838C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1,160.8</w:t>
            </w:r>
          </w:p>
        </w:tc>
        <w:tc>
          <w:tcPr>
            <w:tcW w:w="985" w:type="dxa"/>
            <w:noWrap/>
            <w:vAlign w:val="center"/>
            <w:hideMark/>
          </w:tcPr>
          <w:p w14:paraId="1555FA8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1,195.2</w:t>
            </w:r>
          </w:p>
        </w:tc>
        <w:tc>
          <w:tcPr>
            <w:tcW w:w="985" w:type="dxa"/>
            <w:noWrap/>
            <w:vAlign w:val="center"/>
            <w:hideMark/>
          </w:tcPr>
          <w:p w14:paraId="1E78487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1,204.2</w:t>
            </w:r>
          </w:p>
        </w:tc>
        <w:tc>
          <w:tcPr>
            <w:tcW w:w="985" w:type="dxa"/>
            <w:noWrap/>
            <w:vAlign w:val="center"/>
          </w:tcPr>
          <w:p w14:paraId="07818F2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1,333.4</w:t>
            </w:r>
          </w:p>
        </w:tc>
        <w:tc>
          <w:tcPr>
            <w:tcW w:w="985" w:type="dxa"/>
            <w:noWrap/>
            <w:vAlign w:val="center"/>
          </w:tcPr>
          <w:p w14:paraId="105E417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1,352.6</w:t>
            </w:r>
          </w:p>
        </w:tc>
        <w:tc>
          <w:tcPr>
            <w:tcW w:w="985" w:type="dxa"/>
            <w:noWrap/>
            <w:vAlign w:val="center"/>
          </w:tcPr>
          <w:p w14:paraId="0B02015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1,307.4</w:t>
            </w:r>
          </w:p>
        </w:tc>
      </w:tr>
      <w:tr w:rsidR="007F015E" w:rsidRPr="00A260F0" w14:paraId="7320C89D" w14:textId="77777777" w:rsidTr="00A86160">
        <w:trPr>
          <w:cantSplit/>
        </w:trPr>
        <w:tc>
          <w:tcPr>
            <w:tcW w:w="2122" w:type="dxa"/>
            <w:noWrap/>
            <w:vAlign w:val="center"/>
          </w:tcPr>
          <w:p w14:paraId="4FFF2C04" w14:textId="77777777" w:rsidR="00DE4516" w:rsidRPr="00A46ADC" w:rsidRDefault="00DE4516" w:rsidP="00DE4516">
            <w:pPr>
              <w:pStyle w:val="TableBody"/>
              <w:autoSpaceDE w:val="0"/>
              <w:autoSpaceDN w:val="0"/>
              <w:adjustRightInd w:val="0"/>
              <w:jc w:val="both"/>
              <w:rPr>
                <w:rFonts w:cs="Calibri"/>
                <w:b/>
                <w:bCs/>
                <w:color w:val="000000"/>
                <w:sz w:val="15"/>
                <w:szCs w:val="14"/>
              </w:rPr>
            </w:pPr>
            <w:r w:rsidRPr="00A46ADC">
              <w:rPr>
                <w:b/>
              </w:rPr>
              <w:t>Refinery production ('000 barrels)</w:t>
            </w:r>
          </w:p>
        </w:tc>
        <w:tc>
          <w:tcPr>
            <w:tcW w:w="984" w:type="dxa"/>
            <w:noWrap/>
            <w:vAlign w:val="center"/>
          </w:tcPr>
          <w:p w14:paraId="0B486DCC"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81.7</w:t>
            </w:r>
          </w:p>
        </w:tc>
        <w:tc>
          <w:tcPr>
            <w:tcW w:w="985" w:type="dxa"/>
            <w:noWrap/>
            <w:vAlign w:val="center"/>
          </w:tcPr>
          <w:p w14:paraId="74A8E480"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86.0</w:t>
            </w:r>
          </w:p>
        </w:tc>
        <w:tc>
          <w:tcPr>
            <w:tcW w:w="985" w:type="dxa"/>
            <w:noWrap/>
            <w:vAlign w:val="center"/>
          </w:tcPr>
          <w:p w14:paraId="0E5307F3"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84.5</w:t>
            </w:r>
          </w:p>
        </w:tc>
        <w:tc>
          <w:tcPr>
            <w:tcW w:w="985" w:type="dxa"/>
            <w:noWrap/>
            <w:vAlign w:val="center"/>
          </w:tcPr>
          <w:p w14:paraId="2264BC16"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91.7</w:t>
            </w:r>
          </w:p>
        </w:tc>
        <w:tc>
          <w:tcPr>
            <w:tcW w:w="985" w:type="dxa"/>
            <w:noWrap/>
            <w:vAlign w:val="center"/>
          </w:tcPr>
          <w:p w14:paraId="0D90646C"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113.2</w:t>
            </w:r>
          </w:p>
        </w:tc>
        <w:tc>
          <w:tcPr>
            <w:tcW w:w="985" w:type="dxa"/>
            <w:noWrap/>
            <w:vAlign w:val="center"/>
          </w:tcPr>
          <w:p w14:paraId="77694132"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111.6</w:t>
            </w:r>
          </w:p>
        </w:tc>
        <w:tc>
          <w:tcPr>
            <w:tcW w:w="985" w:type="dxa"/>
            <w:noWrap/>
            <w:vAlign w:val="center"/>
          </w:tcPr>
          <w:p w14:paraId="1BF723B0"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93.6</w:t>
            </w:r>
          </w:p>
        </w:tc>
      </w:tr>
      <w:tr w:rsidR="007F015E" w:rsidRPr="00A260F0" w14:paraId="32E248DF"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122" w:type="dxa"/>
            <w:tcBorders>
              <w:bottom w:val="single" w:sz="4" w:space="0" w:color="auto"/>
            </w:tcBorders>
            <w:noWrap/>
            <w:vAlign w:val="center"/>
          </w:tcPr>
          <w:p w14:paraId="4BBD1948" w14:textId="77777777" w:rsidR="00DE4516" w:rsidRPr="00A46ADC" w:rsidRDefault="00DE4516" w:rsidP="00DE4516">
            <w:pPr>
              <w:pStyle w:val="TableBody"/>
              <w:autoSpaceDE w:val="0"/>
              <w:autoSpaceDN w:val="0"/>
              <w:adjustRightInd w:val="0"/>
              <w:jc w:val="both"/>
              <w:rPr>
                <w:rFonts w:cs="Calibri"/>
                <w:b/>
                <w:bCs/>
                <w:color w:val="000000"/>
                <w:sz w:val="15"/>
                <w:szCs w:val="14"/>
              </w:rPr>
            </w:pPr>
            <w:r w:rsidRPr="00A46ADC">
              <w:rPr>
                <w:b/>
              </w:rPr>
              <w:t xml:space="preserve">LNG export </w:t>
            </w:r>
            <w:r w:rsidRPr="00A46ADC">
              <w:rPr>
                <w:b/>
              </w:rPr>
              <w:br/>
              <w:t>(metric tonne)</w:t>
            </w:r>
          </w:p>
        </w:tc>
        <w:tc>
          <w:tcPr>
            <w:tcW w:w="984" w:type="dxa"/>
            <w:tcBorders>
              <w:bottom w:val="single" w:sz="4" w:space="0" w:color="auto"/>
            </w:tcBorders>
            <w:noWrap/>
            <w:vAlign w:val="center"/>
          </w:tcPr>
          <w:p w14:paraId="307FCEE0"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7,887.7</w:t>
            </w:r>
          </w:p>
        </w:tc>
        <w:tc>
          <w:tcPr>
            <w:tcW w:w="985" w:type="dxa"/>
            <w:tcBorders>
              <w:bottom w:val="single" w:sz="4" w:space="0" w:color="auto"/>
            </w:tcBorders>
            <w:noWrap/>
            <w:vAlign w:val="center"/>
          </w:tcPr>
          <w:p w14:paraId="32303A8C"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7,916.5</w:t>
            </w:r>
          </w:p>
        </w:tc>
        <w:tc>
          <w:tcPr>
            <w:tcW w:w="985" w:type="dxa"/>
            <w:tcBorders>
              <w:bottom w:val="single" w:sz="4" w:space="0" w:color="auto"/>
            </w:tcBorders>
            <w:noWrap/>
            <w:vAlign w:val="center"/>
          </w:tcPr>
          <w:p w14:paraId="7F42D829"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8,522.4</w:t>
            </w:r>
          </w:p>
        </w:tc>
        <w:tc>
          <w:tcPr>
            <w:tcW w:w="985" w:type="dxa"/>
            <w:tcBorders>
              <w:bottom w:val="single" w:sz="4" w:space="0" w:color="auto"/>
            </w:tcBorders>
            <w:noWrap/>
            <w:vAlign w:val="center"/>
          </w:tcPr>
          <w:p w14:paraId="426B8BCA"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8,585.7</w:t>
            </w:r>
          </w:p>
        </w:tc>
        <w:tc>
          <w:tcPr>
            <w:tcW w:w="985" w:type="dxa"/>
            <w:tcBorders>
              <w:bottom w:val="single" w:sz="4" w:space="0" w:color="auto"/>
            </w:tcBorders>
            <w:noWrap/>
            <w:vAlign w:val="center"/>
          </w:tcPr>
          <w:p w14:paraId="32DE97A1"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10,384.8</w:t>
            </w:r>
          </w:p>
        </w:tc>
        <w:tc>
          <w:tcPr>
            <w:tcW w:w="985" w:type="dxa"/>
            <w:tcBorders>
              <w:bottom w:val="single" w:sz="4" w:space="0" w:color="auto"/>
            </w:tcBorders>
            <w:noWrap/>
            <w:vAlign w:val="center"/>
          </w:tcPr>
          <w:p w14:paraId="206BCDC3"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10,635.4</w:t>
            </w:r>
          </w:p>
        </w:tc>
        <w:tc>
          <w:tcPr>
            <w:tcW w:w="985" w:type="dxa"/>
            <w:tcBorders>
              <w:bottom w:val="single" w:sz="4" w:space="0" w:color="auto"/>
            </w:tcBorders>
            <w:noWrap/>
            <w:vAlign w:val="center"/>
          </w:tcPr>
          <w:p w14:paraId="62C1763F" w14:textId="77777777" w:rsidR="00DE4516" w:rsidRPr="00A46ADC" w:rsidRDefault="00DE4516" w:rsidP="00DE4516">
            <w:pPr>
              <w:pStyle w:val="TableBody"/>
              <w:autoSpaceDE w:val="0"/>
              <w:autoSpaceDN w:val="0"/>
              <w:adjustRightInd w:val="0"/>
              <w:jc w:val="right"/>
              <w:rPr>
                <w:rFonts w:cs="Calibri"/>
                <w:b/>
                <w:bCs/>
                <w:color w:val="000000"/>
                <w:sz w:val="15"/>
                <w:szCs w:val="14"/>
              </w:rPr>
            </w:pPr>
            <w:r w:rsidRPr="00A46ADC">
              <w:rPr>
                <w:b/>
              </w:rPr>
              <w:t>10,197.0</w:t>
            </w:r>
          </w:p>
        </w:tc>
      </w:tr>
    </w:tbl>
    <w:p w14:paraId="123D4C03" w14:textId="45792A56" w:rsidR="00DE4516" w:rsidRDefault="00DE4516">
      <w:pPr>
        <w:pStyle w:val="TableNote"/>
        <w:autoSpaceDE w:val="0"/>
        <w:autoSpaceDN w:val="0"/>
        <w:adjustRightInd w:val="0"/>
        <w:contextualSpacing w:val="0"/>
      </w:pPr>
      <w:r>
        <w:t>..</w:t>
      </w:r>
      <w:r>
        <w:tab/>
        <w:t>Not available.</w:t>
      </w:r>
    </w:p>
    <w:p w14:paraId="5499BE38" w14:textId="77777777" w:rsidR="00DE4516" w:rsidRDefault="00DE4516">
      <w:pPr>
        <w:pStyle w:val="TableSource"/>
        <w:autoSpaceDE w:val="0"/>
        <w:autoSpaceDN w:val="0"/>
        <w:adjustRightInd w:val="0"/>
        <w:rPr>
          <w:szCs w:val="24"/>
        </w:rPr>
      </w:pPr>
      <w:r>
        <w:rPr>
          <w:szCs w:val="24"/>
        </w:rPr>
        <w:t>Source:</w:t>
      </w:r>
      <w:r>
        <w:rPr>
          <w:szCs w:val="24"/>
        </w:rPr>
        <w:tab/>
        <w:t>National Centre for Statistics and Information, various datasets.</w:t>
      </w:r>
    </w:p>
    <w:p w14:paraId="29234DDA" w14:textId="77777777" w:rsidR="00DE4516" w:rsidRDefault="00DE4516">
      <w:pPr>
        <w:pStyle w:val="BodyText0"/>
        <w:autoSpaceDE w:val="0"/>
        <w:autoSpaceDN w:val="0"/>
        <w:adjustRightInd w:val="0"/>
        <w:rPr>
          <w:szCs w:val="24"/>
        </w:rPr>
      </w:pPr>
      <w:r>
        <w:rPr>
          <w:szCs w:val="24"/>
        </w:rPr>
        <w:t xml:space="preserve">The legal and institutional framework for the sector remained largely unchanged. The main legislation is the Oil and Gas Law, which entered into force in 2011. The oil and gas sector </w:t>
      </w:r>
      <w:proofErr w:type="gramStart"/>
      <w:r>
        <w:rPr>
          <w:szCs w:val="24"/>
        </w:rPr>
        <w:t>is</w:t>
      </w:r>
      <w:proofErr w:type="gramEnd"/>
      <w:r>
        <w:rPr>
          <w:szCs w:val="24"/>
        </w:rPr>
        <w:t xml:space="preserve"> overseen by the MEM.</w:t>
      </w:r>
      <w:r w:rsidRPr="00DE4516">
        <w:rPr>
          <w:rStyle w:val="FootnoteReference"/>
        </w:rPr>
        <w:footnoteReference w:id="217"/>
      </w:r>
      <w:r>
        <w:rPr>
          <w:szCs w:val="24"/>
        </w:rPr>
        <w:t xml:space="preserve"> The Ministry's responsibilities include providing overall policy guidance for the sector, supervising exploration and production, negotiating Exploration and Production Sharing Agreements (EPSAs) with international oil and gas concessionaires, and marketing Omani crude oil and natural gas.</w:t>
      </w:r>
    </w:p>
    <w:p w14:paraId="4A6E6010" w14:textId="77777777" w:rsidR="00DE4516" w:rsidRDefault="00DE4516">
      <w:pPr>
        <w:pStyle w:val="BodyText0"/>
        <w:autoSpaceDE w:val="0"/>
        <w:autoSpaceDN w:val="0"/>
        <w:adjustRightInd w:val="0"/>
        <w:rPr>
          <w:szCs w:val="24"/>
        </w:rPr>
      </w:pPr>
      <w:r>
        <w:rPr>
          <w:szCs w:val="24"/>
        </w:rPr>
        <w:t>As at end-2018, Oman had 5 billion barrels of proved oil reserves, and 700 billion cubic meters of proved natural gas reserves.</w:t>
      </w:r>
      <w:r w:rsidRPr="00DE4516">
        <w:rPr>
          <w:rStyle w:val="FootnoteReference"/>
        </w:rPr>
        <w:footnoteReference w:id="218"/>
      </w:r>
      <w:r>
        <w:rPr>
          <w:szCs w:val="24"/>
        </w:rPr>
        <w:t xml:space="preserve"> In the upstream, Petroleum Development Oman (PDO), the national oil company, is a dominant player; 60% of PDO's equity is owned by the Government, while the remaining shares are held by Shell (34%), Total (4%), and </w:t>
      </w:r>
      <w:proofErr w:type="spellStart"/>
      <w:r>
        <w:rPr>
          <w:szCs w:val="24"/>
        </w:rPr>
        <w:t>Partex</w:t>
      </w:r>
      <w:proofErr w:type="spellEnd"/>
      <w:r>
        <w:rPr>
          <w:szCs w:val="24"/>
        </w:rPr>
        <w:t xml:space="preserve"> (2%). On 3 December 2020, Energy Development Oman (EDO), a joint stock company between PDO and </w:t>
      </w:r>
      <w:proofErr w:type="gramStart"/>
      <w:r>
        <w:rPr>
          <w:szCs w:val="24"/>
        </w:rPr>
        <w:t>a number of</w:t>
      </w:r>
      <w:proofErr w:type="gramEnd"/>
      <w:r>
        <w:rPr>
          <w:szCs w:val="24"/>
        </w:rPr>
        <w:t xml:space="preserve"> investments, was created by a Royal Decree.</w:t>
      </w:r>
      <w:r w:rsidRPr="00DE4516">
        <w:rPr>
          <w:rStyle w:val="FootnoteReference"/>
        </w:rPr>
        <w:footnoteReference w:id="219"/>
      </w:r>
      <w:r>
        <w:rPr>
          <w:szCs w:val="24"/>
        </w:rPr>
        <w:t xml:space="preserve"> The Government transferred its interest, rights, and </w:t>
      </w:r>
      <w:r>
        <w:rPr>
          <w:szCs w:val="24"/>
        </w:rPr>
        <w:lastRenderedPageBreak/>
        <w:t>obligations under Block 6 to EDO, which has a mandate to invest in conventional as well as renewable and alternative energy resources.</w:t>
      </w:r>
    </w:p>
    <w:p w14:paraId="076824AD" w14:textId="77777777" w:rsidR="00DE4516" w:rsidRDefault="00DE4516">
      <w:pPr>
        <w:pStyle w:val="BodyText0"/>
        <w:autoSpaceDE w:val="0"/>
        <w:autoSpaceDN w:val="0"/>
        <w:adjustRightInd w:val="0"/>
        <w:rPr>
          <w:szCs w:val="24"/>
        </w:rPr>
      </w:pPr>
      <w:r>
        <w:rPr>
          <w:szCs w:val="24"/>
        </w:rPr>
        <w:t>Pursuant to the Oil and Gas Law, international oil companies usually sign EPSAs, as a concessionaire, with the MEM.</w:t>
      </w:r>
      <w:r w:rsidRPr="00DE4516">
        <w:rPr>
          <w:rStyle w:val="FootnoteReference"/>
        </w:rPr>
        <w:footnoteReference w:id="220"/>
      </w:r>
      <w:r>
        <w:rPr>
          <w:szCs w:val="24"/>
        </w:rPr>
        <w:t xml:space="preserve"> Under the EPSAs, oil and condensate may be sold on the open market, but all gas production must be sold to the Government. As part of the national strategy, the MEM tries to diversify bidders for concession licences from the traditional sources. The MEM held licences bidding rounds in 2016 and 2019. As of end-2020, a total of 32 companies were operating in concession blocks throughout the Sultanate; alongside PDO and Occidental Oman, international oil companies from Asia and Europe are present in Oman. Concessionaires are subject to 55% of income tax and 15% of corporate tax.</w:t>
      </w:r>
      <w:r w:rsidRPr="00DE4516">
        <w:rPr>
          <w:rStyle w:val="FootnoteReference"/>
        </w:rPr>
        <w:footnoteReference w:id="221"/>
      </w:r>
    </w:p>
    <w:p w14:paraId="4153B2AD" w14:textId="77777777" w:rsidR="00DE4516" w:rsidRDefault="00DE4516">
      <w:pPr>
        <w:pStyle w:val="BodyText0"/>
        <w:autoSpaceDE w:val="0"/>
        <w:autoSpaceDN w:val="0"/>
        <w:adjustRightInd w:val="0"/>
        <w:rPr>
          <w:szCs w:val="24"/>
        </w:rPr>
      </w:pPr>
      <w:r>
        <w:rPr>
          <w:szCs w:val="24"/>
        </w:rPr>
        <w:t xml:space="preserve">The key markets for Omani oil are Asian economies including China; India; Japan; the Republic of Korea; Singapore; the Separate Customs Territory of Taiwan, Penghu, </w:t>
      </w:r>
      <w:proofErr w:type="gramStart"/>
      <w:r>
        <w:rPr>
          <w:szCs w:val="24"/>
        </w:rPr>
        <w:t>Kinmen</w:t>
      </w:r>
      <w:proofErr w:type="gramEnd"/>
      <w:r>
        <w:rPr>
          <w:szCs w:val="24"/>
        </w:rPr>
        <w:t xml:space="preserve"> and Matsu (Chinese Taipei); and Thailand. In addition to exporting, Oman processes oil in its domestic refinery facilities. </w:t>
      </w:r>
      <w:proofErr w:type="gramStart"/>
      <w:r>
        <w:rPr>
          <w:szCs w:val="24"/>
        </w:rPr>
        <w:t>The majority of</w:t>
      </w:r>
      <w:proofErr w:type="gramEnd"/>
      <w:r>
        <w:rPr>
          <w:szCs w:val="24"/>
        </w:rPr>
        <w:t xml:space="preserve"> gas production goes to industrial use and power generation – all of Oman's power generation is now provided by domestic natural gas. Oman also increased its exports of liquefied natural gas (LNG) during the review period (</w:t>
      </w:r>
      <w:r>
        <w:rPr>
          <w:rStyle w:val="citetbl"/>
          <w:szCs w:val="24"/>
        </w:rPr>
        <w:t>Table 4.5</w:t>
      </w:r>
      <w:r>
        <w:rPr>
          <w:szCs w:val="24"/>
        </w:rPr>
        <w:t>).</w:t>
      </w:r>
    </w:p>
    <w:p w14:paraId="42FA68AB" w14:textId="77777777" w:rsidR="00DE4516" w:rsidRDefault="00DE4516">
      <w:pPr>
        <w:pStyle w:val="BodyText0"/>
        <w:autoSpaceDE w:val="0"/>
        <w:autoSpaceDN w:val="0"/>
        <w:adjustRightInd w:val="0"/>
        <w:rPr>
          <w:szCs w:val="24"/>
        </w:rPr>
      </w:pPr>
      <w:r>
        <w:rPr>
          <w:szCs w:val="24"/>
        </w:rPr>
        <w:t>In contrast to those of other GCC countries, hydrocarbon resources in Oman are contained in challenging or depleting formations. Oman in recent years has become a global leader of using the enhanced oil recovery techniques and new seismic technologies commercially, allowing the country to maintain high production rates and ensure oil retains its role as a primary economic contributor.</w:t>
      </w:r>
    </w:p>
    <w:p w14:paraId="1B8E4F73" w14:textId="77777777" w:rsidR="00DE4516" w:rsidRDefault="00DE4516">
      <w:pPr>
        <w:pStyle w:val="BodyText0"/>
        <w:autoSpaceDE w:val="0"/>
        <w:autoSpaceDN w:val="0"/>
        <w:adjustRightInd w:val="0"/>
        <w:rPr>
          <w:szCs w:val="24"/>
        </w:rPr>
      </w:pPr>
      <w:r>
        <w:rPr>
          <w:szCs w:val="24"/>
        </w:rPr>
        <w:t>In 2013, the authorities introduced the In-Country Value (ICV) Blueprint Strategy. According to the authorities, the Strategy aims to retain the total sectoral spending in-country that benefits business development, contributes to human capability development, and stimulates productivity in the economy. The Strategy covers seven specific elements: (</w:t>
      </w:r>
      <w:proofErr w:type="spellStart"/>
      <w:r>
        <w:rPr>
          <w:szCs w:val="24"/>
        </w:rPr>
        <w:t>i</w:t>
      </w:r>
      <w:proofErr w:type="spellEnd"/>
      <w:r>
        <w:rPr>
          <w:szCs w:val="24"/>
        </w:rPr>
        <w:t xml:space="preserve">) investment in fixed assets; (ii) </w:t>
      </w:r>
      <w:proofErr w:type="spellStart"/>
      <w:r>
        <w:rPr>
          <w:szCs w:val="24"/>
        </w:rPr>
        <w:t>Omanization</w:t>
      </w:r>
      <w:proofErr w:type="spellEnd"/>
      <w:r>
        <w:rPr>
          <w:szCs w:val="24"/>
        </w:rPr>
        <w:t>; (iii) training of Omanis; (iv) local sourcing of goods; (v) local sourcing of sub-contracted services; (vi) the development of national suppliers; and (vii) the development of national training, education, and research and development institutions.</w:t>
      </w:r>
    </w:p>
    <w:p w14:paraId="3D8AB4C3" w14:textId="77777777" w:rsidR="00DE4516" w:rsidRDefault="00DE4516">
      <w:pPr>
        <w:pStyle w:val="BodyText0"/>
        <w:autoSpaceDE w:val="0"/>
        <w:autoSpaceDN w:val="0"/>
        <w:adjustRightInd w:val="0"/>
        <w:rPr>
          <w:szCs w:val="24"/>
        </w:rPr>
      </w:pPr>
      <w:r>
        <w:rPr>
          <w:szCs w:val="24"/>
        </w:rPr>
        <w:t xml:space="preserve">Companies involved in the oil and gas sector must conduct an evaluation that details the percentage of local spending in </w:t>
      </w:r>
      <w:proofErr w:type="gramStart"/>
      <w:r>
        <w:rPr>
          <w:szCs w:val="24"/>
        </w:rPr>
        <w:t>all of</w:t>
      </w:r>
      <w:proofErr w:type="gramEnd"/>
      <w:r>
        <w:rPr>
          <w:szCs w:val="24"/>
        </w:rPr>
        <w:t xml:space="preserve"> these areas. In the case of </w:t>
      </w:r>
      <w:proofErr w:type="spellStart"/>
      <w:r>
        <w:rPr>
          <w:szCs w:val="24"/>
        </w:rPr>
        <w:t>Omanization</w:t>
      </w:r>
      <w:proofErr w:type="spellEnd"/>
      <w:r>
        <w:rPr>
          <w:szCs w:val="24"/>
        </w:rPr>
        <w:t xml:space="preserve">, the figures also must include a percentage of total headcount and the number of man hours used, while training is considered as a percentage of local training in total national man hours. As of end-2020, total direct and indirect employment in the sector reached 19,766 posts, of which 16,898 were taken by Omanis. Direct employment in the sector adds up to an </w:t>
      </w:r>
      <w:proofErr w:type="spellStart"/>
      <w:r>
        <w:rPr>
          <w:szCs w:val="24"/>
        </w:rPr>
        <w:t>Omanization</w:t>
      </w:r>
      <w:proofErr w:type="spellEnd"/>
      <w:r>
        <w:rPr>
          <w:szCs w:val="24"/>
        </w:rPr>
        <w:t xml:space="preserve"> rate of approximately 85%.</w:t>
      </w:r>
    </w:p>
    <w:p w14:paraId="0D456958" w14:textId="77777777" w:rsidR="00DE4516" w:rsidRDefault="00DE4516">
      <w:pPr>
        <w:pStyle w:val="BodyText0"/>
        <w:autoSpaceDE w:val="0"/>
        <w:autoSpaceDN w:val="0"/>
        <w:adjustRightInd w:val="0"/>
        <w:rPr>
          <w:szCs w:val="24"/>
        </w:rPr>
      </w:pPr>
      <w:r>
        <w:rPr>
          <w:szCs w:val="24"/>
        </w:rPr>
        <w:t>The Strategy also benefits the development of local suppliers</w:t>
      </w:r>
      <w:r w:rsidRPr="00DE4516">
        <w:rPr>
          <w:rStyle w:val="FootnoteReference"/>
        </w:rPr>
        <w:footnoteReference w:id="222"/>
      </w:r>
      <w:r>
        <w:rPr>
          <w:szCs w:val="24"/>
        </w:rPr>
        <w:t xml:space="preserve">, </w:t>
      </w:r>
      <w:proofErr w:type="gramStart"/>
      <w:r>
        <w:rPr>
          <w:szCs w:val="24"/>
        </w:rPr>
        <w:t>in particular for</w:t>
      </w:r>
      <w:proofErr w:type="gramEnd"/>
      <w:r>
        <w:rPr>
          <w:szCs w:val="24"/>
        </w:rPr>
        <w:t xml:space="preserve"> small and medium-sized enterprises (SMEs) servicing the needs of the oil and gas sector, such as health, safety and environment advisory services, engineering and engineering management services, drill bit manufacturing, and oil well maintenance.</w:t>
      </w:r>
    </w:p>
    <w:p w14:paraId="3AE719E7" w14:textId="77777777" w:rsidR="00DE4516" w:rsidRDefault="00DE4516">
      <w:pPr>
        <w:pStyle w:val="BodyText0"/>
        <w:autoSpaceDE w:val="0"/>
        <w:autoSpaceDN w:val="0"/>
        <w:adjustRightInd w:val="0"/>
        <w:rPr>
          <w:szCs w:val="24"/>
        </w:rPr>
      </w:pPr>
      <w:r>
        <w:rPr>
          <w:szCs w:val="24"/>
        </w:rPr>
        <w:t xml:space="preserve">Oman's downstream is dominated by the state-owned refinery company, Oman Oil and </w:t>
      </w:r>
      <w:proofErr w:type="spellStart"/>
      <w:r>
        <w:rPr>
          <w:szCs w:val="24"/>
        </w:rPr>
        <w:t>Orpic</w:t>
      </w:r>
      <w:proofErr w:type="spellEnd"/>
      <w:r>
        <w:rPr>
          <w:szCs w:val="24"/>
        </w:rPr>
        <w:t xml:space="preserve"> Group (OQ). OQ is a merger between the Oman Oil Refineries and Petrochemicals Company (</w:t>
      </w:r>
      <w:proofErr w:type="spellStart"/>
      <w:r>
        <w:rPr>
          <w:szCs w:val="24"/>
        </w:rPr>
        <w:t>Orpic</w:t>
      </w:r>
      <w:proofErr w:type="spellEnd"/>
      <w:r>
        <w:rPr>
          <w:szCs w:val="24"/>
        </w:rPr>
        <w:t xml:space="preserve">) and the Oman Oil Company (OOC) that occurred in November 2018. </w:t>
      </w:r>
      <w:proofErr w:type="spellStart"/>
      <w:r>
        <w:rPr>
          <w:szCs w:val="24"/>
        </w:rPr>
        <w:t>Orpic</w:t>
      </w:r>
      <w:proofErr w:type="spellEnd"/>
      <w:r>
        <w:rPr>
          <w:szCs w:val="24"/>
        </w:rPr>
        <w:t xml:space="preserve"> operates two refineries, a polypropylene plant, and an aromatics plant. The daily refinery capacity from these facilities stood at 220,000 barrels in 2019.</w:t>
      </w:r>
    </w:p>
    <w:p w14:paraId="4ED990F4" w14:textId="77777777" w:rsidR="00DE4516" w:rsidRDefault="00DE4516">
      <w:pPr>
        <w:pStyle w:val="BodyText0"/>
        <w:autoSpaceDE w:val="0"/>
        <w:autoSpaceDN w:val="0"/>
        <w:adjustRightInd w:val="0"/>
        <w:rPr>
          <w:szCs w:val="24"/>
        </w:rPr>
      </w:pPr>
      <w:r>
        <w:rPr>
          <w:szCs w:val="24"/>
        </w:rPr>
        <w:t>Expanding the capacity of refining and petrochemicals production plays an important role in Oman's economic diversification strategy of growing manufacturing and increasing value addition in the hydrocarbons sector. New investment projects are ongoing in Duqm, Sohar, and Salalah.</w:t>
      </w:r>
    </w:p>
    <w:p w14:paraId="0B9AB8E9" w14:textId="77777777" w:rsidR="00DE4516" w:rsidRDefault="00DE4516">
      <w:pPr>
        <w:pStyle w:val="BodyText0"/>
        <w:autoSpaceDE w:val="0"/>
        <w:autoSpaceDN w:val="0"/>
        <w:adjustRightInd w:val="0"/>
        <w:rPr>
          <w:szCs w:val="24"/>
        </w:rPr>
      </w:pPr>
      <w:proofErr w:type="gramStart"/>
      <w:r>
        <w:rPr>
          <w:szCs w:val="24"/>
        </w:rPr>
        <w:lastRenderedPageBreak/>
        <w:t>With regard to</w:t>
      </w:r>
      <w:proofErr w:type="gramEnd"/>
      <w:r>
        <w:rPr>
          <w:szCs w:val="24"/>
        </w:rPr>
        <w:t xml:space="preserve"> the retail market, the fixed-price policy for fuels was abolished in January 2016; now prices for fuels are set and adjusted monthly by a government committee reflecting the changes in international prices. The profit margins of retailers are still fixed by the Government. The major retailers are Al </w:t>
      </w:r>
      <w:proofErr w:type="spellStart"/>
      <w:r>
        <w:rPr>
          <w:szCs w:val="24"/>
        </w:rPr>
        <w:t>Maha</w:t>
      </w:r>
      <w:proofErr w:type="spellEnd"/>
      <w:r>
        <w:rPr>
          <w:szCs w:val="24"/>
        </w:rPr>
        <w:t xml:space="preserve"> Petroleum Products Marketing Company, Oman Oil Marketing Company, and Shell Oman Marketing Company.</w:t>
      </w:r>
    </w:p>
    <w:p w14:paraId="49B47512" w14:textId="77777777" w:rsidR="00DE4516" w:rsidRDefault="00DE4516">
      <w:pPr>
        <w:pStyle w:val="Heading30"/>
        <w:autoSpaceDE w:val="0"/>
        <w:autoSpaceDN w:val="0"/>
        <w:adjustRightInd w:val="0"/>
        <w:rPr>
          <w:szCs w:val="24"/>
        </w:rPr>
      </w:pPr>
      <w:r>
        <w:rPr>
          <w:szCs w:val="24"/>
        </w:rPr>
        <w:t>Electricity</w:t>
      </w:r>
    </w:p>
    <w:p w14:paraId="2AFC16BF" w14:textId="77777777" w:rsidR="00DE4516" w:rsidRDefault="00DE4516">
      <w:pPr>
        <w:pStyle w:val="BodyText0"/>
        <w:autoSpaceDE w:val="0"/>
        <w:autoSpaceDN w:val="0"/>
        <w:adjustRightInd w:val="0"/>
        <w:rPr>
          <w:szCs w:val="24"/>
        </w:rPr>
      </w:pPr>
      <w:r>
        <w:rPr>
          <w:szCs w:val="24"/>
        </w:rPr>
        <w:t>The legal and institutional framework for the power sector has remained largely unchanged, except that the sectoral regulator was branded as the Authority for Public Utilities Regulation (APUR, also known the Authority for Public Services Regulation) in August 2020.</w:t>
      </w:r>
      <w:r w:rsidRPr="00DE4516">
        <w:rPr>
          <w:rStyle w:val="FootnoteReference"/>
        </w:rPr>
        <w:footnoteReference w:id="223"/>
      </w:r>
      <w:r>
        <w:rPr>
          <w:szCs w:val="24"/>
        </w:rPr>
        <w:t xml:space="preserve"> The main legislation is the Law on the Regulation and Privatization of the Electricity and Related Water Sector (also known as the Sector Law).</w:t>
      </w:r>
    </w:p>
    <w:p w14:paraId="240163BF" w14:textId="77777777" w:rsidR="00DE4516" w:rsidRDefault="00DE4516">
      <w:pPr>
        <w:pStyle w:val="BodyText0"/>
        <w:autoSpaceDE w:val="0"/>
        <w:autoSpaceDN w:val="0"/>
        <w:adjustRightInd w:val="0"/>
        <w:rPr>
          <w:szCs w:val="24"/>
        </w:rPr>
      </w:pPr>
      <w:r>
        <w:rPr>
          <w:szCs w:val="24"/>
        </w:rPr>
        <w:t>The sector comprises three separate grids: the Main Interconnected System (MIS), serving the north of Oman; the Dhofar Power System (DPS), serving the southern Dhofar region and the nearby rural areas; and the Rural System of the Rural Areas Electricity Company (RAEC), serving the rural areas that are not covered by the other two grids.</w:t>
      </w:r>
    </w:p>
    <w:p w14:paraId="645C5F5D" w14:textId="77777777" w:rsidR="00DE4516" w:rsidRDefault="00DE4516">
      <w:pPr>
        <w:pStyle w:val="BodyText0"/>
        <w:autoSpaceDE w:val="0"/>
        <w:autoSpaceDN w:val="0"/>
        <w:adjustRightInd w:val="0"/>
        <w:rPr>
          <w:szCs w:val="24"/>
        </w:rPr>
      </w:pPr>
      <w:r>
        <w:rPr>
          <w:szCs w:val="24"/>
        </w:rPr>
        <w:t>Under the Sector Law, the subsector of power generation is fully liberalized; all new electricity projects must be carried out by independent power providers (IPPs). The state ownership of an IPP may not exceed 15%, and 40% of the share must be traded on the Muscat Securities Exchange (MSX). As of end-2020, there were 14 IPPs licensed to operate, 12 of which are 100% privately owned</w:t>
      </w:r>
      <w:r w:rsidRPr="00DE4516">
        <w:rPr>
          <w:rStyle w:val="FootnoteReference"/>
        </w:rPr>
        <w:footnoteReference w:id="224"/>
      </w:r>
      <w:r>
        <w:rPr>
          <w:szCs w:val="24"/>
        </w:rPr>
        <w:t>; 12 IPPs operate on the MIS, and two on the DPS.</w:t>
      </w:r>
    </w:p>
    <w:p w14:paraId="46C36FD7" w14:textId="77777777" w:rsidR="00DE4516" w:rsidRDefault="00DE4516">
      <w:pPr>
        <w:pStyle w:val="BodyText0"/>
        <w:autoSpaceDE w:val="0"/>
        <w:autoSpaceDN w:val="0"/>
        <w:adjustRightInd w:val="0"/>
        <w:rPr>
          <w:szCs w:val="24"/>
        </w:rPr>
      </w:pPr>
      <w:r>
        <w:rPr>
          <w:szCs w:val="24"/>
        </w:rPr>
        <w:t xml:space="preserve">All capacity generated from IPPs is sold to the single wholesale buyer, the Oman </w:t>
      </w:r>
      <w:proofErr w:type="gramStart"/>
      <w:r>
        <w:rPr>
          <w:szCs w:val="24"/>
        </w:rPr>
        <w:t>Power</w:t>
      </w:r>
      <w:proofErr w:type="gramEnd"/>
      <w:r>
        <w:rPr>
          <w:szCs w:val="24"/>
        </w:rPr>
        <w:t xml:space="preserve"> and Water Procurement Company (OPWP), through long-term power purchase agreements. The OPWP is responsible for the country's capacity planning through forecasting electricity demand in the next seven-year interval; the planning is presented each year in the seven Year Statement.</w:t>
      </w:r>
      <w:r w:rsidRPr="00DE4516">
        <w:rPr>
          <w:rStyle w:val="FootnoteReference"/>
        </w:rPr>
        <w:footnoteReference w:id="225"/>
      </w:r>
      <w:r>
        <w:rPr>
          <w:szCs w:val="24"/>
        </w:rPr>
        <w:t xml:space="preserve"> According to the latest Statement, the demand for electricity by 2025 will fall short by 1,750 MW; therefore, 1,600 MW of new capacity from IPPs is planned. Under the Economic Purchase Obligation, the OPWP must procure new capacity, usually through a competitive tender; it planned to purchase an extra 600 MW in the 2022 power procurement process, and 700 MW in 2024.</w:t>
      </w:r>
      <w:r w:rsidRPr="00DE4516">
        <w:rPr>
          <w:rStyle w:val="FootnoteReference"/>
        </w:rPr>
        <w:footnoteReference w:id="226"/>
      </w:r>
    </w:p>
    <w:p w14:paraId="52A66B03" w14:textId="77777777" w:rsidR="00DE4516" w:rsidRDefault="00DE4516">
      <w:pPr>
        <w:pStyle w:val="BodyText0"/>
        <w:autoSpaceDE w:val="0"/>
        <w:autoSpaceDN w:val="0"/>
        <w:adjustRightInd w:val="0"/>
        <w:rPr>
          <w:szCs w:val="24"/>
        </w:rPr>
      </w:pPr>
      <w:r>
        <w:rPr>
          <w:szCs w:val="24"/>
        </w:rPr>
        <w:t xml:space="preserve">In 2015, the authorities published the National Energy Strategy (NES) 2040. In 2017, Oman adopted a target of having at least 10% of electricity output from renewable energy sources by 2025, primarily onshore wind and solar; in 2020, the target changed to 30% by 2030. As at end-2020, there was only a total capacity of 150 MW from wind sources in operation. There are 13 projects </w:t>
      </w:r>
      <w:proofErr w:type="gramStart"/>
      <w:r>
        <w:rPr>
          <w:szCs w:val="24"/>
        </w:rPr>
        <w:t>planned for the future</w:t>
      </w:r>
      <w:proofErr w:type="gramEnd"/>
      <w:r>
        <w:rPr>
          <w:szCs w:val="24"/>
        </w:rPr>
        <w:t>: four photovoltaic (PV) solar projects with a total capacity of 1,600 MW, two wind projects with 250 MW of combined capacity, two waste-to-energy/biogas projects with 250 MW total capacity, and five small-scale solar PV schemes with a combined capacity of 160 MW. Additionally, the authorities also launched a solar rooftop initiative, allowing private customers to sell their extra electricity generated from rooftop solar PV back to the OPWP.</w:t>
      </w:r>
    </w:p>
    <w:p w14:paraId="55643F1C" w14:textId="77777777" w:rsidR="00DE4516" w:rsidRDefault="00DE4516">
      <w:pPr>
        <w:pStyle w:val="BodyText0"/>
        <w:autoSpaceDE w:val="0"/>
        <w:autoSpaceDN w:val="0"/>
        <w:adjustRightInd w:val="0"/>
        <w:rPr>
          <w:szCs w:val="24"/>
        </w:rPr>
      </w:pPr>
      <w:r>
        <w:rPr>
          <w:szCs w:val="24"/>
        </w:rPr>
        <w:t xml:space="preserve">The Oman Electricity Transmission Company SAOC (OETC) is the monopolistic transmitter; it manages the grids of MIS and DPS. Distributors in each grid purchase electricity from the OPWP and distribute it to final customers; distributors on each grid enjoy statutory monopolies in their respective service areas, though the APUR has the competence to maintain competition in the </w:t>
      </w:r>
      <w:r>
        <w:rPr>
          <w:szCs w:val="24"/>
        </w:rPr>
        <w:lastRenderedPageBreak/>
        <w:t>markets.</w:t>
      </w:r>
      <w:r w:rsidRPr="00DE4516">
        <w:rPr>
          <w:rStyle w:val="FootnoteReference"/>
        </w:rPr>
        <w:footnoteReference w:id="227"/>
      </w:r>
      <w:r>
        <w:rPr>
          <w:szCs w:val="24"/>
        </w:rPr>
        <w:t xml:space="preserve"> There are three distributors on the IMS network, and one on the DPS. All four distributors, together with the OETC, are state-owned under the umbrella of the Electricity Holding Company.</w:t>
      </w:r>
      <w:r w:rsidRPr="00DE4516">
        <w:rPr>
          <w:rStyle w:val="FootnoteReference"/>
        </w:rPr>
        <w:footnoteReference w:id="228"/>
      </w:r>
    </w:p>
    <w:p w14:paraId="01D5FA08" w14:textId="77777777" w:rsidR="00DE4516" w:rsidRDefault="00DE4516">
      <w:pPr>
        <w:pStyle w:val="BodyText0"/>
        <w:autoSpaceDE w:val="0"/>
        <w:autoSpaceDN w:val="0"/>
        <w:adjustRightInd w:val="0"/>
        <w:rPr>
          <w:szCs w:val="24"/>
        </w:rPr>
      </w:pPr>
      <w:r>
        <w:rPr>
          <w:szCs w:val="24"/>
        </w:rPr>
        <w:t>The RAEC is a vertically integrated entity, serving the vast rural areas. On the RAEC, there are two generation plants: one is diesel-</w:t>
      </w:r>
      <w:proofErr w:type="gramStart"/>
      <w:r>
        <w:rPr>
          <w:szCs w:val="24"/>
        </w:rPr>
        <w:t>fired</w:t>
      </w:r>
      <w:proofErr w:type="gramEnd"/>
      <w:r>
        <w:rPr>
          <w:szCs w:val="24"/>
        </w:rPr>
        <w:t xml:space="preserve"> and the other is solar-powered.</w:t>
      </w:r>
    </w:p>
    <w:p w14:paraId="08E5A4C1" w14:textId="77777777" w:rsidR="00DE4516" w:rsidRDefault="00DE4516">
      <w:pPr>
        <w:pStyle w:val="BodyText0"/>
        <w:autoSpaceDE w:val="0"/>
        <w:autoSpaceDN w:val="0"/>
        <w:adjustRightInd w:val="0"/>
        <w:rPr>
          <w:szCs w:val="24"/>
        </w:rPr>
      </w:pPr>
      <w:r>
        <w:rPr>
          <w:szCs w:val="24"/>
        </w:rPr>
        <w:t xml:space="preserve">Electricity retail tariffs are subject to approval by </w:t>
      </w:r>
      <w:proofErr w:type="gramStart"/>
      <w:r>
        <w:rPr>
          <w:szCs w:val="24"/>
        </w:rPr>
        <w:t>APUR, and</w:t>
      </w:r>
      <w:proofErr w:type="gramEnd"/>
      <w:r>
        <w:rPr>
          <w:szCs w:val="24"/>
        </w:rPr>
        <w:t xml:space="preserve"> adjusted each year (</w:t>
      </w:r>
      <w:r>
        <w:rPr>
          <w:rStyle w:val="citetbl"/>
          <w:szCs w:val="24"/>
        </w:rPr>
        <w:t>Table 4.6</w:t>
      </w:r>
      <w:r>
        <w:rPr>
          <w:szCs w:val="24"/>
        </w:rPr>
        <w:t>). When the economic cost of supplying electricity is higher than the revenue from retailed tariff, the difference (</w:t>
      </w:r>
      <w:proofErr w:type="gramStart"/>
      <w:r>
        <w:rPr>
          <w:szCs w:val="24"/>
        </w:rPr>
        <w:t>i.e.</w:t>
      </w:r>
      <w:proofErr w:type="gramEnd"/>
      <w:r>
        <w:rPr>
          <w:szCs w:val="24"/>
        </w:rPr>
        <w:t> the loss of income) will be matched by the Ministry of Finance. The electricity subsidy is calculated annually.</w:t>
      </w:r>
    </w:p>
    <w:p w14:paraId="6CEE3B28" w14:textId="77777777" w:rsidR="00DE4516" w:rsidRDefault="00DE4516">
      <w:pPr>
        <w:pStyle w:val="BodyText0"/>
        <w:autoSpaceDE w:val="0"/>
        <w:autoSpaceDN w:val="0"/>
        <w:adjustRightInd w:val="0"/>
        <w:rPr>
          <w:szCs w:val="24"/>
        </w:rPr>
      </w:pPr>
      <w:r>
        <w:rPr>
          <w:szCs w:val="24"/>
        </w:rPr>
        <w:t xml:space="preserve">Oman's national grid has </w:t>
      </w:r>
      <w:proofErr w:type="gramStart"/>
      <w:r>
        <w:rPr>
          <w:szCs w:val="24"/>
        </w:rPr>
        <w:t>been connected with</w:t>
      </w:r>
      <w:proofErr w:type="gramEnd"/>
      <w:r>
        <w:rPr>
          <w:szCs w:val="24"/>
        </w:rPr>
        <w:t xml:space="preserve"> the GCC Interconnection Grid through a 220 kV connection with the United Arab Emirates since July 2018. The OPWP is the state trading entity for electricity on the GCC Grid. The current capacity for electricity trading is up to 400 MW (800 MW in the case of emergencies). The MFN tariff on importing electricity is 5%.</w:t>
      </w:r>
    </w:p>
    <w:p w14:paraId="0A606376" w14:textId="77777777" w:rsidR="00DE4516" w:rsidRDefault="00DE4516">
      <w:pPr>
        <w:pStyle w:val="TableTitle"/>
        <w:autoSpaceDE w:val="0"/>
        <w:autoSpaceDN w:val="0"/>
        <w:adjustRightInd w:val="0"/>
      </w:pPr>
      <w:r>
        <w:t>Table 4.6 Electricity retail prices, 2021</w:t>
      </w:r>
    </w:p>
    <w:tbl>
      <w:tblPr>
        <w:tblStyle w:val="WTOTable1"/>
        <w:tblW w:w="9180" w:type="dxa"/>
        <w:tblLayout w:type="fixed"/>
        <w:tblLook w:val="05E0" w:firstRow="1" w:lastRow="1" w:firstColumn="1" w:lastColumn="1" w:noHBand="0" w:noVBand="1"/>
      </w:tblPr>
      <w:tblGrid>
        <w:gridCol w:w="2830"/>
        <w:gridCol w:w="3686"/>
        <w:gridCol w:w="2664"/>
      </w:tblGrid>
      <w:tr w:rsidR="00DE4516" w:rsidRPr="007F015E" w14:paraId="1DFE637C" w14:textId="77777777" w:rsidTr="00507E8C">
        <w:trPr>
          <w:cnfStyle w:val="100000000000" w:firstRow="1" w:lastRow="0" w:firstColumn="0" w:lastColumn="0" w:oddVBand="0" w:evenVBand="0" w:oddHBand="0" w:evenHBand="0" w:firstRowFirstColumn="0" w:firstRowLastColumn="0" w:lastRowFirstColumn="0" w:lastRowLastColumn="0"/>
          <w:cantSplit/>
          <w:tblHeader/>
        </w:trPr>
        <w:tc>
          <w:tcPr>
            <w:tcW w:w="2830" w:type="dxa"/>
            <w:tcBorders>
              <w:top w:val="single" w:sz="4" w:space="0" w:color="auto"/>
            </w:tcBorders>
          </w:tcPr>
          <w:p w14:paraId="265FB505" w14:textId="77777777" w:rsidR="00DE4516" w:rsidRPr="007F015E" w:rsidRDefault="00DE4516" w:rsidP="00DE4516">
            <w:pPr>
              <w:pStyle w:val="TableHead"/>
              <w:autoSpaceDE w:val="0"/>
              <w:autoSpaceDN w:val="0"/>
              <w:adjustRightInd w:val="0"/>
              <w:jc w:val="both"/>
              <w:rPr>
                <w:b/>
                <w:bCs/>
                <w:sz w:val="15"/>
                <w:szCs w:val="15"/>
              </w:rPr>
            </w:pPr>
            <w:r w:rsidRPr="007F015E">
              <w:rPr>
                <w:b/>
              </w:rPr>
              <w:t>Tariff category</w:t>
            </w:r>
          </w:p>
        </w:tc>
        <w:tc>
          <w:tcPr>
            <w:tcW w:w="3686" w:type="dxa"/>
            <w:tcBorders>
              <w:top w:val="single" w:sz="4" w:space="0" w:color="auto"/>
            </w:tcBorders>
          </w:tcPr>
          <w:p w14:paraId="40B0368A" w14:textId="77777777" w:rsidR="00DE4516" w:rsidRPr="007F015E" w:rsidRDefault="00DE4516" w:rsidP="00DE4516">
            <w:pPr>
              <w:pStyle w:val="TableHead"/>
              <w:autoSpaceDE w:val="0"/>
              <w:autoSpaceDN w:val="0"/>
              <w:adjustRightInd w:val="0"/>
              <w:jc w:val="both"/>
              <w:rPr>
                <w:b/>
                <w:bCs/>
                <w:sz w:val="15"/>
                <w:szCs w:val="15"/>
              </w:rPr>
            </w:pPr>
            <w:r w:rsidRPr="007F015E">
              <w:rPr>
                <w:b/>
              </w:rPr>
              <w:t>Range (kWh/month)</w:t>
            </w:r>
          </w:p>
        </w:tc>
        <w:tc>
          <w:tcPr>
            <w:tcW w:w="2664" w:type="dxa"/>
            <w:tcBorders>
              <w:top w:val="single" w:sz="4" w:space="0" w:color="auto"/>
            </w:tcBorders>
          </w:tcPr>
          <w:p w14:paraId="43292F0A" w14:textId="77777777" w:rsidR="00DE4516" w:rsidRPr="007F015E" w:rsidRDefault="00DE4516" w:rsidP="00DE4516">
            <w:pPr>
              <w:pStyle w:val="TableHead"/>
              <w:autoSpaceDE w:val="0"/>
              <w:autoSpaceDN w:val="0"/>
              <w:adjustRightInd w:val="0"/>
              <w:rPr>
                <w:b/>
                <w:bCs/>
                <w:sz w:val="15"/>
                <w:szCs w:val="15"/>
              </w:rPr>
            </w:pPr>
            <w:r w:rsidRPr="007F015E">
              <w:rPr>
                <w:b/>
              </w:rPr>
              <w:t>Tariff (OMR/kw)</w:t>
            </w:r>
          </w:p>
        </w:tc>
      </w:tr>
      <w:tr w:rsidR="00DE4516" w:rsidRPr="00A260F0" w14:paraId="02EA9835" w14:textId="77777777" w:rsidTr="00A86160">
        <w:trPr>
          <w:cantSplit/>
        </w:trPr>
        <w:tc>
          <w:tcPr>
            <w:tcW w:w="2830" w:type="dxa"/>
          </w:tcPr>
          <w:p w14:paraId="433B3F26" w14:textId="77777777" w:rsidR="00DE4516" w:rsidRPr="00A46ADC" w:rsidRDefault="00DE4516" w:rsidP="00DE4516">
            <w:pPr>
              <w:pStyle w:val="TableBody"/>
              <w:autoSpaceDE w:val="0"/>
              <w:autoSpaceDN w:val="0"/>
              <w:adjustRightInd w:val="0"/>
              <w:jc w:val="both"/>
              <w:rPr>
                <w:b/>
                <w:bCs/>
                <w:sz w:val="15"/>
                <w:szCs w:val="15"/>
              </w:rPr>
            </w:pPr>
            <w:r w:rsidRPr="00A46ADC">
              <w:rPr>
                <w:b/>
              </w:rPr>
              <w:t>Residential</w:t>
            </w:r>
          </w:p>
        </w:tc>
        <w:tc>
          <w:tcPr>
            <w:tcW w:w="3686" w:type="dxa"/>
          </w:tcPr>
          <w:p w14:paraId="52F269FF" w14:textId="77777777" w:rsidR="00DE4516" w:rsidRPr="00A46ADC" w:rsidRDefault="00DE4516" w:rsidP="00DE4516">
            <w:pPr>
              <w:pStyle w:val="TableBody"/>
              <w:autoSpaceDE w:val="0"/>
              <w:autoSpaceDN w:val="0"/>
              <w:adjustRightInd w:val="0"/>
              <w:jc w:val="both"/>
            </w:pPr>
          </w:p>
        </w:tc>
        <w:tc>
          <w:tcPr>
            <w:tcW w:w="2664" w:type="dxa"/>
          </w:tcPr>
          <w:p w14:paraId="38D949A2" w14:textId="77777777" w:rsidR="00DE4516" w:rsidRPr="00A46ADC" w:rsidRDefault="00DE4516" w:rsidP="00DE4516">
            <w:pPr>
              <w:pStyle w:val="TableBody"/>
              <w:autoSpaceDE w:val="0"/>
              <w:autoSpaceDN w:val="0"/>
              <w:adjustRightInd w:val="0"/>
              <w:jc w:val="right"/>
            </w:pPr>
          </w:p>
        </w:tc>
      </w:tr>
      <w:tr w:rsidR="00DE4516" w:rsidRPr="00A260F0" w14:paraId="6B8AD514"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830" w:type="dxa"/>
            <w:vMerge w:val="restart"/>
          </w:tcPr>
          <w:p w14:paraId="7CDDE03F" w14:textId="77777777" w:rsidR="00DE4516" w:rsidRPr="00A46ADC" w:rsidRDefault="00DE4516" w:rsidP="00DE4516">
            <w:pPr>
              <w:pStyle w:val="TableBody"/>
              <w:autoSpaceDE w:val="0"/>
              <w:autoSpaceDN w:val="0"/>
              <w:adjustRightInd w:val="0"/>
              <w:jc w:val="both"/>
              <w:rPr>
                <w:sz w:val="15"/>
                <w:szCs w:val="15"/>
              </w:rPr>
            </w:pPr>
            <w:r w:rsidRPr="00A46ADC">
              <w:t>Citizen's account</w:t>
            </w:r>
          </w:p>
        </w:tc>
        <w:tc>
          <w:tcPr>
            <w:tcW w:w="3686" w:type="dxa"/>
          </w:tcPr>
          <w:p w14:paraId="66F0DD87" w14:textId="77777777" w:rsidR="00DE4516" w:rsidRPr="00A46ADC" w:rsidRDefault="00DE4516" w:rsidP="00DE4516">
            <w:pPr>
              <w:pStyle w:val="TableBody"/>
              <w:autoSpaceDE w:val="0"/>
              <w:autoSpaceDN w:val="0"/>
              <w:adjustRightInd w:val="0"/>
              <w:jc w:val="both"/>
              <w:rPr>
                <w:sz w:val="15"/>
                <w:szCs w:val="15"/>
              </w:rPr>
            </w:pPr>
            <w:r w:rsidRPr="00A46ADC">
              <w:t>0-2,000</w:t>
            </w:r>
          </w:p>
        </w:tc>
        <w:tc>
          <w:tcPr>
            <w:tcW w:w="2664" w:type="dxa"/>
          </w:tcPr>
          <w:p w14:paraId="416F7290" w14:textId="77777777" w:rsidR="00DE4516" w:rsidRPr="00A46ADC" w:rsidRDefault="00DE4516" w:rsidP="00DE4516">
            <w:pPr>
              <w:pStyle w:val="TableBody"/>
              <w:autoSpaceDE w:val="0"/>
              <w:autoSpaceDN w:val="0"/>
              <w:adjustRightInd w:val="0"/>
              <w:ind w:right="964"/>
              <w:jc w:val="right"/>
              <w:rPr>
                <w:sz w:val="15"/>
                <w:szCs w:val="15"/>
              </w:rPr>
            </w:pPr>
            <w:r w:rsidRPr="00A46ADC">
              <w:t>0.015</w:t>
            </w:r>
          </w:p>
        </w:tc>
      </w:tr>
      <w:tr w:rsidR="00DE4516" w:rsidRPr="00A260F0" w14:paraId="688A634C" w14:textId="77777777" w:rsidTr="00A86160">
        <w:trPr>
          <w:cantSplit/>
        </w:trPr>
        <w:tc>
          <w:tcPr>
            <w:tcW w:w="2830" w:type="dxa"/>
            <w:vMerge/>
            <w:shd w:val="clear" w:color="auto" w:fill="C9DED4"/>
          </w:tcPr>
          <w:p w14:paraId="481D4724" w14:textId="77777777" w:rsidR="00DE4516" w:rsidRPr="00A260F0" w:rsidRDefault="00DE4516" w:rsidP="00DE4516">
            <w:pPr>
              <w:pStyle w:val="TableBody"/>
            </w:pPr>
          </w:p>
        </w:tc>
        <w:tc>
          <w:tcPr>
            <w:tcW w:w="3686" w:type="dxa"/>
            <w:shd w:val="clear" w:color="auto" w:fill="C9DED4"/>
          </w:tcPr>
          <w:p w14:paraId="263F190E" w14:textId="77777777" w:rsidR="00DE4516" w:rsidRPr="00A46ADC" w:rsidRDefault="00DE4516" w:rsidP="00DE4516">
            <w:pPr>
              <w:pStyle w:val="TableBody"/>
              <w:autoSpaceDE w:val="0"/>
              <w:autoSpaceDN w:val="0"/>
              <w:adjustRightInd w:val="0"/>
              <w:jc w:val="both"/>
              <w:rPr>
                <w:sz w:val="15"/>
                <w:szCs w:val="15"/>
              </w:rPr>
            </w:pPr>
            <w:r w:rsidRPr="00A46ADC">
              <w:t>2,001-4,000</w:t>
            </w:r>
          </w:p>
        </w:tc>
        <w:tc>
          <w:tcPr>
            <w:tcW w:w="2664" w:type="dxa"/>
            <w:shd w:val="clear" w:color="auto" w:fill="C9DED4"/>
          </w:tcPr>
          <w:p w14:paraId="5DB0F3EB" w14:textId="77777777" w:rsidR="00DE4516" w:rsidRPr="00A46ADC" w:rsidRDefault="00DE4516" w:rsidP="00DE4516">
            <w:pPr>
              <w:pStyle w:val="TableBody"/>
              <w:autoSpaceDE w:val="0"/>
              <w:autoSpaceDN w:val="0"/>
              <w:adjustRightInd w:val="0"/>
              <w:ind w:right="964"/>
              <w:jc w:val="right"/>
              <w:rPr>
                <w:sz w:val="15"/>
                <w:szCs w:val="15"/>
              </w:rPr>
            </w:pPr>
            <w:r w:rsidRPr="00A46ADC">
              <w:t>0.02</w:t>
            </w:r>
          </w:p>
        </w:tc>
      </w:tr>
      <w:tr w:rsidR="00DE4516" w:rsidRPr="00A260F0" w14:paraId="29808F66"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830" w:type="dxa"/>
            <w:vMerge/>
          </w:tcPr>
          <w:p w14:paraId="20104E27" w14:textId="77777777" w:rsidR="00DE4516" w:rsidRPr="00A260F0" w:rsidRDefault="00DE4516" w:rsidP="00DE4516">
            <w:pPr>
              <w:pStyle w:val="TableBody"/>
            </w:pPr>
          </w:p>
        </w:tc>
        <w:tc>
          <w:tcPr>
            <w:tcW w:w="3686" w:type="dxa"/>
          </w:tcPr>
          <w:p w14:paraId="2C92E518" w14:textId="77777777" w:rsidR="00DE4516" w:rsidRPr="00A46ADC" w:rsidRDefault="00DE4516" w:rsidP="00DE4516">
            <w:pPr>
              <w:pStyle w:val="TableBody"/>
              <w:autoSpaceDE w:val="0"/>
              <w:autoSpaceDN w:val="0"/>
              <w:adjustRightInd w:val="0"/>
              <w:jc w:val="both"/>
              <w:rPr>
                <w:sz w:val="15"/>
                <w:szCs w:val="15"/>
              </w:rPr>
            </w:pPr>
            <w:r w:rsidRPr="00A46ADC">
              <w:t>More than 4,000</w:t>
            </w:r>
          </w:p>
        </w:tc>
        <w:tc>
          <w:tcPr>
            <w:tcW w:w="2664" w:type="dxa"/>
          </w:tcPr>
          <w:p w14:paraId="1A6B82AB" w14:textId="77777777" w:rsidR="00DE4516" w:rsidRPr="00A46ADC" w:rsidRDefault="00DE4516" w:rsidP="00DE4516">
            <w:pPr>
              <w:pStyle w:val="TableBody"/>
              <w:autoSpaceDE w:val="0"/>
              <w:autoSpaceDN w:val="0"/>
              <w:adjustRightInd w:val="0"/>
              <w:ind w:right="964"/>
              <w:jc w:val="right"/>
              <w:rPr>
                <w:color w:val="000000"/>
                <w:sz w:val="15"/>
                <w:szCs w:val="15"/>
              </w:rPr>
            </w:pPr>
            <w:r w:rsidRPr="00A46ADC">
              <w:t>0.03</w:t>
            </w:r>
          </w:p>
        </w:tc>
      </w:tr>
      <w:tr w:rsidR="00DE4516" w:rsidRPr="00A260F0" w14:paraId="31F4A877" w14:textId="77777777" w:rsidTr="00A86160">
        <w:trPr>
          <w:cantSplit/>
        </w:trPr>
        <w:tc>
          <w:tcPr>
            <w:tcW w:w="2830" w:type="dxa"/>
            <w:vMerge w:val="restart"/>
            <w:shd w:val="clear" w:color="auto" w:fill="FFFFFF" w:themeFill="background1"/>
          </w:tcPr>
          <w:p w14:paraId="4409F526" w14:textId="77777777" w:rsidR="00DE4516" w:rsidRPr="00A46ADC" w:rsidRDefault="00DE4516" w:rsidP="00DE4516">
            <w:pPr>
              <w:pStyle w:val="TableBody"/>
              <w:autoSpaceDE w:val="0"/>
              <w:autoSpaceDN w:val="0"/>
              <w:adjustRightInd w:val="0"/>
              <w:jc w:val="both"/>
              <w:rPr>
                <w:sz w:val="15"/>
                <w:szCs w:val="15"/>
              </w:rPr>
            </w:pPr>
            <w:r w:rsidRPr="00A46ADC">
              <w:t>Residential and additional account</w:t>
            </w:r>
          </w:p>
        </w:tc>
        <w:tc>
          <w:tcPr>
            <w:tcW w:w="3686" w:type="dxa"/>
            <w:shd w:val="clear" w:color="auto" w:fill="FFFFFF" w:themeFill="background1"/>
          </w:tcPr>
          <w:p w14:paraId="4D0E9C61" w14:textId="77777777" w:rsidR="00DE4516" w:rsidRPr="00A46ADC" w:rsidRDefault="00DE4516" w:rsidP="00DE4516">
            <w:pPr>
              <w:pStyle w:val="TableBody"/>
              <w:autoSpaceDE w:val="0"/>
              <w:autoSpaceDN w:val="0"/>
              <w:adjustRightInd w:val="0"/>
              <w:jc w:val="both"/>
              <w:rPr>
                <w:sz w:val="15"/>
                <w:szCs w:val="15"/>
              </w:rPr>
            </w:pPr>
            <w:r w:rsidRPr="00A46ADC">
              <w:t>0-500</w:t>
            </w:r>
          </w:p>
        </w:tc>
        <w:tc>
          <w:tcPr>
            <w:tcW w:w="2664" w:type="dxa"/>
            <w:shd w:val="clear" w:color="auto" w:fill="FFFFFF" w:themeFill="background1"/>
          </w:tcPr>
          <w:p w14:paraId="44920C74" w14:textId="77777777" w:rsidR="00DE4516" w:rsidRPr="00A46ADC" w:rsidRDefault="00DE4516" w:rsidP="00DE4516">
            <w:pPr>
              <w:pStyle w:val="TableBody"/>
              <w:autoSpaceDE w:val="0"/>
              <w:autoSpaceDN w:val="0"/>
              <w:adjustRightInd w:val="0"/>
              <w:ind w:right="964"/>
              <w:jc w:val="right"/>
              <w:rPr>
                <w:color w:val="000000"/>
                <w:sz w:val="15"/>
                <w:szCs w:val="15"/>
              </w:rPr>
            </w:pPr>
            <w:r w:rsidRPr="00A46ADC">
              <w:t>0.02</w:t>
            </w:r>
          </w:p>
        </w:tc>
      </w:tr>
      <w:tr w:rsidR="00DE4516" w:rsidRPr="00A260F0" w14:paraId="094374CC"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830" w:type="dxa"/>
            <w:vMerge/>
            <w:shd w:val="clear" w:color="auto" w:fill="FFFFFF" w:themeFill="background1"/>
          </w:tcPr>
          <w:p w14:paraId="11EFAD68" w14:textId="77777777" w:rsidR="00DE4516" w:rsidRPr="00A260F0" w:rsidRDefault="00DE4516" w:rsidP="00DE4516">
            <w:pPr>
              <w:pStyle w:val="TableBody"/>
            </w:pPr>
          </w:p>
        </w:tc>
        <w:tc>
          <w:tcPr>
            <w:tcW w:w="3686" w:type="dxa"/>
            <w:shd w:val="clear" w:color="auto" w:fill="FFFFFF" w:themeFill="background1"/>
          </w:tcPr>
          <w:p w14:paraId="32DC2FE5" w14:textId="77777777" w:rsidR="00DE4516" w:rsidRPr="00A46ADC" w:rsidRDefault="00DE4516" w:rsidP="00DE4516">
            <w:pPr>
              <w:pStyle w:val="TableBody"/>
              <w:autoSpaceDE w:val="0"/>
              <w:autoSpaceDN w:val="0"/>
              <w:adjustRightInd w:val="0"/>
              <w:jc w:val="both"/>
              <w:rPr>
                <w:sz w:val="15"/>
                <w:szCs w:val="15"/>
              </w:rPr>
            </w:pPr>
            <w:r w:rsidRPr="00A46ADC">
              <w:t>500-1,500</w:t>
            </w:r>
          </w:p>
        </w:tc>
        <w:tc>
          <w:tcPr>
            <w:tcW w:w="2664" w:type="dxa"/>
            <w:shd w:val="clear" w:color="auto" w:fill="FFFFFF" w:themeFill="background1"/>
          </w:tcPr>
          <w:p w14:paraId="4426381C" w14:textId="77777777" w:rsidR="00DE4516" w:rsidRPr="00A46ADC" w:rsidRDefault="00DE4516" w:rsidP="00DE4516">
            <w:pPr>
              <w:pStyle w:val="TableBody"/>
              <w:autoSpaceDE w:val="0"/>
              <w:autoSpaceDN w:val="0"/>
              <w:adjustRightInd w:val="0"/>
              <w:ind w:right="964"/>
              <w:jc w:val="right"/>
              <w:rPr>
                <w:sz w:val="15"/>
                <w:szCs w:val="15"/>
              </w:rPr>
            </w:pPr>
            <w:r w:rsidRPr="00A46ADC">
              <w:t>0.025</w:t>
            </w:r>
          </w:p>
        </w:tc>
      </w:tr>
      <w:tr w:rsidR="00DE4516" w:rsidRPr="00A260F0" w14:paraId="64357CAC" w14:textId="77777777" w:rsidTr="00A86160">
        <w:trPr>
          <w:cantSplit/>
        </w:trPr>
        <w:tc>
          <w:tcPr>
            <w:tcW w:w="2830" w:type="dxa"/>
            <w:vMerge/>
            <w:shd w:val="clear" w:color="auto" w:fill="FFFFFF" w:themeFill="background1"/>
          </w:tcPr>
          <w:p w14:paraId="7BE47BCA" w14:textId="77777777" w:rsidR="00DE4516" w:rsidRPr="00A260F0" w:rsidRDefault="00DE4516" w:rsidP="00DE4516">
            <w:pPr>
              <w:pStyle w:val="TableBody"/>
            </w:pPr>
          </w:p>
        </w:tc>
        <w:tc>
          <w:tcPr>
            <w:tcW w:w="3686" w:type="dxa"/>
            <w:shd w:val="clear" w:color="auto" w:fill="FFFFFF" w:themeFill="background1"/>
          </w:tcPr>
          <w:p w14:paraId="076DF1BE" w14:textId="77777777" w:rsidR="00DE4516" w:rsidRPr="00A46ADC" w:rsidRDefault="00DE4516" w:rsidP="00DE4516">
            <w:pPr>
              <w:pStyle w:val="TableBody"/>
              <w:autoSpaceDE w:val="0"/>
              <w:autoSpaceDN w:val="0"/>
              <w:adjustRightInd w:val="0"/>
              <w:jc w:val="both"/>
              <w:rPr>
                <w:color w:val="000000"/>
                <w:sz w:val="15"/>
                <w:szCs w:val="15"/>
              </w:rPr>
            </w:pPr>
            <w:r w:rsidRPr="00A46ADC">
              <w:t>More than 1,500</w:t>
            </w:r>
          </w:p>
        </w:tc>
        <w:tc>
          <w:tcPr>
            <w:tcW w:w="2664" w:type="dxa"/>
            <w:shd w:val="clear" w:color="auto" w:fill="FFFFFF" w:themeFill="background1"/>
          </w:tcPr>
          <w:p w14:paraId="1FDFB528" w14:textId="77777777" w:rsidR="00DE4516" w:rsidRPr="00A46ADC" w:rsidRDefault="00DE4516" w:rsidP="00DE4516">
            <w:pPr>
              <w:pStyle w:val="TableBody"/>
              <w:autoSpaceDE w:val="0"/>
              <w:autoSpaceDN w:val="0"/>
              <w:adjustRightInd w:val="0"/>
              <w:ind w:right="964"/>
              <w:jc w:val="right"/>
              <w:rPr>
                <w:sz w:val="15"/>
                <w:szCs w:val="15"/>
              </w:rPr>
            </w:pPr>
            <w:r w:rsidRPr="00A46ADC">
              <w:t>0.03</w:t>
            </w:r>
          </w:p>
        </w:tc>
      </w:tr>
      <w:tr w:rsidR="00DE4516" w:rsidRPr="00A260F0" w14:paraId="598F47AC"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830" w:type="dxa"/>
          </w:tcPr>
          <w:p w14:paraId="72FCB4B6" w14:textId="77777777" w:rsidR="00DE4516" w:rsidRPr="00A46ADC" w:rsidRDefault="00DE4516" w:rsidP="00DE4516">
            <w:pPr>
              <w:pStyle w:val="TableBody"/>
              <w:tabs>
                <w:tab w:val="left" w:pos="0"/>
              </w:tabs>
              <w:autoSpaceDE w:val="0"/>
              <w:autoSpaceDN w:val="0"/>
              <w:adjustRightInd w:val="0"/>
              <w:jc w:val="both"/>
              <w:rPr>
                <w:b/>
                <w:bCs/>
                <w:sz w:val="15"/>
                <w:szCs w:val="15"/>
              </w:rPr>
            </w:pPr>
            <w:r w:rsidRPr="00A46ADC">
              <w:rPr>
                <w:b/>
              </w:rPr>
              <w:t>Commercial</w:t>
            </w:r>
          </w:p>
        </w:tc>
        <w:tc>
          <w:tcPr>
            <w:tcW w:w="3686" w:type="dxa"/>
          </w:tcPr>
          <w:p w14:paraId="63ADAF56" w14:textId="77777777" w:rsidR="00DE4516" w:rsidRPr="00A46ADC" w:rsidRDefault="00DE4516" w:rsidP="00DE4516">
            <w:pPr>
              <w:pStyle w:val="TableBody"/>
              <w:autoSpaceDE w:val="0"/>
              <w:autoSpaceDN w:val="0"/>
              <w:adjustRightInd w:val="0"/>
              <w:jc w:val="both"/>
            </w:pPr>
          </w:p>
        </w:tc>
        <w:tc>
          <w:tcPr>
            <w:tcW w:w="2664" w:type="dxa"/>
          </w:tcPr>
          <w:p w14:paraId="192C74F3" w14:textId="77777777" w:rsidR="00DE4516" w:rsidRPr="00A46ADC" w:rsidRDefault="00DE4516" w:rsidP="00DE4516">
            <w:pPr>
              <w:pStyle w:val="TableBody"/>
              <w:autoSpaceDE w:val="0"/>
              <w:autoSpaceDN w:val="0"/>
              <w:adjustRightInd w:val="0"/>
              <w:ind w:right="964"/>
              <w:jc w:val="right"/>
            </w:pPr>
          </w:p>
        </w:tc>
      </w:tr>
      <w:tr w:rsidR="00DE4516" w:rsidRPr="00A260F0" w14:paraId="1E001A6B" w14:textId="77777777" w:rsidTr="00A86160">
        <w:trPr>
          <w:cantSplit/>
        </w:trPr>
        <w:tc>
          <w:tcPr>
            <w:tcW w:w="2830" w:type="dxa"/>
          </w:tcPr>
          <w:p w14:paraId="68BD7091" w14:textId="77777777" w:rsidR="00DE4516" w:rsidRPr="00A46ADC" w:rsidRDefault="00DE4516" w:rsidP="00DE4516">
            <w:pPr>
              <w:pStyle w:val="TableBody"/>
              <w:autoSpaceDE w:val="0"/>
              <w:autoSpaceDN w:val="0"/>
              <w:adjustRightInd w:val="0"/>
              <w:jc w:val="both"/>
              <w:rPr>
                <w:sz w:val="15"/>
                <w:szCs w:val="15"/>
              </w:rPr>
            </w:pPr>
            <w:r w:rsidRPr="00A46ADC">
              <w:t>Large customers</w:t>
            </w:r>
          </w:p>
        </w:tc>
        <w:tc>
          <w:tcPr>
            <w:tcW w:w="3686" w:type="dxa"/>
          </w:tcPr>
          <w:p w14:paraId="469457C5" w14:textId="77777777" w:rsidR="00DE4516" w:rsidRPr="00A46ADC" w:rsidRDefault="00DE4516" w:rsidP="00DE4516">
            <w:pPr>
              <w:pStyle w:val="TableBody"/>
              <w:autoSpaceDE w:val="0"/>
              <w:autoSpaceDN w:val="0"/>
              <w:adjustRightInd w:val="0"/>
              <w:jc w:val="both"/>
            </w:pPr>
          </w:p>
        </w:tc>
        <w:tc>
          <w:tcPr>
            <w:tcW w:w="2664" w:type="dxa"/>
          </w:tcPr>
          <w:p w14:paraId="43F80C63" w14:textId="77777777" w:rsidR="00DE4516" w:rsidRPr="00A46ADC" w:rsidRDefault="00DE4516" w:rsidP="00DE4516">
            <w:pPr>
              <w:pStyle w:val="TableBody"/>
              <w:autoSpaceDE w:val="0"/>
              <w:autoSpaceDN w:val="0"/>
              <w:adjustRightInd w:val="0"/>
              <w:ind w:right="964"/>
              <w:jc w:val="right"/>
              <w:rPr>
                <w:sz w:val="15"/>
                <w:szCs w:val="15"/>
              </w:rPr>
            </w:pPr>
            <w:r w:rsidRPr="00A46ADC">
              <w:t>CRT</w:t>
            </w:r>
          </w:p>
        </w:tc>
      </w:tr>
      <w:tr w:rsidR="00DE4516" w:rsidRPr="00A260F0" w14:paraId="6061E0D4"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830" w:type="dxa"/>
            <w:vMerge w:val="restart"/>
          </w:tcPr>
          <w:p w14:paraId="0502364B" w14:textId="77777777" w:rsidR="00DE4516" w:rsidRPr="00A46ADC" w:rsidRDefault="00DE4516" w:rsidP="00DE4516">
            <w:pPr>
              <w:pStyle w:val="TableBody"/>
              <w:autoSpaceDE w:val="0"/>
              <w:autoSpaceDN w:val="0"/>
              <w:adjustRightInd w:val="0"/>
              <w:jc w:val="both"/>
              <w:rPr>
                <w:sz w:val="15"/>
                <w:szCs w:val="15"/>
              </w:rPr>
            </w:pPr>
            <w:r w:rsidRPr="00A46ADC">
              <w:t>Industrial</w:t>
            </w:r>
          </w:p>
        </w:tc>
        <w:tc>
          <w:tcPr>
            <w:tcW w:w="3686" w:type="dxa"/>
          </w:tcPr>
          <w:p w14:paraId="40E9904C" w14:textId="77777777" w:rsidR="00DE4516" w:rsidRPr="00A46ADC" w:rsidRDefault="00DE4516" w:rsidP="00DE4516">
            <w:pPr>
              <w:pStyle w:val="TableBody"/>
              <w:autoSpaceDE w:val="0"/>
              <w:autoSpaceDN w:val="0"/>
              <w:adjustRightInd w:val="0"/>
              <w:jc w:val="both"/>
              <w:rPr>
                <w:sz w:val="15"/>
                <w:szCs w:val="15"/>
              </w:rPr>
            </w:pPr>
            <w:r w:rsidRPr="00A46ADC">
              <w:t>Winter Tariff (from 1 January to 30 April, and 1 October to 31 December)</w:t>
            </w:r>
          </w:p>
        </w:tc>
        <w:tc>
          <w:tcPr>
            <w:tcW w:w="2664" w:type="dxa"/>
          </w:tcPr>
          <w:p w14:paraId="5B517E29" w14:textId="77777777" w:rsidR="00DE4516" w:rsidRPr="00A46ADC" w:rsidRDefault="00DE4516" w:rsidP="00DE4516">
            <w:pPr>
              <w:pStyle w:val="TableBody"/>
              <w:autoSpaceDE w:val="0"/>
              <w:autoSpaceDN w:val="0"/>
              <w:adjustRightInd w:val="0"/>
              <w:ind w:right="964"/>
              <w:jc w:val="right"/>
              <w:rPr>
                <w:sz w:val="15"/>
                <w:szCs w:val="15"/>
              </w:rPr>
            </w:pPr>
            <w:r w:rsidRPr="00A46ADC">
              <w:t>0.021</w:t>
            </w:r>
          </w:p>
        </w:tc>
      </w:tr>
      <w:tr w:rsidR="00DE4516" w:rsidRPr="00A260F0" w14:paraId="71690B8E" w14:textId="77777777" w:rsidTr="00A86160">
        <w:trPr>
          <w:cantSplit/>
        </w:trPr>
        <w:tc>
          <w:tcPr>
            <w:tcW w:w="2830" w:type="dxa"/>
            <w:vMerge/>
            <w:shd w:val="clear" w:color="auto" w:fill="C9DED4"/>
          </w:tcPr>
          <w:p w14:paraId="25FB2179" w14:textId="77777777" w:rsidR="00DE4516" w:rsidRPr="00A260F0" w:rsidRDefault="00DE4516" w:rsidP="00DE4516">
            <w:pPr>
              <w:pStyle w:val="TableBody"/>
            </w:pPr>
          </w:p>
        </w:tc>
        <w:tc>
          <w:tcPr>
            <w:tcW w:w="3686" w:type="dxa"/>
            <w:shd w:val="clear" w:color="auto" w:fill="C9DED4"/>
          </w:tcPr>
          <w:p w14:paraId="2E3FED7C" w14:textId="77777777" w:rsidR="00DE4516" w:rsidRPr="00A46ADC" w:rsidRDefault="00DE4516" w:rsidP="00DE4516">
            <w:pPr>
              <w:pStyle w:val="TableBody"/>
              <w:autoSpaceDE w:val="0"/>
              <w:autoSpaceDN w:val="0"/>
              <w:adjustRightInd w:val="0"/>
              <w:jc w:val="both"/>
              <w:rPr>
                <w:color w:val="000000"/>
                <w:sz w:val="15"/>
                <w:szCs w:val="15"/>
              </w:rPr>
            </w:pPr>
            <w:r w:rsidRPr="00A46ADC">
              <w:t>Summer Tariff (from 1 May to 30 September)</w:t>
            </w:r>
          </w:p>
        </w:tc>
        <w:tc>
          <w:tcPr>
            <w:tcW w:w="2664" w:type="dxa"/>
            <w:shd w:val="clear" w:color="auto" w:fill="C9DED4"/>
          </w:tcPr>
          <w:p w14:paraId="65866F4F" w14:textId="77777777" w:rsidR="00DE4516" w:rsidRPr="00A46ADC" w:rsidRDefault="00DE4516" w:rsidP="00DE4516">
            <w:pPr>
              <w:pStyle w:val="TableBody"/>
              <w:autoSpaceDE w:val="0"/>
              <w:autoSpaceDN w:val="0"/>
              <w:adjustRightInd w:val="0"/>
              <w:ind w:right="964"/>
              <w:jc w:val="right"/>
              <w:rPr>
                <w:sz w:val="15"/>
                <w:szCs w:val="15"/>
              </w:rPr>
            </w:pPr>
            <w:r w:rsidRPr="00A46ADC">
              <w:t>0.029</w:t>
            </w:r>
          </w:p>
        </w:tc>
      </w:tr>
      <w:tr w:rsidR="00DE4516" w:rsidRPr="00A260F0" w14:paraId="513D26BC"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830" w:type="dxa"/>
            <w:vMerge w:val="restart"/>
            <w:shd w:val="clear" w:color="auto" w:fill="FFFFFF" w:themeFill="background1"/>
          </w:tcPr>
          <w:p w14:paraId="65ED28F7" w14:textId="77777777" w:rsidR="00DE4516" w:rsidRPr="00A46ADC" w:rsidRDefault="00DE4516" w:rsidP="00DE4516">
            <w:pPr>
              <w:pStyle w:val="TableBody"/>
              <w:autoSpaceDE w:val="0"/>
              <w:autoSpaceDN w:val="0"/>
              <w:adjustRightInd w:val="0"/>
              <w:jc w:val="both"/>
              <w:rPr>
                <w:sz w:val="15"/>
                <w:szCs w:val="15"/>
              </w:rPr>
            </w:pPr>
            <w:r w:rsidRPr="00A46ADC">
              <w:t>Agriculture and fisheries</w:t>
            </w:r>
          </w:p>
        </w:tc>
        <w:tc>
          <w:tcPr>
            <w:tcW w:w="3686" w:type="dxa"/>
            <w:shd w:val="clear" w:color="auto" w:fill="FFFFFF" w:themeFill="background1"/>
          </w:tcPr>
          <w:p w14:paraId="5649789A" w14:textId="77777777" w:rsidR="00DE4516" w:rsidRPr="00A46ADC" w:rsidRDefault="00DE4516" w:rsidP="00DE4516">
            <w:pPr>
              <w:pStyle w:val="TableBody"/>
              <w:autoSpaceDE w:val="0"/>
              <w:autoSpaceDN w:val="0"/>
              <w:adjustRightInd w:val="0"/>
              <w:jc w:val="both"/>
              <w:rPr>
                <w:sz w:val="15"/>
                <w:szCs w:val="15"/>
              </w:rPr>
            </w:pPr>
            <w:r w:rsidRPr="00A46ADC">
              <w:t>0-3,000</w:t>
            </w:r>
          </w:p>
        </w:tc>
        <w:tc>
          <w:tcPr>
            <w:tcW w:w="2664" w:type="dxa"/>
            <w:shd w:val="clear" w:color="auto" w:fill="FFFFFF" w:themeFill="background1"/>
          </w:tcPr>
          <w:p w14:paraId="5BA482DC" w14:textId="77777777" w:rsidR="00DE4516" w:rsidRPr="00A46ADC" w:rsidRDefault="00DE4516" w:rsidP="00DE4516">
            <w:pPr>
              <w:pStyle w:val="TableBody"/>
              <w:autoSpaceDE w:val="0"/>
              <w:autoSpaceDN w:val="0"/>
              <w:adjustRightInd w:val="0"/>
              <w:ind w:right="964"/>
              <w:jc w:val="right"/>
              <w:rPr>
                <w:sz w:val="15"/>
                <w:szCs w:val="15"/>
              </w:rPr>
            </w:pPr>
            <w:r w:rsidRPr="00A46ADC">
              <w:t>0.012</w:t>
            </w:r>
          </w:p>
        </w:tc>
      </w:tr>
      <w:tr w:rsidR="00DE4516" w:rsidRPr="00A260F0" w14:paraId="76F53ABC" w14:textId="77777777" w:rsidTr="00A86160">
        <w:trPr>
          <w:cantSplit/>
        </w:trPr>
        <w:tc>
          <w:tcPr>
            <w:tcW w:w="2830" w:type="dxa"/>
            <w:vMerge/>
            <w:shd w:val="clear" w:color="auto" w:fill="FFFFFF" w:themeFill="background1"/>
          </w:tcPr>
          <w:p w14:paraId="3203DAF5" w14:textId="77777777" w:rsidR="00DE4516" w:rsidRPr="00A260F0" w:rsidRDefault="00DE4516" w:rsidP="00DE4516">
            <w:pPr>
              <w:pStyle w:val="TableBody"/>
            </w:pPr>
          </w:p>
        </w:tc>
        <w:tc>
          <w:tcPr>
            <w:tcW w:w="3686" w:type="dxa"/>
            <w:shd w:val="clear" w:color="auto" w:fill="FFFFFF" w:themeFill="background1"/>
          </w:tcPr>
          <w:p w14:paraId="58F3A89E" w14:textId="77777777" w:rsidR="00DE4516" w:rsidRPr="00A46ADC" w:rsidRDefault="00DE4516" w:rsidP="00DE4516">
            <w:pPr>
              <w:pStyle w:val="TableBody"/>
              <w:autoSpaceDE w:val="0"/>
              <w:autoSpaceDN w:val="0"/>
              <w:adjustRightInd w:val="0"/>
              <w:jc w:val="both"/>
              <w:rPr>
                <w:sz w:val="15"/>
                <w:szCs w:val="15"/>
              </w:rPr>
            </w:pPr>
            <w:r w:rsidRPr="00A46ADC">
              <w:t>3,001-6,000</w:t>
            </w:r>
          </w:p>
        </w:tc>
        <w:tc>
          <w:tcPr>
            <w:tcW w:w="2664" w:type="dxa"/>
            <w:shd w:val="clear" w:color="auto" w:fill="FFFFFF" w:themeFill="background1"/>
          </w:tcPr>
          <w:p w14:paraId="16989768" w14:textId="77777777" w:rsidR="00DE4516" w:rsidRPr="00A46ADC" w:rsidRDefault="00DE4516" w:rsidP="00DE4516">
            <w:pPr>
              <w:pStyle w:val="TableBody"/>
              <w:autoSpaceDE w:val="0"/>
              <w:autoSpaceDN w:val="0"/>
              <w:adjustRightInd w:val="0"/>
              <w:ind w:right="964"/>
              <w:jc w:val="right"/>
              <w:rPr>
                <w:sz w:val="15"/>
                <w:szCs w:val="15"/>
              </w:rPr>
            </w:pPr>
            <w:r w:rsidRPr="00A46ADC">
              <w:t>0.016</w:t>
            </w:r>
          </w:p>
        </w:tc>
      </w:tr>
      <w:tr w:rsidR="00DE4516" w:rsidRPr="00A260F0" w14:paraId="5A56AD0F"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830" w:type="dxa"/>
            <w:vMerge/>
            <w:tcBorders>
              <w:bottom w:val="single" w:sz="4" w:space="0" w:color="auto"/>
            </w:tcBorders>
            <w:shd w:val="clear" w:color="auto" w:fill="FFFFFF" w:themeFill="background1"/>
          </w:tcPr>
          <w:p w14:paraId="38DB22DA" w14:textId="77777777" w:rsidR="00DE4516" w:rsidRPr="00A260F0" w:rsidRDefault="00DE4516" w:rsidP="00DE4516">
            <w:pPr>
              <w:pStyle w:val="TableBody"/>
            </w:pPr>
          </w:p>
        </w:tc>
        <w:tc>
          <w:tcPr>
            <w:tcW w:w="3686" w:type="dxa"/>
            <w:tcBorders>
              <w:bottom w:val="single" w:sz="4" w:space="0" w:color="auto"/>
            </w:tcBorders>
            <w:shd w:val="clear" w:color="auto" w:fill="FFFFFF" w:themeFill="background1"/>
          </w:tcPr>
          <w:p w14:paraId="49D4D60B" w14:textId="77777777" w:rsidR="00DE4516" w:rsidRPr="00A46ADC" w:rsidRDefault="00DE4516" w:rsidP="00DE4516">
            <w:pPr>
              <w:pStyle w:val="TableBody"/>
              <w:autoSpaceDE w:val="0"/>
              <w:autoSpaceDN w:val="0"/>
              <w:adjustRightInd w:val="0"/>
              <w:jc w:val="both"/>
              <w:rPr>
                <w:sz w:val="15"/>
                <w:szCs w:val="15"/>
              </w:rPr>
            </w:pPr>
            <w:r w:rsidRPr="00A46ADC">
              <w:t>More than 6,000</w:t>
            </w:r>
          </w:p>
        </w:tc>
        <w:tc>
          <w:tcPr>
            <w:tcW w:w="2664" w:type="dxa"/>
            <w:tcBorders>
              <w:bottom w:val="single" w:sz="4" w:space="0" w:color="auto"/>
            </w:tcBorders>
            <w:shd w:val="clear" w:color="auto" w:fill="FFFFFF" w:themeFill="background1"/>
          </w:tcPr>
          <w:p w14:paraId="05243D77" w14:textId="77777777" w:rsidR="00DE4516" w:rsidRPr="00A46ADC" w:rsidRDefault="00DE4516" w:rsidP="00DE4516">
            <w:pPr>
              <w:pStyle w:val="TableBody"/>
              <w:autoSpaceDE w:val="0"/>
              <w:autoSpaceDN w:val="0"/>
              <w:adjustRightInd w:val="0"/>
              <w:ind w:right="964"/>
              <w:jc w:val="right"/>
              <w:rPr>
                <w:sz w:val="15"/>
                <w:szCs w:val="15"/>
              </w:rPr>
            </w:pPr>
            <w:r w:rsidRPr="00A46ADC">
              <w:t>0.024</w:t>
            </w:r>
          </w:p>
        </w:tc>
      </w:tr>
    </w:tbl>
    <w:p w14:paraId="2F160FC4" w14:textId="36120643" w:rsidR="00DE4516" w:rsidRDefault="00DE4516">
      <w:pPr>
        <w:pStyle w:val="TableNote"/>
        <w:autoSpaceDE w:val="0"/>
        <w:autoSpaceDN w:val="0"/>
        <w:adjustRightInd w:val="0"/>
        <w:contextualSpacing w:val="0"/>
      </w:pPr>
      <w:r>
        <w:t>CRT</w:t>
      </w:r>
      <w:r>
        <w:tab/>
        <w:t>Cost reflective tariff, applied to commercial and industrial customers whose consumption exceeds 150 MWh per year, which includes the four-stage cost for electricity supply (</w:t>
      </w:r>
      <w:proofErr w:type="gramStart"/>
      <w:r>
        <w:t>i.e.</w:t>
      </w:r>
      <w:proofErr w:type="gramEnd"/>
      <w:r>
        <w:t> the price of bulk supply, transmission charge, distribution charge, and the administrative charge). The CRT was introduced on 1 January 2017.</w:t>
      </w:r>
    </w:p>
    <w:p w14:paraId="7C67AF8F" w14:textId="77777777" w:rsidR="00DE4516" w:rsidRDefault="00DE4516">
      <w:pPr>
        <w:pStyle w:val="TableSource"/>
        <w:autoSpaceDE w:val="0"/>
        <w:autoSpaceDN w:val="0"/>
        <w:adjustRightInd w:val="0"/>
        <w:rPr>
          <w:szCs w:val="24"/>
        </w:rPr>
      </w:pPr>
      <w:r>
        <w:rPr>
          <w:szCs w:val="24"/>
        </w:rPr>
        <w:t>Source:</w:t>
      </w:r>
      <w:r>
        <w:rPr>
          <w:szCs w:val="24"/>
        </w:rPr>
        <w:tab/>
        <w:t xml:space="preserve">Authority for Public Services Regulation, </w:t>
      </w:r>
      <w:r>
        <w:rPr>
          <w:i/>
          <w:szCs w:val="24"/>
        </w:rPr>
        <w:t>Permitted Tariffs</w:t>
      </w:r>
      <w:r>
        <w:rPr>
          <w:szCs w:val="24"/>
        </w:rPr>
        <w:t xml:space="preserve">. Viewed at: </w:t>
      </w:r>
      <w:hyperlink r:id="rId26" w:history="1">
        <w:r w:rsidRPr="00D5600E">
          <w:rPr>
            <w:color w:val="0000FF"/>
            <w:szCs w:val="24"/>
            <w:u w:val="single"/>
          </w:rPr>
          <w:t>https://apsr.om/en/tariffs</w:t>
        </w:r>
      </w:hyperlink>
      <w:r>
        <w:rPr>
          <w:szCs w:val="24"/>
        </w:rPr>
        <w:t>.</w:t>
      </w:r>
    </w:p>
    <w:p w14:paraId="30C70D97" w14:textId="77777777" w:rsidR="00DE4516" w:rsidRDefault="00DE4516">
      <w:pPr>
        <w:pStyle w:val="Heading20"/>
        <w:autoSpaceDE w:val="0"/>
        <w:autoSpaceDN w:val="0"/>
        <w:adjustRightInd w:val="0"/>
        <w:rPr>
          <w:szCs w:val="24"/>
        </w:rPr>
      </w:pPr>
      <w:r>
        <w:rPr>
          <w:szCs w:val="24"/>
        </w:rPr>
        <w:lastRenderedPageBreak/>
        <w:t>Manufacturing</w:t>
      </w:r>
    </w:p>
    <w:p w14:paraId="5F613172" w14:textId="77777777" w:rsidR="00DE4516" w:rsidRDefault="00DE4516">
      <w:pPr>
        <w:pStyle w:val="BodyText0"/>
        <w:autoSpaceDE w:val="0"/>
        <w:autoSpaceDN w:val="0"/>
        <w:adjustRightInd w:val="0"/>
        <w:rPr>
          <w:szCs w:val="24"/>
        </w:rPr>
      </w:pPr>
      <w:r>
        <w:rPr>
          <w:szCs w:val="24"/>
        </w:rPr>
        <w:t>Manufacturing steadily accounted for about 10% of GDP during the review period. Considering Oman's endowment of mineral resources, the manufacturing sector is dominated by activities related to oil and gas, such as petroleum refineries and petrochemicals (</w:t>
      </w:r>
      <w:r>
        <w:rPr>
          <w:rStyle w:val="citetbl"/>
          <w:szCs w:val="24"/>
        </w:rPr>
        <w:t>Table 4.7</w:t>
      </w:r>
      <w:r>
        <w:rPr>
          <w:szCs w:val="24"/>
        </w:rPr>
        <w:t>). Main products of the chemical industries include fertilizers, paints, detergents, and pharmaceuticals. Other manufacturing activities include metal production, plastics, and light industry such as food and beverage.</w:t>
      </w:r>
    </w:p>
    <w:p w14:paraId="2EB2C938" w14:textId="77777777" w:rsidR="00DE4516" w:rsidRDefault="00DE4516">
      <w:pPr>
        <w:pStyle w:val="TableTitle"/>
        <w:autoSpaceDE w:val="0"/>
        <w:autoSpaceDN w:val="0"/>
        <w:adjustRightInd w:val="0"/>
      </w:pPr>
      <w:r>
        <w:t>Table 4.7 GDP of manufacturing sector, 2014-20</w:t>
      </w:r>
    </w:p>
    <w:p w14:paraId="1BDE24EA" w14:textId="77777777" w:rsidR="00DE4516" w:rsidRDefault="00DE4516">
      <w:pPr>
        <w:pStyle w:val="TableTitleCont"/>
        <w:autoSpaceDE w:val="0"/>
        <w:autoSpaceDN w:val="0"/>
        <w:adjustRightInd w:val="0"/>
        <w:rPr>
          <w:b/>
          <w:color w:val="006283"/>
        </w:rPr>
      </w:pPr>
      <w:r>
        <w:rPr>
          <w:b/>
          <w:color w:val="006283"/>
        </w:rPr>
        <w:t>(</w:t>
      </w:r>
      <w:proofErr w:type="gramStart"/>
      <w:r>
        <w:rPr>
          <w:b/>
          <w:color w:val="006283"/>
        </w:rPr>
        <w:t>million</w:t>
      </w:r>
      <w:proofErr w:type="gramEnd"/>
      <w:r>
        <w:rPr>
          <w:b/>
          <w:color w:val="006283"/>
        </w:rPr>
        <w:t xml:space="preserve"> OMR)</w:t>
      </w:r>
    </w:p>
    <w:tbl>
      <w:tblPr>
        <w:tblStyle w:val="WTOTable1"/>
        <w:tblW w:w="9072" w:type="dxa"/>
        <w:tblInd w:w="-5" w:type="dxa"/>
        <w:tblLayout w:type="fixed"/>
        <w:tblLook w:val="05E0" w:firstRow="1" w:lastRow="1" w:firstColumn="1" w:lastColumn="1" w:noHBand="0" w:noVBand="1"/>
      </w:tblPr>
      <w:tblGrid>
        <w:gridCol w:w="2268"/>
        <w:gridCol w:w="972"/>
        <w:gridCol w:w="972"/>
        <w:gridCol w:w="972"/>
        <w:gridCol w:w="972"/>
        <w:gridCol w:w="972"/>
        <w:gridCol w:w="972"/>
        <w:gridCol w:w="972"/>
      </w:tblGrid>
      <w:tr w:rsidR="007F015E" w:rsidRPr="007F015E" w14:paraId="6471FFA1" w14:textId="77777777" w:rsidTr="00A86160">
        <w:trPr>
          <w:cnfStyle w:val="100000000000" w:firstRow="1" w:lastRow="0" w:firstColumn="0" w:lastColumn="0" w:oddVBand="0" w:evenVBand="0" w:oddHBand="0" w:evenHBand="0" w:firstRowFirstColumn="0" w:firstRowLastColumn="0" w:lastRowFirstColumn="0" w:lastRowLastColumn="0"/>
          <w:cantSplit/>
        </w:trPr>
        <w:tc>
          <w:tcPr>
            <w:tcW w:w="2268" w:type="dxa"/>
            <w:tcBorders>
              <w:top w:val="single" w:sz="4" w:space="0" w:color="auto"/>
            </w:tcBorders>
            <w:noWrap/>
            <w:vAlign w:val="center"/>
            <w:hideMark/>
          </w:tcPr>
          <w:p w14:paraId="52E2E3F3" w14:textId="77777777" w:rsidR="00DE4516" w:rsidRPr="007F015E" w:rsidRDefault="00DE4516" w:rsidP="00DE4516">
            <w:pPr>
              <w:pStyle w:val="TableHead"/>
              <w:autoSpaceDE w:val="0"/>
              <w:autoSpaceDN w:val="0"/>
              <w:adjustRightInd w:val="0"/>
              <w:jc w:val="both"/>
              <w:rPr>
                <w:b/>
                <w:color w:val="FFFFFF" w:themeColor="background1"/>
                <w:sz w:val="15"/>
                <w:szCs w:val="16"/>
              </w:rPr>
            </w:pPr>
            <w:r w:rsidRPr="007F015E">
              <w:rPr>
                <w:b/>
              </w:rPr>
              <w:t>Manufacturing activities</w:t>
            </w:r>
          </w:p>
        </w:tc>
        <w:tc>
          <w:tcPr>
            <w:tcW w:w="972" w:type="dxa"/>
            <w:tcBorders>
              <w:top w:val="single" w:sz="4" w:space="0" w:color="auto"/>
            </w:tcBorders>
            <w:noWrap/>
            <w:vAlign w:val="center"/>
            <w:hideMark/>
          </w:tcPr>
          <w:p w14:paraId="654FB199" w14:textId="77777777" w:rsidR="00DE4516" w:rsidRPr="007F015E" w:rsidRDefault="00DE4516" w:rsidP="00DE4516">
            <w:pPr>
              <w:pStyle w:val="TableHead"/>
              <w:autoSpaceDE w:val="0"/>
              <w:autoSpaceDN w:val="0"/>
              <w:adjustRightInd w:val="0"/>
              <w:jc w:val="right"/>
              <w:rPr>
                <w:rFonts w:cs="Calibri"/>
                <w:b/>
                <w:color w:val="FFFFFF" w:themeColor="background1"/>
                <w:sz w:val="15"/>
                <w:szCs w:val="16"/>
              </w:rPr>
            </w:pPr>
            <w:r w:rsidRPr="007F015E">
              <w:rPr>
                <w:b/>
              </w:rPr>
              <w:t>2014</w:t>
            </w:r>
          </w:p>
        </w:tc>
        <w:tc>
          <w:tcPr>
            <w:tcW w:w="972" w:type="dxa"/>
            <w:tcBorders>
              <w:top w:val="single" w:sz="4" w:space="0" w:color="auto"/>
            </w:tcBorders>
            <w:noWrap/>
            <w:vAlign w:val="center"/>
            <w:hideMark/>
          </w:tcPr>
          <w:p w14:paraId="3D5D2FFF" w14:textId="77777777" w:rsidR="00DE4516" w:rsidRPr="007F015E" w:rsidRDefault="00DE4516" w:rsidP="00DE4516">
            <w:pPr>
              <w:pStyle w:val="TableHead"/>
              <w:autoSpaceDE w:val="0"/>
              <w:autoSpaceDN w:val="0"/>
              <w:adjustRightInd w:val="0"/>
              <w:jc w:val="right"/>
              <w:rPr>
                <w:rFonts w:cs="Calibri"/>
                <w:b/>
                <w:color w:val="FFFFFF" w:themeColor="background1"/>
                <w:sz w:val="15"/>
                <w:szCs w:val="16"/>
              </w:rPr>
            </w:pPr>
            <w:r w:rsidRPr="007F015E">
              <w:rPr>
                <w:b/>
              </w:rPr>
              <w:t>2015</w:t>
            </w:r>
          </w:p>
        </w:tc>
        <w:tc>
          <w:tcPr>
            <w:tcW w:w="972" w:type="dxa"/>
            <w:tcBorders>
              <w:top w:val="single" w:sz="4" w:space="0" w:color="auto"/>
            </w:tcBorders>
            <w:noWrap/>
            <w:vAlign w:val="center"/>
            <w:hideMark/>
          </w:tcPr>
          <w:p w14:paraId="3B071551" w14:textId="77777777" w:rsidR="00DE4516" w:rsidRPr="007F015E" w:rsidRDefault="00DE4516" w:rsidP="00DE4516">
            <w:pPr>
              <w:pStyle w:val="TableHead"/>
              <w:autoSpaceDE w:val="0"/>
              <w:autoSpaceDN w:val="0"/>
              <w:adjustRightInd w:val="0"/>
              <w:jc w:val="right"/>
              <w:rPr>
                <w:rFonts w:cs="Calibri"/>
                <w:b/>
                <w:color w:val="FFFFFF" w:themeColor="background1"/>
                <w:sz w:val="15"/>
                <w:szCs w:val="16"/>
              </w:rPr>
            </w:pPr>
            <w:r w:rsidRPr="007F015E">
              <w:rPr>
                <w:b/>
              </w:rPr>
              <w:t>2016</w:t>
            </w:r>
          </w:p>
        </w:tc>
        <w:tc>
          <w:tcPr>
            <w:tcW w:w="972" w:type="dxa"/>
            <w:tcBorders>
              <w:top w:val="single" w:sz="4" w:space="0" w:color="auto"/>
            </w:tcBorders>
            <w:noWrap/>
            <w:vAlign w:val="center"/>
            <w:hideMark/>
          </w:tcPr>
          <w:p w14:paraId="19C98970" w14:textId="77777777" w:rsidR="00DE4516" w:rsidRPr="007F015E" w:rsidRDefault="00DE4516" w:rsidP="00DE4516">
            <w:pPr>
              <w:pStyle w:val="TableHead"/>
              <w:autoSpaceDE w:val="0"/>
              <w:autoSpaceDN w:val="0"/>
              <w:adjustRightInd w:val="0"/>
              <w:jc w:val="right"/>
              <w:rPr>
                <w:rFonts w:cs="Calibri"/>
                <w:b/>
                <w:color w:val="FFFFFF" w:themeColor="background1"/>
                <w:sz w:val="15"/>
                <w:szCs w:val="16"/>
              </w:rPr>
            </w:pPr>
            <w:r w:rsidRPr="007F015E">
              <w:rPr>
                <w:b/>
              </w:rPr>
              <w:t>2017</w:t>
            </w:r>
          </w:p>
        </w:tc>
        <w:tc>
          <w:tcPr>
            <w:tcW w:w="972" w:type="dxa"/>
            <w:tcBorders>
              <w:top w:val="single" w:sz="4" w:space="0" w:color="auto"/>
            </w:tcBorders>
            <w:noWrap/>
            <w:vAlign w:val="center"/>
            <w:hideMark/>
          </w:tcPr>
          <w:p w14:paraId="63AA4C53" w14:textId="77777777" w:rsidR="00DE4516" w:rsidRPr="007F015E" w:rsidRDefault="00DE4516" w:rsidP="00DE4516">
            <w:pPr>
              <w:pStyle w:val="TableHead"/>
              <w:autoSpaceDE w:val="0"/>
              <w:autoSpaceDN w:val="0"/>
              <w:adjustRightInd w:val="0"/>
              <w:jc w:val="right"/>
              <w:rPr>
                <w:rFonts w:cs="Calibri"/>
                <w:b/>
                <w:color w:val="FFFFFF" w:themeColor="background1"/>
                <w:sz w:val="15"/>
                <w:szCs w:val="16"/>
              </w:rPr>
            </w:pPr>
            <w:r w:rsidRPr="007F015E">
              <w:rPr>
                <w:b/>
              </w:rPr>
              <w:t>2018</w:t>
            </w:r>
          </w:p>
        </w:tc>
        <w:tc>
          <w:tcPr>
            <w:tcW w:w="972" w:type="dxa"/>
            <w:tcBorders>
              <w:top w:val="single" w:sz="4" w:space="0" w:color="auto"/>
            </w:tcBorders>
            <w:noWrap/>
            <w:vAlign w:val="center"/>
            <w:hideMark/>
          </w:tcPr>
          <w:p w14:paraId="173F06AA" w14:textId="77777777" w:rsidR="00DE4516" w:rsidRPr="007F015E" w:rsidRDefault="00DE4516" w:rsidP="00DE4516">
            <w:pPr>
              <w:pStyle w:val="TableHead"/>
              <w:autoSpaceDE w:val="0"/>
              <w:autoSpaceDN w:val="0"/>
              <w:adjustRightInd w:val="0"/>
              <w:jc w:val="right"/>
              <w:rPr>
                <w:rFonts w:cs="Calibri"/>
                <w:b/>
                <w:color w:val="FFFFFF" w:themeColor="background1"/>
                <w:sz w:val="15"/>
                <w:szCs w:val="16"/>
              </w:rPr>
            </w:pPr>
            <w:r w:rsidRPr="007F015E">
              <w:rPr>
                <w:b/>
              </w:rPr>
              <w:t>2019</w:t>
            </w:r>
          </w:p>
        </w:tc>
        <w:tc>
          <w:tcPr>
            <w:tcW w:w="972" w:type="dxa"/>
            <w:tcBorders>
              <w:top w:val="single" w:sz="4" w:space="0" w:color="auto"/>
            </w:tcBorders>
            <w:noWrap/>
            <w:vAlign w:val="center"/>
            <w:hideMark/>
          </w:tcPr>
          <w:p w14:paraId="67EF5A8F" w14:textId="77777777" w:rsidR="00DE4516" w:rsidRPr="007F015E" w:rsidRDefault="00DE4516" w:rsidP="00DE4516">
            <w:pPr>
              <w:pStyle w:val="TableHead"/>
              <w:autoSpaceDE w:val="0"/>
              <w:autoSpaceDN w:val="0"/>
              <w:adjustRightInd w:val="0"/>
              <w:jc w:val="right"/>
              <w:rPr>
                <w:rFonts w:cs="Calibri"/>
                <w:b/>
                <w:color w:val="FFFFFF" w:themeColor="background1"/>
                <w:sz w:val="15"/>
                <w:szCs w:val="16"/>
              </w:rPr>
            </w:pPr>
            <w:r w:rsidRPr="007F015E">
              <w:rPr>
                <w:b/>
              </w:rPr>
              <w:t>2020</w:t>
            </w:r>
          </w:p>
        </w:tc>
      </w:tr>
      <w:tr w:rsidR="007F015E" w:rsidRPr="00A260F0" w14:paraId="603B8964" w14:textId="77777777" w:rsidTr="00A86160">
        <w:trPr>
          <w:cantSplit/>
        </w:trPr>
        <w:tc>
          <w:tcPr>
            <w:tcW w:w="2268" w:type="dxa"/>
            <w:noWrap/>
            <w:vAlign w:val="center"/>
            <w:hideMark/>
          </w:tcPr>
          <w:p w14:paraId="0468C1F9"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Refined petroleum products</w:t>
            </w:r>
          </w:p>
        </w:tc>
        <w:tc>
          <w:tcPr>
            <w:tcW w:w="972" w:type="dxa"/>
            <w:noWrap/>
            <w:vAlign w:val="center"/>
            <w:hideMark/>
          </w:tcPr>
          <w:p w14:paraId="41E611F3"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43.3</w:t>
            </w:r>
          </w:p>
        </w:tc>
        <w:tc>
          <w:tcPr>
            <w:tcW w:w="972" w:type="dxa"/>
            <w:noWrap/>
            <w:vAlign w:val="center"/>
            <w:hideMark/>
          </w:tcPr>
          <w:p w14:paraId="324B5C5D"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208.4</w:t>
            </w:r>
          </w:p>
        </w:tc>
        <w:tc>
          <w:tcPr>
            <w:tcW w:w="972" w:type="dxa"/>
            <w:noWrap/>
            <w:vAlign w:val="center"/>
            <w:hideMark/>
          </w:tcPr>
          <w:p w14:paraId="10232166"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168.9</w:t>
            </w:r>
          </w:p>
        </w:tc>
        <w:tc>
          <w:tcPr>
            <w:tcW w:w="972" w:type="dxa"/>
            <w:noWrap/>
            <w:vAlign w:val="center"/>
            <w:hideMark/>
          </w:tcPr>
          <w:p w14:paraId="2EC4EFB7"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328.5</w:t>
            </w:r>
          </w:p>
        </w:tc>
        <w:tc>
          <w:tcPr>
            <w:tcW w:w="972" w:type="dxa"/>
            <w:noWrap/>
            <w:vAlign w:val="center"/>
            <w:hideMark/>
          </w:tcPr>
          <w:p w14:paraId="542D1905"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302.1</w:t>
            </w:r>
          </w:p>
        </w:tc>
        <w:tc>
          <w:tcPr>
            <w:tcW w:w="972" w:type="dxa"/>
            <w:noWrap/>
            <w:vAlign w:val="center"/>
            <w:hideMark/>
          </w:tcPr>
          <w:p w14:paraId="6125B0FA"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455.7</w:t>
            </w:r>
          </w:p>
        </w:tc>
        <w:tc>
          <w:tcPr>
            <w:tcW w:w="972" w:type="dxa"/>
            <w:noWrap/>
            <w:vAlign w:val="center"/>
          </w:tcPr>
          <w:p w14:paraId="7E0350B1"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797.8</w:t>
            </w:r>
          </w:p>
        </w:tc>
      </w:tr>
      <w:tr w:rsidR="007F015E" w:rsidRPr="00A260F0" w14:paraId="1A9DA278"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268" w:type="dxa"/>
            <w:noWrap/>
            <w:vAlign w:val="center"/>
            <w:hideMark/>
          </w:tcPr>
          <w:p w14:paraId="67129B2A"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Chemicals and chemical products</w:t>
            </w:r>
          </w:p>
        </w:tc>
        <w:tc>
          <w:tcPr>
            <w:tcW w:w="972" w:type="dxa"/>
            <w:noWrap/>
            <w:vAlign w:val="center"/>
            <w:hideMark/>
          </w:tcPr>
          <w:p w14:paraId="4FD7924B"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1,607.6</w:t>
            </w:r>
          </w:p>
        </w:tc>
        <w:tc>
          <w:tcPr>
            <w:tcW w:w="972" w:type="dxa"/>
            <w:noWrap/>
            <w:vAlign w:val="center"/>
            <w:hideMark/>
          </w:tcPr>
          <w:p w14:paraId="1C1420A3"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1,176.8</w:t>
            </w:r>
          </w:p>
        </w:tc>
        <w:tc>
          <w:tcPr>
            <w:tcW w:w="972" w:type="dxa"/>
            <w:noWrap/>
            <w:vAlign w:val="center"/>
            <w:hideMark/>
          </w:tcPr>
          <w:p w14:paraId="4B34DB71"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976.2</w:t>
            </w:r>
          </w:p>
        </w:tc>
        <w:tc>
          <w:tcPr>
            <w:tcW w:w="972" w:type="dxa"/>
            <w:noWrap/>
            <w:vAlign w:val="center"/>
            <w:hideMark/>
          </w:tcPr>
          <w:p w14:paraId="45D349CE"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1,199.6</w:t>
            </w:r>
          </w:p>
        </w:tc>
        <w:tc>
          <w:tcPr>
            <w:tcW w:w="972" w:type="dxa"/>
            <w:noWrap/>
            <w:vAlign w:val="center"/>
            <w:hideMark/>
          </w:tcPr>
          <w:p w14:paraId="55C32FD0"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1,638.5</w:t>
            </w:r>
          </w:p>
        </w:tc>
        <w:tc>
          <w:tcPr>
            <w:tcW w:w="972" w:type="dxa"/>
            <w:noWrap/>
            <w:vAlign w:val="center"/>
            <w:hideMark/>
          </w:tcPr>
          <w:p w14:paraId="3C0E1F72"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1,433.0</w:t>
            </w:r>
          </w:p>
        </w:tc>
        <w:tc>
          <w:tcPr>
            <w:tcW w:w="972" w:type="dxa"/>
            <w:noWrap/>
            <w:vAlign w:val="center"/>
          </w:tcPr>
          <w:p w14:paraId="04D92CF0"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w:t>
            </w:r>
          </w:p>
        </w:tc>
      </w:tr>
      <w:tr w:rsidR="007F015E" w:rsidRPr="00A260F0" w14:paraId="79654B34" w14:textId="77777777" w:rsidTr="00A86160">
        <w:trPr>
          <w:cantSplit/>
        </w:trPr>
        <w:tc>
          <w:tcPr>
            <w:tcW w:w="2268" w:type="dxa"/>
            <w:noWrap/>
            <w:vAlign w:val="center"/>
            <w:hideMark/>
          </w:tcPr>
          <w:p w14:paraId="2C6EA0AC" w14:textId="77777777" w:rsidR="00DE4516" w:rsidRPr="00A46ADC" w:rsidRDefault="00DE4516" w:rsidP="00DE4516">
            <w:pPr>
              <w:pStyle w:val="TableBody"/>
              <w:autoSpaceDE w:val="0"/>
              <w:autoSpaceDN w:val="0"/>
              <w:adjustRightInd w:val="0"/>
              <w:jc w:val="both"/>
              <w:rPr>
                <w:rFonts w:cs="Calibri"/>
                <w:color w:val="000000"/>
                <w:sz w:val="15"/>
                <w:szCs w:val="16"/>
              </w:rPr>
            </w:pPr>
            <w:r w:rsidRPr="00A46ADC">
              <w:t>Other manufacturing</w:t>
            </w:r>
          </w:p>
        </w:tc>
        <w:tc>
          <w:tcPr>
            <w:tcW w:w="972" w:type="dxa"/>
            <w:noWrap/>
            <w:vAlign w:val="center"/>
            <w:hideMark/>
          </w:tcPr>
          <w:p w14:paraId="2B16C07A"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1,259.0</w:t>
            </w:r>
          </w:p>
        </w:tc>
        <w:tc>
          <w:tcPr>
            <w:tcW w:w="972" w:type="dxa"/>
            <w:noWrap/>
            <w:vAlign w:val="center"/>
            <w:hideMark/>
          </w:tcPr>
          <w:p w14:paraId="22E2C191"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1,221.2</w:t>
            </w:r>
          </w:p>
        </w:tc>
        <w:tc>
          <w:tcPr>
            <w:tcW w:w="972" w:type="dxa"/>
            <w:noWrap/>
            <w:vAlign w:val="center"/>
            <w:hideMark/>
          </w:tcPr>
          <w:p w14:paraId="7028A8D2"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1,170.6</w:t>
            </w:r>
          </w:p>
        </w:tc>
        <w:tc>
          <w:tcPr>
            <w:tcW w:w="972" w:type="dxa"/>
            <w:noWrap/>
            <w:vAlign w:val="center"/>
            <w:hideMark/>
          </w:tcPr>
          <w:p w14:paraId="62E175A0"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1,204.7</w:t>
            </w:r>
          </w:p>
        </w:tc>
        <w:tc>
          <w:tcPr>
            <w:tcW w:w="972" w:type="dxa"/>
            <w:noWrap/>
            <w:vAlign w:val="center"/>
            <w:hideMark/>
          </w:tcPr>
          <w:p w14:paraId="7E6A6658"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1,277.8</w:t>
            </w:r>
          </w:p>
        </w:tc>
        <w:tc>
          <w:tcPr>
            <w:tcW w:w="972" w:type="dxa"/>
            <w:noWrap/>
            <w:vAlign w:val="center"/>
            <w:hideMark/>
          </w:tcPr>
          <w:p w14:paraId="52E53B66"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1,183.1</w:t>
            </w:r>
          </w:p>
        </w:tc>
        <w:tc>
          <w:tcPr>
            <w:tcW w:w="972" w:type="dxa"/>
            <w:noWrap/>
            <w:vAlign w:val="center"/>
          </w:tcPr>
          <w:p w14:paraId="3F249497" w14:textId="77777777" w:rsidR="00DE4516" w:rsidRPr="00A46ADC" w:rsidRDefault="00DE4516" w:rsidP="00DE4516">
            <w:pPr>
              <w:pStyle w:val="TableBody"/>
              <w:autoSpaceDE w:val="0"/>
              <w:autoSpaceDN w:val="0"/>
              <w:adjustRightInd w:val="0"/>
              <w:jc w:val="right"/>
              <w:rPr>
                <w:rFonts w:cs="Calibri"/>
                <w:color w:val="000000"/>
                <w:sz w:val="15"/>
                <w:szCs w:val="16"/>
              </w:rPr>
            </w:pPr>
            <w:r w:rsidRPr="00A46ADC">
              <w:t>..</w:t>
            </w:r>
          </w:p>
        </w:tc>
      </w:tr>
      <w:tr w:rsidR="007F015E" w:rsidRPr="00A260F0" w14:paraId="21008947"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2268" w:type="dxa"/>
            <w:noWrap/>
            <w:vAlign w:val="center"/>
            <w:hideMark/>
          </w:tcPr>
          <w:p w14:paraId="3E030EBD" w14:textId="77777777" w:rsidR="00DE4516" w:rsidRPr="00A46ADC" w:rsidRDefault="00DE4516" w:rsidP="00DE4516">
            <w:pPr>
              <w:pStyle w:val="TableBody"/>
              <w:autoSpaceDE w:val="0"/>
              <w:autoSpaceDN w:val="0"/>
              <w:adjustRightInd w:val="0"/>
              <w:jc w:val="both"/>
              <w:rPr>
                <w:rFonts w:cs="Calibri"/>
                <w:b/>
                <w:bCs/>
                <w:color w:val="000000"/>
                <w:sz w:val="15"/>
                <w:szCs w:val="16"/>
              </w:rPr>
            </w:pPr>
            <w:r w:rsidRPr="00A46ADC">
              <w:rPr>
                <w:b/>
              </w:rPr>
              <w:t>Manufacturing (Total)</w:t>
            </w:r>
          </w:p>
        </w:tc>
        <w:tc>
          <w:tcPr>
            <w:tcW w:w="972" w:type="dxa"/>
            <w:noWrap/>
            <w:vAlign w:val="center"/>
            <w:hideMark/>
          </w:tcPr>
          <w:p w14:paraId="16594473"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2,909.9</w:t>
            </w:r>
          </w:p>
        </w:tc>
        <w:tc>
          <w:tcPr>
            <w:tcW w:w="972" w:type="dxa"/>
            <w:noWrap/>
            <w:vAlign w:val="center"/>
            <w:hideMark/>
          </w:tcPr>
          <w:p w14:paraId="79A3B6CE"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2,606.4</w:t>
            </w:r>
          </w:p>
        </w:tc>
        <w:tc>
          <w:tcPr>
            <w:tcW w:w="972" w:type="dxa"/>
            <w:noWrap/>
            <w:vAlign w:val="center"/>
            <w:hideMark/>
          </w:tcPr>
          <w:p w14:paraId="18A90489"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2,315.6</w:t>
            </w:r>
          </w:p>
        </w:tc>
        <w:tc>
          <w:tcPr>
            <w:tcW w:w="972" w:type="dxa"/>
            <w:noWrap/>
            <w:vAlign w:val="center"/>
            <w:hideMark/>
          </w:tcPr>
          <w:p w14:paraId="271FAD73"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2,732.8</w:t>
            </w:r>
          </w:p>
        </w:tc>
        <w:tc>
          <w:tcPr>
            <w:tcW w:w="972" w:type="dxa"/>
            <w:noWrap/>
            <w:vAlign w:val="center"/>
            <w:hideMark/>
          </w:tcPr>
          <w:p w14:paraId="054DD8AB"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3,218.4</w:t>
            </w:r>
          </w:p>
        </w:tc>
        <w:tc>
          <w:tcPr>
            <w:tcW w:w="972" w:type="dxa"/>
            <w:noWrap/>
            <w:vAlign w:val="center"/>
            <w:hideMark/>
          </w:tcPr>
          <w:p w14:paraId="167DBAF7"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3,071.8</w:t>
            </w:r>
          </w:p>
        </w:tc>
        <w:tc>
          <w:tcPr>
            <w:tcW w:w="972" w:type="dxa"/>
            <w:noWrap/>
            <w:vAlign w:val="center"/>
          </w:tcPr>
          <w:p w14:paraId="707A5AF6"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2120.7</w:t>
            </w:r>
          </w:p>
        </w:tc>
      </w:tr>
      <w:tr w:rsidR="007F015E" w:rsidRPr="00A260F0" w14:paraId="1EAE071B" w14:textId="77777777" w:rsidTr="00A86160">
        <w:trPr>
          <w:cantSplit/>
        </w:trPr>
        <w:tc>
          <w:tcPr>
            <w:tcW w:w="2268" w:type="dxa"/>
            <w:tcBorders>
              <w:bottom w:val="single" w:sz="4" w:space="0" w:color="auto"/>
            </w:tcBorders>
            <w:noWrap/>
            <w:vAlign w:val="center"/>
            <w:hideMark/>
          </w:tcPr>
          <w:p w14:paraId="2C9F30A7" w14:textId="77777777" w:rsidR="00DE4516" w:rsidRPr="00A46ADC" w:rsidRDefault="00DE4516" w:rsidP="00DE4516">
            <w:pPr>
              <w:pStyle w:val="TableBody"/>
              <w:autoSpaceDE w:val="0"/>
              <w:autoSpaceDN w:val="0"/>
              <w:adjustRightInd w:val="0"/>
              <w:jc w:val="both"/>
              <w:rPr>
                <w:rFonts w:cs="Calibri"/>
                <w:b/>
                <w:bCs/>
                <w:color w:val="000000"/>
                <w:sz w:val="15"/>
                <w:szCs w:val="16"/>
              </w:rPr>
            </w:pPr>
            <w:r w:rsidRPr="00A46ADC">
              <w:rPr>
                <w:b/>
              </w:rPr>
              <w:t>GDP</w:t>
            </w:r>
          </w:p>
        </w:tc>
        <w:tc>
          <w:tcPr>
            <w:tcW w:w="972" w:type="dxa"/>
            <w:tcBorders>
              <w:bottom w:val="single" w:sz="4" w:space="0" w:color="auto"/>
            </w:tcBorders>
            <w:noWrap/>
            <w:vAlign w:val="center"/>
            <w:hideMark/>
          </w:tcPr>
          <w:p w14:paraId="721A318F"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32,978.2</w:t>
            </w:r>
          </w:p>
        </w:tc>
        <w:tc>
          <w:tcPr>
            <w:tcW w:w="972" w:type="dxa"/>
            <w:tcBorders>
              <w:bottom w:val="single" w:sz="4" w:space="0" w:color="auto"/>
            </w:tcBorders>
            <w:noWrap/>
            <w:vAlign w:val="center"/>
            <w:hideMark/>
          </w:tcPr>
          <w:p w14:paraId="71EC324F"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27,803.8</w:t>
            </w:r>
          </w:p>
        </w:tc>
        <w:tc>
          <w:tcPr>
            <w:tcW w:w="972" w:type="dxa"/>
            <w:tcBorders>
              <w:bottom w:val="single" w:sz="4" w:space="0" w:color="auto"/>
            </w:tcBorders>
            <w:noWrap/>
            <w:vAlign w:val="center"/>
            <w:hideMark/>
          </w:tcPr>
          <w:p w14:paraId="0D52E82E"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26,103.3</w:t>
            </w:r>
          </w:p>
        </w:tc>
        <w:tc>
          <w:tcPr>
            <w:tcW w:w="972" w:type="dxa"/>
            <w:tcBorders>
              <w:bottom w:val="single" w:sz="4" w:space="0" w:color="auto"/>
            </w:tcBorders>
            <w:noWrap/>
            <w:vAlign w:val="center"/>
            <w:hideMark/>
          </w:tcPr>
          <w:p w14:paraId="40A1DA58"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28,259.8</w:t>
            </w:r>
          </w:p>
        </w:tc>
        <w:tc>
          <w:tcPr>
            <w:tcW w:w="972" w:type="dxa"/>
            <w:tcBorders>
              <w:bottom w:val="single" w:sz="4" w:space="0" w:color="auto"/>
            </w:tcBorders>
            <w:noWrap/>
            <w:vAlign w:val="center"/>
            <w:hideMark/>
          </w:tcPr>
          <w:p w14:paraId="1C422D33"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31,822.2</w:t>
            </w:r>
          </w:p>
        </w:tc>
        <w:tc>
          <w:tcPr>
            <w:tcW w:w="972" w:type="dxa"/>
            <w:tcBorders>
              <w:bottom w:val="single" w:sz="4" w:space="0" w:color="auto"/>
            </w:tcBorders>
            <w:noWrap/>
            <w:vAlign w:val="center"/>
            <w:hideMark/>
          </w:tcPr>
          <w:p w14:paraId="31CCBF17"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30,586.3</w:t>
            </w:r>
          </w:p>
        </w:tc>
        <w:tc>
          <w:tcPr>
            <w:tcW w:w="972" w:type="dxa"/>
            <w:tcBorders>
              <w:bottom w:val="single" w:sz="4" w:space="0" w:color="auto"/>
            </w:tcBorders>
            <w:noWrap/>
            <w:vAlign w:val="center"/>
          </w:tcPr>
          <w:p w14:paraId="16CBACBA" w14:textId="77777777" w:rsidR="00DE4516" w:rsidRPr="00A46ADC" w:rsidRDefault="00DE4516" w:rsidP="00DE4516">
            <w:pPr>
              <w:pStyle w:val="TableBody"/>
              <w:autoSpaceDE w:val="0"/>
              <w:autoSpaceDN w:val="0"/>
              <w:adjustRightInd w:val="0"/>
              <w:jc w:val="right"/>
              <w:rPr>
                <w:rFonts w:cs="Calibri"/>
                <w:b/>
                <w:bCs/>
                <w:color w:val="000000"/>
                <w:sz w:val="15"/>
                <w:szCs w:val="16"/>
              </w:rPr>
            </w:pPr>
            <w:r w:rsidRPr="00A46ADC">
              <w:rPr>
                <w:b/>
              </w:rPr>
              <w:t>27,705.2</w:t>
            </w:r>
          </w:p>
        </w:tc>
      </w:tr>
    </w:tbl>
    <w:p w14:paraId="3A6660E3" w14:textId="64748F7D" w:rsidR="00DE4516" w:rsidRDefault="00DE4516">
      <w:pPr>
        <w:pStyle w:val="TableNote"/>
        <w:autoSpaceDE w:val="0"/>
        <w:autoSpaceDN w:val="0"/>
        <w:adjustRightInd w:val="0"/>
        <w:contextualSpacing w:val="0"/>
      </w:pPr>
      <w:r>
        <w:t>..</w:t>
      </w:r>
      <w:r>
        <w:tab/>
        <w:t>Not available.</w:t>
      </w:r>
    </w:p>
    <w:p w14:paraId="049FB158" w14:textId="77777777" w:rsidR="00DE4516" w:rsidRDefault="00DE4516">
      <w:pPr>
        <w:pStyle w:val="TableSource"/>
        <w:autoSpaceDE w:val="0"/>
        <w:autoSpaceDN w:val="0"/>
        <w:adjustRightInd w:val="0"/>
        <w:rPr>
          <w:szCs w:val="24"/>
        </w:rPr>
      </w:pPr>
      <w:r>
        <w:rPr>
          <w:szCs w:val="24"/>
        </w:rPr>
        <w:t>Source:</w:t>
      </w:r>
      <w:r>
        <w:rPr>
          <w:szCs w:val="24"/>
        </w:rPr>
        <w:tab/>
        <w:t>Information provided by the authorities.</w:t>
      </w:r>
    </w:p>
    <w:p w14:paraId="7D633E61" w14:textId="77777777" w:rsidR="00DE4516" w:rsidRDefault="00DE4516">
      <w:pPr>
        <w:pStyle w:val="BodyText0"/>
        <w:autoSpaceDE w:val="0"/>
        <w:autoSpaceDN w:val="0"/>
        <w:adjustRightInd w:val="0"/>
        <w:rPr>
          <w:szCs w:val="24"/>
        </w:rPr>
      </w:pPr>
      <w:r>
        <w:rPr>
          <w:szCs w:val="24"/>
        </w:rPr>
        <w:t>In 2021, Oman's Manufacturing Strategy 2040 began to be implemented. The Strategy aims to transform the manufacturing sector from resource-based to capital-intensive and knowledge-driven.</w:t>
      </w:r>
      <w:r w:rsidRPr="00DE4516">
        <w:rPr>
          <w:rStyle w:val="FootnoteReference"/>
        </w:rPr>
        <w:footnoteReference w:id="229"/>
      </w:r>
      <w:r>
        <w:rPr>
          <w:szCs w:val="24"/>
        </w:rPr>
        <w:t xml:space="preserve"> The Ministry of Commerce, </w:t>
      </w:r>
      <w:proofErr w:type="gramStart"/>
      <w:r>
        <w:rPr>
          <w:szCs w:val="24"/>
        </w:rPr>
        <w:t>Industry</w:t>
      </w:r>
      <w:proofErr w:type="gramEnd"/>
      <w:r>
        <w:rPr>
          <w:szCs w:val="24"/>
        </w:rPr>
        <w:t xml:space="preserve"> and Investment Promotion (MOCIIP)</w:t>
      </w:r>
      <w:r w:rsidRPr="00DE4516">
        <w:rPr>
          <w:rStyle w:val="FootnoteReference"/>
        </w:rPr>
        <w:footnoteReference w:id="230"/>
      </w:r>
      <w:r>
        <w:rPr>
          <w:szCs w:val="24"/>
        </w:rPr>
        <w:t xml:space="preserve"> oversees the development of the sector. Other stakeholders include the Public Establishment for Industrial Estates (known as </w:t>
      </w:r>
      <w:proofErr w:type="spellStart"/>
      <w:r>
        <w:rPr>
          <w:szCs w:val="24"/>
        </w:rPr>
        <w:t>Madayn</w:t>
      </w:r>
      <w:proofErr w:type="spellEnd"/>
      <w:r>
        <w:rPr>
          <w:szCs w:val="24"/>
        </w:rPr>
        <w:t>) and the Oman Chamber of Commerce and Industry, which represents a vast number of SMEs operating</w:t>
      </w:r>
      <w:proofErr w:type="gramStart"/>
      <w:r>
        <w:rPr>
          <w:szCs w:val="24"/>
        </w:rPr>
        <w:t>, in particular, in</w:t>
      </w:r>
      <w:proofErr w:type="gramEnd"/>
      <w:r>
        <w:rPr>
          <w:szCs w:val="24"/>
        </w:rPr>
        <w:t xml:space="preserve"> light manufacturing.</w:t>
      </w:r>
    </w:p>
    <w:p w14:paraId="635CFF08" w14:textId="77777777" w:rsidR="00DE4516" w:rsidRDefault="00DE4516">
      <w:pPr>
        <w:pStyle w:val="BodyText0"/>
        <w:autoSpaceDE w:val="0"/>
        <w:autoSpaceDN w:val="0"/>
        <w:adjustRightInd w:val="0"/>
        <w:rPr>
          <w:szCs w:val="24"/>
        </w:rPr>
      </w:pPr>
      <w:r>
        <w:rPr>
          <w:szCs w:val="24"/>
        </w:rPr>
        <w:t>As part of the economic diversification effort, Oman aims to be a top 10 global transport hub; meanwhile, manufacturing was selected by the authorities as one of the five key sectors in the National Programme for Enhancing Economic Diversification (</w:t>
      </w:r>
      <w:proofErr w:type="spellStart"/>
      <w:r>
        <w:rPr>
          <w:szCs w:val="24"/>
        </w:rPr>
        <w:t>Tanfeedh</w:t>
      </w:r>
      <w:proofErr w:type="spellEnd"/>
      <w:r>
        <w:rPr>
          <w:szCs w:val="24"/>
        </w:rPr>
        <w:t xml:space="preserve"> programme), as well as in Oman Vision 2040. Most manufacturing establishments (including the ones for refineries and petrochemicals) </w:t>
      </w:r>
      <w:proofErr w:type="gramStart"/>
      <w:r>
        <w:rPr>
          <w:szCs w:val="24"/>
        </w:rPr>
        <w:t>are located in</w:t>
      </w:r>
      <w:proofErr w:type="gramEnd"/>
      <w:r>
        <w:rPr>
          <w:szCs w:val="24"/>
        </w:rPr>
        <w:t xml:space="preserve"> the industrial estates, free zones, and SEZs where they are served by the airports or ports nearby (Section 3.2).</w:t>
      </w:r>
    </w:p>
    <w:p w14:paraId="01B0B00D" w14:textId="77777777" w:rsidR="00DE4516" w:rsidRDefault="00DE4516">
      <w:pPr>
        <w:pStyle w:val="BodyText0"/>
        <w:autoSpaceDE w:val="0"/>
        <w:autoSpaceDN w:val="0"/>
        <w:adjustRightInd w:val="0"/>
        <w:rPr>
          <w:szCs w:val="24"/>
        </w:rPr>
      </w:pPr>
      <w:r>
        <w:rPr>
          <w:szCs w:val="24"/>
        </w:rPr>
        <w:t>There are four free zones and one SEZ in the country, where investors enjoy 100% foreign ownership, and exemptions on minimum capital requirement, and on tax and customs duty. These zones are regulated by the Public Authority for Special Economic Zones and Free Zones; each zone is managed by a dedicated operator. Different zones may have different specialization of the industries inside. For example, the Salalah Free Zone is focused on chemicals and materials processing, manufacturing and assembly, and logistics and distribution, while the Sohar Free Zone is focused on metals, petrochemicals, logistics, and food processing.</w:t>
      </w:r>
    </w:p>
    <w:p w14:paraId="725E838A" w14:textId="77777777" w:rsidR="00DE4516" w:rsidRDefault="00DE4516">
      <w:pPr>
        <w:pStyle w:val="BodyText0"/>
        <w:autoSpaceDE w:val="0"/>
        <w:autoSpaceDN w:val="0"/>
        <w:adjustRightInd w:val="0"/>
        <w:rPr>
          <w:szCs w:val="24"/>
        </w:rPr>
      </w:pPr>
      <w:r>
        <w:rPr>
          <w:szCs w:val="24"/>
        </w:rPr>
        <w:t xml:space="preserve">There </w:t>
      </w:r>
      <w:proofErr w:type="gramStart"/>
      <w:r>
        <w:rPr>
          <w:szCs w:val="24"/>
        </w:rPr>
        <w:t>are</w:t>
      </w:r>
      <w:proofErr w:type="gramEnd"/>
      <w:r>
        <w:rPr>
          <w:szCs w:val="24"/>
        </w:rPr>
        <w:t xml:space="preserve"> other nine industrial estates scattered across the country, all of which are managed by </w:t>
      </w:r>
      <w:proofErr w:type="spellStart"/>
      <w:r>
        <w:rPr>
          <w:szCs w:val="24"/>
        </w:rPr>
        <w:t>Madayn</w:t>
      </w:r>
      <w:proofErr w:type="spellEnd"/>
      <w:r>
        <w:rPr>
          <w:szCs w:val="24"/>
        </w:rPr>
        <w:t xml:space="preserve">. These industrial estates offer incentives </w:t>
      </w:r>
      <w:proofErr w:type="gramStart"/>
      <w:r>
        <w:rPr>
          <w:szCs w:val="24"/>
        </w:rPr>
        <w:t>similar to</w:t>
      </w:r>
      <w:proofErr w:type="gramEnd"/>
      <w:r>
        <w:rPr>
          <w:szCs w:val="24"/>
        </w:rPr>
        <w:t xml:space="preserve"> the ones in the free zones.</w:t>
      </w:r>
    </w:p>
    <w:p w14:paraId="2EE93468" w14:textId="77777777" w:rsidR="00DE4516" w:rsidRDefault="00DE4516">
      <w:pPr>
        <w:pStyle w:val="BodyText0"/>
        <w:autoSpaceDE w:val="0"/>
        <w:autoSpaceDN w:val="0"/>
        <w:adjustRightInd w:val="0"/>
        <w:rPr>
          <w:szCs w:val="24"/>
        </w:rPr>
      </w:pPr>
      <w:r>
        <w:rPr>
          <w:szCs w:val="24"/>
        </w:rPr>
        <w:t>Specific incentives accorded for manufacturing include a non</w:t>
      </w:r>
      <w:r>
        <w:rPr>
          <w:szCs w:val="24"/>
        </w:rPr>
        <w:noBreakHyphen/>
        <w:t xml:space="preserve">renewable five years of income tax holiday for companies' net profit; a five-year exemption on custom duties and withholding taxes </w:t>
      </w:r>
      <w:r>
        <w:rPr>
          <w:szCs w:val="24"/>
        </w:rPr>
        <w:lastRenderedPageBreak/>
        <w:t xml:space="preserve">on plant, machinery, and raw material imports; and withholding tax exemption on dividends and interest (Section 3.3.1). To be eligible for the incentives, foreign-owned companies must have invested a minimum of OMR 1 million on fixed assets in the locations specified by the MOCIIP, and meet the </w:t>
      </w:r>
      <w:proofErr w:type="spellStart"/>
      <w:r>
        <w:rPr>
          <w:szCs w:val="24"/>
        </w:rPr>
        <w:t>Omanization</w:t>
      </w:r>
      <w:proofErr w:type="spellEnd"/>
      <w:r>
        <w:rPr>
          <w:szCs w:val="24"/>
        </w:rPr>
        <w:t xml:space="preserve"> target for the sector, currently set at 35% (Section 2.4).</w:t>
      </w:r>
    </w:p>
    <w:p w14:paraId="438C3A25" w14:textId="77777777" w:rsidR="00DE4516" w:rsidRDefault="00DE4516">
      <w:pPr>
        <w:pStyle w:val="Heading20"/>
        <w:autoSpaceDE w:val="0"/>
        <w:autoSpaceDN w:val="0"/>
        <w:adjustRightInd w:val="0"/>
        <w:rPr>
          <w:szCs w:val="24"/>
        </w:rPr>
      </w:pPr>
      <w:r>
        <w:rPr>
          <w:szCs w:val="24"/>
        </w:rPr>
        <w:t>Services</w:t>
      </w:r>
    </w:p>
    <w:p w14:paraId="759F7867" w14:textId="77777777" w:rsidR="00DE4516" w:rsidRDefault="00DE4516">
      <w:pPr>
        <w:pStyle w:val="Heading30"/>
        <w:autoSpaceDE w:val="0"/>
        <w:autoSpaceDN w:val="0"/>
        <w:adjustRightInd w:val="0"/>
        <w:rPr>
          <w:szCs w:val="24"/>
        </w:rPr>
      </w:pPr>
      <w:r>
        <w:rPr>
          <w:szCs w:val="24"/>
        </w:rPr>
        <w:t>Financial services</w:t>
      </w:r>
    </w:p>
    <w:p w14:paraId="01DAF4E4" w14:textId="77777777" w:rsidR="00DE4516" w:rsidRDefault="00DE4516">
      <w:pPr>
        <w:pStyle w:val="Heading40"/>
        <w:autoSpaceDE w:val="0"/>
        <w:autoSpaceDN w:val="0"/>
        <w:adjustRightInd w:val="0"/>
        <w:rPr>
          <w:szCs w:val="24"/>
        </w:rPr>
      </w:pPr>
      <w:r>
        <w:rPr>
          <w:szCs w:val="24"/>
        </w:rPr>
        <w:t>Banking</w:t>
      </w:r>
    </w:p>
    <w:p w14:paraId="47F190D7" w14:textId="77777777" w:rsidR="00DE4516" w:rsidRDefault="00DE4516">
      <w:pPr>
        <w:pStyle w:val="BodyText0"/>
        <w:autoSpaceDE w:val="0"/>
        <w:autoSpaceDN w:val="0"/>
        <w:adjustRightInd w:val="0"/>
        <w:rPr>
          <w:szCs w:val="24"/>
        </w:rPr>
      </w:pPr>
      <w:r>
        <w:rPr>
          <w:szCs w:val="24"/>
        </w:rPr>
        <w:t>The Central Bank of Oman (CBO) is Oman's banking sector supervisor and regulator, in accordance with the Banking Law (Royal Decree No. 114/2000, as amended), which has remained largely unchanged since the last Review. There are 18 commercial banks operating in Oman (9 local banks and nine branches of foreign banks). Among the nine local banks, two are Islamic banks and five conventional banks have established dedicated Islamic banking windows. Islamic banking is regulated under the Islamic Banking Regulatory Framework</w:t>
      </w:r>
      <w:r w:rsidRPr="00DE4516">
        <w:rPr>
          <w:rStyle w:val="FootnoteReference"/>
        </w:rPr>
        <w:footnoteReference w:id="231"/>
      </w:r>
      <w:r>
        <w:rPr>
          <w:szCs w:val="24"/>
        </w:rPr>
        <w:t xml:space="preserve">, which remained largely unchanged during the review period. Also, there are two state-owned specialized banks, </w:t>
      </w:r>
      <w:proofErr w:type="gramStart"/>
      <w:r>
        <w:rPr>
          <w:szCs w:val="24"/>
        </w:rPr>
        <w:t>i.e.</w:t>
      </w:r>
      <w:proofErr w:type="gramEnd"/>
      <w:r>
        <w:rPr>
          <w:szCs w:val="24"/>
        </w:rPr>
        <w:t> the ODB and the Oman Housing Bank (OHB). The ODB provides soft loans to SMEs in key activities, such as agriculture, fisheries, livestock, health, IT, manufacturing, tourism, and traditional industrial craftsmanship (Section 3.3.1). The OHB provides finance, mainly through soft housing loans.</w:t>
      </w:r>
    </w:p>
    <w:p w14:paraId="194E62EC" w14:textId="77777777" w:rsidR="00DE4516" w:rsidRDefault="00DE4516">
      <w:pPr>
        <w:pStyle w:val="BodyText0"/>
        <w:autoSpaceDE w:val="0"/>
        <w:autoSpaceDN w:val="0"/>
        <w:adjustRightInd w:val="0"/>
        <w:rPr>
          <w:szCs w:val="24"/>
        </w:rPr>
      </w:pPr>
      <w:r>
        <w:rPr>
          <w:szCs w:val="24"/>
        </w:rPr>
        <w:t>The Government keeps a 23.6% minority participation in Bank Muscat, 14.57% in Sohar International Bank, and 5.09% in Bank Nizwa, while all other commercial banks are privately owned. During the review period, there were some unsuccessful attempts to consolidate commercial banks; however, some progress was made within the Islamic banking segment in 2020 – the Islamic window of a local conventional bank was merged with an Islamic bank, and the Islamic bank became a fully owned subsidiary of the conventional Bank.</w:t>
      </w:r>
      <w:r w:rsidRPr="00DE4516">
        <w:rPr>
          <w:rStyle w:val="FootnoteReference"/>
        </w:rPr>
        <w:footnoteReference w:id="232"/>
      </w:r>
      <w:r>
        <w:rPr>
          <w:szCs w:val="24"/>
        </w:rPr>
        <w:t xml:space="preserve"> The sector is dominated by local commercial banks, and Bank Muscat is the largest institution, holding around 35% of the sector assets. As for the Islamic banking segment, it has rapidly grown since 2013 and now accounts for 15.7% as at end-March 2021. In 2020, Government deposits constituted 23.1% of total deposits (down from 28.1% in 2019), while government entities</w:t>
      </w:r>
      <w:r w:rsidRPr="00DE4516">
        <w:rPr>
          <w:rStyle w:val="FootnoteReference"/>
        </w:rPr>
        <w:footnoteReference w:id="233"/>
      </w:r>
      <w:r>
        <w:rPr>
          <w:szCs w:val="24"/>
        </w:rPr>
        <w:t xml:space="preserve"> and public sector enterprises (PSEs) accounted for 6.6%. Also in 2020, total deposits increased by 2.9% (from OMR 23.7 billion in 2019 to OMR 24.3 billion in 2020). As such, the decrease in Government deposits was offset by an increase in deposits from the private sector.</w:t>
      </w:r>
    </w:p>
    <w:p w14:paraId="6F35C7E8" w14:textId="77777777" w:rsidR="00DE4516" w:rsidRDefault="00DE4516">
      <w:pPr>
        <w:pStyle w:val="BodyText0"/>
        <w:autoSpaceDE w:val="0"/>
        <w:autoSpaceDN w:val="0"/>
        <w:adjustRightInd w:val="0"/>
        <w:rPr>
          <w:szCs w:val="24"/>
        </w:rPr>
      </w:pPr>
      <w:r>
        <w:rPr>
          <w:szCs w:val="24"/>
        </w:rPr>
        <w:t xml:space="preserve">Licensing procedures are the same for local and foreign-owned banks. The authorities note that limitations to foreign (or local) ownership for Islamic banking entities are </w:t>
      </w:r>
      <w:proofErr w:type="gramStart"/>
      <w:r>
        <w:rPr>
          <w:szCs w:val="24"/>
        </w:rPr>
        <w:t>similar to</w:t>
      </w:r>
      <w:proofErr w:type="gramEnd"/>
      <w:r>
        <w:rPr>
          <w:szCs w:val="24"/>
        </w:rPr>
        <w:t xml:space="preserve"> those applicable to conventional banks. The minimum paid-up capital requirement is OMR 100 million for local commercial banks, OMR 20 million for foreign banks, and OMR 10 million for Islamic windows. In addition, licensed banks are required to keep a paid-up capital deposit with the CBO equivalent to one tenth of 1% of their global banking resources, with a minimum of OMR 50,000 and a maximum of OMR 500,000. Investors must apply to the CBO for a licence, and the aggregate foreign ownership in local banks is limited to a maximum equity share of 70%. Requests for authorization of a branch office are approved by the CBO's Board of Governors. An application fee of OMR 600 is charged for each branch office. Any licensed bank may establish and operate branch offices within or outside Oman. During the review period, 13 applications for establishing branches of conventional foreign banks, and four for establishing Islamic banking entities were rejected by the CBO.</w:t>
      </w:r>
    </w:p>
    <w:p w14:paraId="7D42F6C1" w14:textId="77777777" w:rsidR="00DE4516" w:rsidRDefault="00DE4516">
      <w:pPr>
        <w:pStyle w:val="BodyText0"/>
        <w:autoSpaceDE w:val="0"/>
        <w:autoSpaceDN w:val="0"/>
        <w:adjustRightInd w:val="0"/>
        <w:rPr>
          <w:szCs w:val="24"/>
        </w:rPr>
      </w:pPr>
      <w:r>
        <w:rPr>
          <w:szCs w:val="24"/>
        </w:rPr>
        <w:t xml:space="preserve">The authorities note that Basel III standards have been implemented, especially </w:t>
      </w:r>
      <w:proofErr w:type="gramStart"/>
      <w:r>
        <w:rPr>
          <w:szCs w:val="24"/>
        </w:rPr>
        <w:t>with regard to</w:t>
      </w:r>
      <w:proofErr w:type="gramEnd"/>
      <w:r>
        <w:rPr>
          <w:szCs w:val="24"/>
        </w:rPr>
        <w:t xml:space="preserve"> liquidity coverage ratio (LCR) (minimum requirement of 100%), net stable funding ratio (NSFR) (minimum requirement of 100%), leverage ratio, domestic systemically important banks (D-SIBs), and the Resolution Framework; the authorities further indicated that the Basel III Reforms (also known as Basel IV) would be gradually rolled out once the COVID</w:t>
      </w:r>
      <w:r>
        <w:rPr>
          <w:szCs w:val="24"/>
        </w:rPr>
        <w:noBreakHyphen/>
        <w:t xml:space="preserve">19 situation stabilizes. In addition, the International Financial Report Standard 9 (IFRS-9) was implemented in the banking sector from 1 January 2018, which requires the bifurcation of loans portfolio into three stages (Stages 1, two, </w:t>
      </w:r>
      <w:r>
        <w:rPr>
          <w:szCs w:val="24"/>
        </w:rPr>
        <w:lastRenderedPageBreak/>
        <w:t>and 3), with Stage 3 representing impaired loans or non</w:t>
      </w:r>
      <w:r>
        <w:rPr>
          <w:szCs w:val="24"/>
        </w:rPr>
        <w:noBreakHyphen/>
        <w:t>performing loans (NPLs). At end-2020, the banking system's Basel III regulatory capital adequacy ratio (CAR) was 18.5% (up from 16% in 2012), which is higher than the minimum of 13.5% prescribed by the CBO.</w:t>
      </w:r>
      <w:r w:rsidRPr="00DE4516">
        <w:rPr>
          <w:rStyle w:val="FootnoteReference"/>
        </w:rPr>
        <w:footnoteReference w:id="234"/>
      </w:r>
      <w:r>
        <w:rPr>
          <w:szCs w:val="24"/>
        </w:rPr>
        <w:t xml:space="preserve"> As of December 2020, NPLs amounted for 4.2% of the total gross loans. The authorities note that NPL coverage ratio was 63.4%.</w:t>
      </w:r>
    </w:p>
    <w:p w14:paraId="0D01447A" w14:textId="77777777" w:rsidR="00DE4516" w:rsidRDefault="00DE4516">
      <w:pPr>
        <w:pStyle w:val="BodyText0"/>
        <w:autoSpaceDE w:val="0"/>
        <w:autoSpaceDN w:val="0"/>
        <w:adjustRightInd w:val="0"/>
        <w:rPr>
          <w:szCs w:val="24"/>
        </w:rPr>
      </w:pPr>
      <w:r>
        <w:rPr>
          <w:szCs w:val="24"/>
        </w:rPr>
        <w:t xml:space="preserve">Based on principles and criteria established by the Basel Committee on Banking Supervision, Oman developed a D-SIBs Framework to enhance the regulatory and supervisory regime of important banks to contain any harm they might cause to the domestic economy. The D-SIBs Framework includes, </w:t>
      </w:r>
      <w:r>
        <w:rPr>
          <w:i/>
          <w:szCs w:val="24"/>
        </w:rPr>
        <w:t>inter alia</w:t>
      </w:r>
      <w:r>
        <w:rPr>
          <w:szCs w:val="24"/>
        </w:rPr>
        <w:t>, capital surcharges, stress testing exercises, and risk assessment measures. In April 2019, the CBO rolled out the Bank Resolution Framework in line with the Financial Stability Board's Key Attributes of Effective Resolution Regimes for Financial Institutions; under this framework, the CBO acts as the Resolution Authority for all the entities it licenses.</w:t>
      </w:r>
    </w:p>
    <w:p w14:paraId="04ACA144" w14:textId="77777777" w:rsidR="00DE4516" w:rsidRDefault="00DE4516">
      <w:pPr>
        <w:pStyle w:val="BodyText0"/>
        <w:autoSpaceDE w:val="0"/>
        <w:autoSpaceDN w:val="0"/>
        <w:adjustRightInd w:val="0"/>
        <w:rPr>
          <w:szCs w:val="24"/>
        </w:rPr>
      </w:pPr>
      <w:r>
        <w:rPr>
          <w:szCs w:val="24"/>
        </w:rPr>
        <w:t xml:space="preserve">Recognizing the potentials of financial technology (fintech) services, the CBO published its fintech strategy in October 2020, and launched a Fintech Regulatory Sandbox Framework. The Sandbox is open to both local and foreign innovators, fintech companies, and start-ups, regardless of </w:t>
      </w:r>
      <w:proofErr w:type="gramStart"/>
      <w:r>
        <w:rPr>
          <w:szCs w:val="24"/>
        </w:rPr>
        <w:t>whether or not</w:t>
      </w:r>
      <w:proofErr w:type="gramEnd"/>
      <w:r>
        <w:rPr>
          <w:szCs w:val="24"/>
        </w:rPr>
        <w:t xml:space="preserve"> they are licensed to operate in Oman.</w:t>
      </w:r>
      <w:r w:rsidRPr="00DE4516">
        <w:rPr>
          <w:rStyle w:val="FootnoteReference"/>
        </w:rPr>
        <w:footnoteReference w:id="235"/>
      </w:r>
    </w:p>
    <w:p w14:paraId="6DB34FDE" w14:textId="77777777" w:rsidR="00DE4516" w:rsidRDefault="00DE4516">
      <w:pPr>
        <w:pStyle w:val="BodyText0"/>
        <w:autoSpaceDE w:val="0"/>
        <w:autoSpaceDN w:val="0"/>
        <w:adjustRightInd w:val="0"/>
        <w:rPr>
          <w:szCs w:val="24"/>
        </w:rPr>
      </w:pPr>
      <w:r>
        <w:rPr>
          <w:szCs w:val="24"/>
        </w:rPr>
        <w:t xml:space="preserve">In June 2016, a revised Law on Combating Money Laundering and Terrorism Financing (ML/TF) established the National Committee for Combating Money Laundering and Terrorism Financing chaired by the </w:t>
      </w:r>
      <w:proofErr w:type="gramStart"/>
      <w:r>
        <w:rPr>
          <w:szCs w:val="24"/>
        </w:rPr>
        <w:t>CBO, and</w:t>
      </w:r>
      <w:proofErr w:type="gramEnd"/>
      <w:r>
        <w:rPr>
          <w:szCs w:val="24"/>
        </w:rPr>
        <w:t xml:space="preserve"> created the National Centre for Financial Information.</w:t>
      </w:r>
      <w:r w:rsidRPr="00DE4516">
        <w:rPr>
          <w:rStyle w:val="FootnoteReference"/>
        </w:rPr>
        <w:footnoteReference w:id="236"/>
      </w:r>
      <w:r>
        <w:rPr>
          <w:szCs w:val="24"/>
        </w:rPr>
        <w:t xml:space="preserve"> The revised Law also requires financial institutions to apply appropriate due diligence measures, and promotes cooperation with international counterparts. In 2019, Oman adopted the National Risk Assessment (NRA) of ML/TF, based on a methodology developed by the IMF.</w:t>
      </w:r>
    </w:p>
    <w:p w14:paraId="130BF143" w14:textId="77777777" w:rsidR="00DE4516" w:rsidRDefault="00DE4516">
      <w:pPr>
        <w:pStyle w:val="BodyText0"/>
        <w:autoSpaceDE w:val="0"/>
        <w:autoSpaceDN w:val="0"/>
        <w:adjustRightInd w:val="0"/>
        <w:rPr>
          <w:szCs w:val="24"/>
        </w:rPr>
      </w:pPr>
      <w:r>
        <w:rPr>
          <w:szCs w:val="24"/>
        </w:rPr>
        <w:t>The interest rate on personal and housing loans has been capped at 6% since October 2013</w:t>
      </w:r>
      <w:r w:rsidRPr="00DE4516">
        <w:rPr>
          <w:rStyle w:val="FootnoteReference"/>
        </w:rPr>
        <w:footnoteReference w:id="237"/>
      </w:r>
      <w:r>
        <w:rPr>
          <w:szCs w:val="24"/>
        </w:rPr>
        <w:t xml:space="preserve">, while other lending and deposit rates are </w:t>
      </w:r>
      <w:proofErr w:type="gramStart"/>
      <w:r>
        <w:rPr>
          <w:szCs w:val="24"/>
        </w:rPr>
        <w:t>market-driven</w:t>
      </w:r>
      <w:proofErr w:type="gramEnd"/>
      <w:r>
        <w:rPr>
          <w:szCs w:val="24"/>
        </w:rPr>
        <w:t>.</w:t>
      </w:r>
    </w:p>
    <w:p w14:paraId="4C334353" w14:textId="77777777" w:rsidR="00DE4516" w:rsidRDefault="00DE4516">
      <w:pPr>
        <w:pStyle w:val="Heading40"/>
        <w:autoSpaceDE w:val="0"/>
        <w:autoSpaceDN w:val="0"/>
        <w:adjustRightInd w:val="0"/>
        <w:rPr>
          <w:szCs w:val="24"/>
        </w:rPr>
      </w:pPr>
      <w:r>
        <w:rPr>
          <w:szCs w:val="24"/>
        </w:rPr>
        <w:t>Insurance</w:t>
      </w:r>
    </w:p>
    <w:p w14:paraId="65AA9287" w14:textId="77777777" w:rsidR="00DE4516" w:rsidRDefault="00DE4516">
      <w:pPr>
        <w:pStyle w:val="BodyText0"/>
        <w:autoSpaceDE w:val="0"/>
        <w:autoSpaceDN w:val="0"/>
        <w:adjustRightInd w:val="0"/>
        <w:rPr>
          <w:szCs w:val="24"/>
        </w:rPr>
      </w:pPr>
      <w:r>
        <w:rPr>
          <w:szCs w:val="24"/>
        </w:rPr>
        <w:t>There are 19 direct insurance companies (10 of which are local insurers), 31 licensed insurance brokers, and one reinsurance company operating in Oman. Between 2014 and 2020, the value of written premiums rose from about OMR 435 million to some OMR 465 million. Meanwhile, the number of issued insurance policies increased from around 1.45 million in 2014 to about 1.64 million in 2020. The main segment in the market is health insurance (33% of market premiums), while motor, property, and life insurance account for 24%, 15%, and 12%, respectively, of the market share. Health insurance was the fastest growing segment, with a compound annual growth rate of 10% during the review period, which outpaced the 2% growth rate of the sector. Given the low penetration (1.87%) of insurance products, there is still an important margin for growth in the sector.</w:t>
      </w:r>
    </w:p>
    <w:p w14:paraId="5BC43AE7" w14:textId="77777777" w:rsidR="00DE4516" w:rsidRDefault="00DE4516">
      <w:pPr>
        <w:pStyle w:val="BodyText0"/>
        <w:autoSpaceDE w:val="0"/>
        <w:autoSpaceDN w:val="0"/>
        <w:adjustRightInd w:val="0"/>
        <w:rPr>
          <w:szCs w:val="24"/>
        </w:rPr>
      </w:pPr>
      <w:r>
        <w:rPr>
          <w:szCs w:val="24"/>
        </w:rPr>
        <w:t>The Capital Market Authority (CMA) supervises and regulates the sector in line with Royal Decree No. 90/2004. Royal Decree No. 12/1979, as amended, lays out the regulatory regime for insurance activities. To operate in Oman, an insurer must be a joint stock company, commercially registered in Oman, and licensed by the CMA. Since 2017, all insurance companies must have a minimum capital of OMR 10 million and be listed on the MSX, following the requirements set out by Royal Decree No. 39/2014. Companies must deposit requisite guarantees and maintain a required margin of solvency. Tariffs and premiums are determined by market competition, which has led a significant reduction in services prices in motor and health insurance. The CMA is currently conducting a review of insurers of costs and profit margins in these two segments. Cross-border supply of reinsurance services is free of restrictions.</w:t>
      </w:r>
    </w:p>
    <w:p w14:paraId="1214A569" w14:textId="77777777" w:rsidR="00DE4516" w:rsidRDefault="00DE4516">
      <w:pPr>
        <w:pStyle w:val="BodyText0"/>
        <w:autoSpaceDE w:val="0"/>
        <w:autoSpaceDN w:val="0"/>
        <w:adjustRightInd w:val="0"/>
        <w:rPr>
          <w:szCs w:val="24"/>
        </w:rPr>
      </w:pPr>
      <w:r>
        <w:rPr>
          <w:szCs w:val="24"/>
        </w:rPr>
        <w:t xml:space="preserve">Under the Investment Regulation, an insurer must not have more than 30% of its total investment invested outside Oman; for reinsurance companies, the ceiling is 50% of total </w:t>
      </w:r>
      <w:r>
        <w:rPr>
          <w:szCs w:val="24"/>
        </w:rPr>
        <w:lastRenderedPageBreak/>
        <w:t>investment. Furthermore, not less than 50% of the overseas investment must be invested in either bank deposits/investment agencies, or governmental/Islamic bonds (sukuk); no more than half of total overseas bank deposits are allowed to be with a single bank or financial institution.</w:t>
      </w:r>
    </w:p>
    <w:p w14:paraId="3D1A596D" w14:textId="77777777" w:rsidR="00DE4516" w:rsidRDefault="00DE4516">
      <w:pPr>
        <w:pStyle w:val="BodyText0"/>
        <w:autoSpaceDE w:val="0"/>
        <w:autoSpaceDN w:val="0"/>
        <w:adjustRightInd w:val="0"/>
        <w:rPr>
          <w:szCs w:val="24"/>
        </w:rPr>
      </w:pPr>
      <w:r>
        <w:rPr>
          <w:szCs w:val="24"/>
        </w:rPr>
        <w:t>Two local insurers provide Islamic insurance (takaful). Though the segment is growing rapidly, it represents only a small share (14%) of the insurance market. Royal Decree No. 11/2016 prescribes the framework for the development of takaful in Oman. Minimum capital requirements and the listing obligation on the MSX are the same as for conventional insurers. Only dedicated takaful providers can offer Sharia-compliant insurance products, and insurers cannot simultaneously offer conventional and Islamic products.</w:t>
      </w:r>
    </w:p>
    <w:p w14:paraId="36E591DA" w14:textId="77777777" w:rsidR="00DE4516" w:rsidRDefault="00DE4516">
      <w:pPr>
        <w:pStyle w:val="BodyText0"/>
        <w:autoSpaceDE w:val="0"/>
        <w:autoSpaceDN w:val="0"/>
        <w:adjustRightInd w:val="0"/>
        <w:rPr>
          <w:szCs w:val="24"/>
        </w:rPr>
      </w:pPr>
      <w:r>
        <w:rPr>
          <w:szCs w:val="24"/>
        </w:rPr>
        <w:t>There are no restrictions regarding ownership of insurance companies. An insurance company in Oman may transact general, life, or medical insurance or all of them, depending on the licence applied for and granted. Foreign insurance companies may supply insurance services as a locally incorporated company or as a branch of the parent company. For foreign insurance companies, Decree No. 90/2004 stipulates: (</w:t>
      </w:r>
      <w:proofErr w:type="spellStart"/>
      <w:r>
        <w:rPr>
          <w:szCs w:val="24"/>
        </w:rPr>
        <w:t>i</w:t>
      </w:r>
      <w:proofErr w:type="spellEnd"/>
      <w:r>
        <w:rPr>
          <w:szCs w:val="24"/>
        </w:rPr>
        <w:t>) all policies covering risks situated in Oman must be issued in Oman; (ii) a record of all policies issued with respect to Oman must be maintained in a local office; (iii) the parent company must be established in accordance with laws of the country of origin; (iv) OMR 500,000 must be deposited with the CMA for doing business in any class of insurance and not less than OMR 1,000,000 for more than one class; and (v) an amount not exceeding 25% of each insurance policy issued in Oman must be reinsured with a national insurance company.</w:t>
      </w:r>
    </w:p>
    <w:p w14:paraId="20191736" w14:textId="77777777" w:rsidR="00DE4516" w:rsidRDefault="00DE4516">
      <w:pPr>
        <w:pStyle w:val="BodyText0"/>
        <w:autoSpaceDE w:val="0"/>
        <w:autoSpaceDN w:val="0"/>
        <w:adjustRightInd w:val="0"/>
        <w:rPr>
          <w:szCs w:val="24"/>
        </w:rPr>
      </w:pPr>
      <w:r>
        <w:rPr>
          <w:szCs w:val="24"/>
        </w:rPr>
        <w:t>Oman's insurance regulatory framework also includes a Code for Corporate Governance and a Code of Practice for Conduct of Insurance Business. The regulatory framework is reviewed periodically, and some recent updates include regulations on investment for life insurers, increased minimum capital requirements for insurance brokers, and licence requirement for insurance agents.</w:t>
      </w:r>
    </w:p>
    <w:p w14:paraId="7D9C433D" w14:textId="77777777" w:rsidR="00DE4516" w:rsidRDefault="00DE4516">
      <w:pPr>
        <w:pStyle w:val="BodyText0"/>
        <w:autoSpaceDE w:val="0"/>
        <w:autoSpaceDN w:val="0"/>
        <w:adjustRightInd w:val="0"/>
        <w:rPr>
          <w:szCs w:val="24"/>
        </w:rPr>
      </w:pPr>
      <w:r>
        <w:rPr>
          <w:szCs w:val="24"/>
        </w:rPr>
        <w:t>The authorities indicate that a draft regulation on risk-based solvency and a capital adequacy framework for insurance services is being reviewed. The CMA informed that amended regulations to relax overseas investment for insurers are under consideration.</w:t>
      </w:r>
    </w:p>
    <w:p w14:paraId="6ECC6615" w14:textId="77777777" w:rsidR="00DE4516" w:rsidRDefault="00DE4516">
      <w:pPr>
        <w:pStyle w:val="Heading40"/>
        <w:autoSpaceDE w:val="0"/>
        <w:autoSpaceDN w:val="0"/>
        <w:adjustRightInd w:val="0"/>
        <w:rPr>
          <w:szCs w:val="24"/>
        </w:rPr>
      </w:pPr>
      <w:r>
        <w:rPr>
          <w:szCs w:val="24"/>
        </w:rPr>
        <w:t>Securities</w:t>
      </w:r>
    </w:p>
    <w:p w14:paraId="32751543" w14:textId="77777777" w:rsidR="00DE4516" w:rsidRDefault="00DE4516">
      <w:pPr>
        <w:pStyle w:val="BodyText0"/>
        <w:autoSpaceDE w:val="0"/>
        <w:autoSpaceDN w:val="0"/>
        <w:adjustRightInd w:val="0"/>
        <w:rPr>
          <w:szCs w:val="24"/>
        </w:rPr>
      </w:pPr>
      <w:r>
        <w:rPr>
          <w:szCs w:val="24"/>
        </w:rPr>
        <w:t>The MSX is a private closed joint stock company providing operational facilities and mechanisms for licensing trading, settlement, and registration of securities.</w:t>
      </w:r>
      <w:r w:rsidRPr="00DE4516">
        <w:rPr>
          <w:rStyle w:val="FootnoteReference"/>
        </w:rPr>
        <w:footnoteReference w:id="238"/>
      </w:r>
      <w:r>
        <w:rPr>
          <w:szCs w:val="24"/>
        </w:rPr>
        <w:t xml:space="preserve"> The CMA </w:t>
      </w:r>
      <w:proofErr w:type="gramStart"/>
      <w:r>
        <w:rPr>
          <w:szCs w:val="24"/>
        </w:rPr>
        <w:t>is in charge of</w:t>
      </w:r>
      <w:proofErr w:type="gramEnd"/>
      <w:r>
        <w:rPr>
          <w:szCs w:val="24"/>
        </w:rPr>
        <w:t xml:space="preserve"> the monitoring and regulation of the capital market activity on the MSX.</w:t>
      </w:r>
      <w:r w:rsidRPr="00DE4516">
        <w:rPr>
          <w:rStyle w:val="FootnoteReference"/>
        </w:rPr>
        <w:footnoteReference w:id="239"/>
      </w:r>
      <w:r>
        <w:rPr>
          <w:szCs w:val="24"/>
        </w:rPr>
        <w:t xml:space="preserve"> A centralized system for registering and transferring ownership of securities and safekeeping records is managed by the Muscat Clearing and Depository Company, a closed Omani shareholding company.</w:t>
      </w:r>
    </w:p>
    <w:p w14:paraId="50BD78E4" w14:textId="77777777" w:rsidR="00DE4516" w:rsidRDefault="00DE4516">
      <w:pPr>
        <w:pStyle w:val="BodyText0"/>
        <w:autoSpaceDE w:val="0"/>
        <w:autoSpaceDN w:val="0"/>
        <w:adjustRightInd w:val="0"/>
        <w:rPr>
          <w:szCs w:val="24"/>
        </w:rPr>
      </w:pPr>
      <w:r>
        <w:rPr>
          <w:szCs w:val="24"/>
        </w:rPr>
        <w:t>By end-2019, 111 companies and 43 bonds (21 corporate, 22 government</w:t>
      </w:r>
      <w:r w:rsidRPr="00DE4516">
        <w:rPr>
          <w:rStyle w:val="FootnoteReference"/>
        </w:rPr>
        <w:footnoteReference w:id="240"/>
      </w:r>
      <w:r>
        <w:rPr>
          <w:szCs w:val="24"/>
        </w:rPr>
        <w:t>) were listed on the MSX. In comparison to 2013, the number of listed companies decreased, while the number of government and corporate bonds doubled. The authorities are of a view that the decrease in listed entities on the MSX is not substantial and is part of market fluctuation; meanwhile, some companies chose to delist themselves by transforming their organizational structure from an SAOG to an SAOC. Market capitalization of listed securities amounted to OMR 18.8 billion in 2019, up from OMR 14.2 billion in 2013. The authorities indicate that the value of traded shares in 2019 represented only 30% of the value of traded shares in 2013. The MSX30, the index of the MSX, witnessed a sharp decline (−46.6% in June 2021) since its peak in September 2014. The authorities attribute the sharp decline to two possible factors: (</w:t>
      </w:r>
      <w:proofErr w:type="spellStart"/>
      <w:r>
        <w:rPr>
          <w:szCs w:val="24"/>
        </w:rPr>
        <w:t>i</w:t>
      </w:r>
      <w:proofErr w:type="spellEnd"/>
      <w:r>
        <w:rPr>
          <w:szCs w:val="24"/>
        </w:rPr>
        <w:t>) the plunge of oil prices; and (ii) the lower rating of Oman by international rating agencies. The MSX is open to foreign investors, and the share of foreign investors in Oman's total securities market investment slightly fell from 28% in 2013 to 25.4% in 2019. The largest share of foreign investment originates from GCC countries.</w:t>
      </w:r>
    </w:p>
    <w:p w14:paraId="0FD39C98" w14:textId="77777777" w:rsidR="00DE4516" w:rsidRDefault="00DE4516">
      <w:pPr>
        <w:pStyle w:val="BodyText0"/>
        <w:autoSpaceDE w:val="0"/>
        <w:autoSpaceDN w:val="0"/>
        <w:adjustRightInd w:val="0"/>
        <w:rPr>
          <w:szCs w:val="24"/>
        </w:rPr>
      </w:pPr>
      <w:r>
        <w:rPr>
          <w:szCs w:val="24"/>
        </w:rPr>
        <w:lastRenderedPageBreak/>
        <w:t>In line with related developments in other financial subsectors, Oman enacted a framework for the issuance of Islamic bonds through Royal Decree No. 59/2014, and related regulations entered into force on 11 April 2016. This development explains in part the increase in the issuance of bonds, which kept the traded value in these instruments relatively stable. The listing requirements for insurance companies contributed to counter the decrease of listed companies on the MSX.</w:t>
      </w:r>
    </w:p>
    <w:p w14:paraId="442B3DEC" w14:textId="77777777" w:rsidR="00DE4516" w:rsidRDefault="00DE4516">
      <w:pPr>
        <w:pStyle w:val="Heading30"/>
        <w:autoSpaceDE w:val="0"/>
        <w:autoSpaceDN w:val="0"/>
        <w:adjustRightInd w:val="0"/>
        <w:rPr>
          <w:szCs w:val="24"/>
        </w:rPr>
      </w:pPr>
      <w:r>
        <w:rPr>
          <w:szCs w:val="24"/>
        </w:rPr>
        <w:t>Communications</w:t>
      </w:r>
    </w:p>
    <w:p w14:paraId="49F3643F" w14:textId="77777777" w:rsidR="00DE4516" w:rsidRDefault="00DE4516">
      <w:pPr>
        <w:pStyle w:val="Heading40"/>
        <w:autoSpaceDE w:val="0"/>
        <w:autoSpaceDN w:val="0"/>
        <w:adjustRightInd w:val="0"/>
        <w:rPr>
          <w:szCs w:val="24"/>
        </w:rPr>
      </w:pPr>
      <w:r>
        <w:rPr>
          <w:szCs w:val="24"/>
        </w:rPr>
        <w:t>Telecommunications</w:t>
      </w:r>
    </w:p>
    <w:p w14:paraId="195992BD" w14:textId="77777777" w:rsidR="00DE4516" w:rsidRDefault="00DE4516">
      <w:pPr>
        <w:pStyle w:val="BodyText0"/>
        <w:autoSpaceDE w:val="0"/>
        <w:autoSpaceDN w:val="0"/>
        <w:adjustRightInd w:val="0"/>
        <w:rPr>
          <w:szCs w:val="24"/>
        </w:rPr>
      </w:pPr>
      <w:r>
        <w:rPr>
          <w:szCs w:val="24"/>
        </w:rPr>
        <w:t>During the review period, Oman's telecommunications sector, like in other places of the world, has become more and more mobile- and Internet-oriented. While the penetration (subscriptions per 100 inhabitants) of fixed telephony stayed stable over the past five years, mobile phone penetration stood at 140.4% in 2020. In 2020, 95% of the population had access to the Internet. During the review period, Internet penetration witnessed a remarkable improvement: the fixed broadband penetration rate increased more than double, from 4.4% in 2014 to 11.4% in 2020; the wireless broadband penetration reached 120.5% in 2020, up from 76% in 2014 (</w:t>
      </w:r>
      <w:r>
        <w:rPr>
          <w:rStyle w:val="citetbl"/>
          <w:szCs w:val="24"/>
        </w:rPr>
        <w:t>Table 4.8</w:t>
      </w:r>
      <w:r>
        <w:rPr>
          <w:szCs w:val="24"/>
        </w:rPr>
        <w:t>).</w:t>
      </w:r>
    </w:p>
    <w:p w14:paraId="1C5F2BF0" w14:textId="77777777" w:rsidR="00DE4516" w:rsidRDefault="00DE4516">
      <w:pPr>
        <w:pStyle w:val="BodyText0"/>
        <w:autoSpaceDE w:val="0"/>
        <w:autoSpaceDN w:val="0"/>
        <w:adjustRightInd w:val="0"/>
        <w:rPr>
          <w:szCs w:val="24"/>
        </w:rPr>
      </w:pPr>
      <w:r>
        <w:rPr>
          <w:szCs w:val="24"/>
        </w:rPr>
        <w:t xml:space="preserve">Oman considers information and communications technology (ICT) central to the Sultanate's long-term economic diversification, as a fundamental support for growth in a range of sectors and as a driver of GDP </w:t>
      </w:r>
      <w:proofErr w:type="gramStart"/>
      <w:r>
        <w:rPr>
          <w:szCs w:val="24"/>
        </w:rPr>
        <w:t>growth in itself</w:t>
      </w:r>
      <w:proofErr w:type="gramEnd"/>
      <w:r>
        <w:rPr>
          <w:szCs w:val="24"/>
        </w:rPr>
        <w:t>. In this regard, a National Broadband Strategy was developed in 2013. With the objective of driving up social and economic benefits through providing broadband access to all Omanis and businesses, the Strategy was built on three pillars:</w:t>
      </w:r>
    </w:p>
    <w:p w14:paraId="0A255069" w14:textId="77777777" w:rsidR="00DE4516" w:rsidRDefault="00DE4516">
      <w:pPr>
        <w:pStyle w:val="NumBulListLevel1"/>
        <w:autoSpaceDE w:val="0"/>
        <w:autoSpaceDN w:val="0"/>
        <w:adjustRightInd w:val="0"/>
        <w:rPr>
          <w:szCs w:val="24"/>
        </w:rPr>
      </w:pPr>
      <w:r>
        <w:rPr>
          <w:szCs w:val="24"/>
        </w:rPr>
        <w:t>•</w:t>
      </w:r>
      <w:r>
        <w:rPr>
          <w:szCs w:val="24"/>
        </w:rPr>
        <w:tab/>
        <w:t xml:space="preserve">Pillar 1: Review the telecom regulatory </w:t>
      </w:r>
      <w:proofErr w:type="gramStart"/>
      <w:r>
        <w:rPr>
          <w:szCs w:val="24"/>
        </w:rPr>
        <w:t>framework;</w:t>
      </w:r>
      <w:proofErr w:type="gramEnd"/>
    </w:p>
    <w:p w14:paraId="548A84CA" w14:textId="77777777" w:rsidR="00DE4516" w:rsidRDefault="00DE4516">
      <w:pPr>
        <w:pStyle w:val="NumBulListLevel1"/>
        <w:autoSpaceDE w:val="0"/>
        <w:autoSpaceDN w:val="0"/>
        <w:adjustRightInd w:val="0"/>
        <w:rPr>
          <w:szCs w:val="24"/>
        </w:rPr>
      </w:pPr>
      <w:r>
        <w:rPr>
          <w:szCs w:val="24"/>
        </w:rPr>
        <w:t>•</w:t>
      </w:r>
      <w:r>
        <w:rPr>
          <w:szCs w:val="24"/>
        </w:rPr>
        <w:tab/>
        <w:t>Pillar 2: Stimulate the demand for broadband; and</w:t>
      </w:r>
    </w:p>
    <w:p w14:paraId="61151F82" w14:textId="77777777" w:rsidR="00DE4516" w:rsidRDefault="00DE4516">
      <w:pPr>
        <w:pStyle w:val="NumBulListLevel1"/>
        <w:autoSpaceDE w:val="0"/>
        <w:autoSpaceDN w:val="0"/>
        <w:adjustRightInd w:val="0"/>
        <w:rPr>
          <w:szCs w:val="24"/>
        </w:rPr>
      </w:pPr>
      <w:r>
        <w:rPr>
          <w:szCs w:val="24"/>
        </w:rPr>
        <w:t>•</w:t>
      </w:r>
      <w:r>
        <w:rPr>
          <w:szCs w:val="24"/>
        </w:rPr>
        <w:tab/>
        <w:t>Pillar 3: Enhance the broadband infrastructure.</w:t>
      </w:r>
      <w:r w:rsidRPr="00DE4516">
        <w:rPr>
          <w:rStyle w:val="FootnoteReference"/>
        </w:rPr>
        <w:footnoteReference w:id="241"/>
      </w:r>
    </w:p>
    <w:p w14:paraId="0266AE2C" w14:textId="77777777" w:rsidR="00DE4516" w:rsidRDefault="00DE4516">
      <w:pPr>
        <w:pStyle w:val="TableTitle"/>
        <w:autoSpaceDE w:val="0"/>
        <w:autoSpaceDN w:val="0"/>
        <w:adjustRightInd w:val="0"/>
      </w:pPr>
      <w:r>
        <w:t>Table 4.8 Selected telecommunications indicators, 2014-20</w:t>
      </w:r>
    </w:p>
    <w:tbl>
      <w:tblPr>
        <w:tblStyle w:val="WTOTable1"/>
        <w:tblW w:w="0" w:type="auto"/>
        <w:tblLayout w:type="fixed"/>
        <w:tblLook w:val="05E0" w:firstRow="1" w:lastRow="1" w:firstColumn="1" w:lastColumn="1" w:noHBand="0" w:noVBand="1"/>
      </w:tblPr>
      <w:tblGrid>
        <w:gridCol w:w="3077"/>
        <w:gridCol w:w="848"/>
        <w:gridCol w:w="848"/>
        <w:gridCol w:w="849"/>
        <w:gridCol w:w="848"/>
        <w:gridCol w:w="849"/>
        <w:gridCol w:w="848"/>
        <w:gridCol w:w="849"/>
      </w:tblGrid>
      <w:tr w:rsidR="00DE4516" w:rsidRPr="007F015E" w14:paraId="2485FFEC" w14:textId="77777777" w:rsidTr="00A86160">
        <w:trPr>
          <w:cnfStyle w:val="100000000000" w:firstRow="1" w:lastRow="0" w:firstColumn="0" w:lastColumn="0" w:oddVBand="0" w:evenVBand="0" w:oddHBand="0" w:evenHBand="0" w:firstRowFirstColumn="0" w:firstRowLastColumn="0" w:lastRowFirstColumn="0" w:lastRowLastColumn="0"/>
          <w:cantSplit/>
          <w:tblHeader/>
        </w:trPr>
        <w:tc>
          <w:tcPr>
            <w:tcW w:w="3077" w:type="dxa"/>
            <w:tcBorders>
              <w:top w:val="single" w:sz="4" w:space="0" w:color="auto"/>
            </w:tcBorders>
            <w:noWrap/>
            <w:hideMark/>
          </w:tcPr>
          <w:p w14:paraId="537984F8" w14:textId="77777777" w:rsidR="00DE4516" w:rsidRPr="007F015E" w:rsidRDefault="00DE4516" w:rsidP="00DE4516">
            <w:pPr>
              <w:pStyle w:val="TableHead"/>
              <w:autoSpaceDE w:val="0"/>
              <w:autoSpaceDN w:val="0"/>
              <w:adjustRightInd w:val="0"/>
              <w:rPr>
                <w:b/>
              </w:rPr>
            </w:pPr>
          </w:p>
        </w:tc>
        <w:tc>
          <w:tcPr>
            <w:tcW w:w="848" w:type="dxa"/>
            <w:tcBorders>
              <w:top w:val="single" w:sz="4" w:space="0" w:color="auto"/>
            </w:tcBorders>
            <w:noWrap/>
            <w:hideMark/>
          </w:tcPr>
          <w:p w14:paraId="77EEFEC0" w14:textId="77777777" w:rsidR="00DE4516" w:rsidRPr="007F015E" w:rsidRDefault="00DE4516" w:rsidP="00DE4516">
            <w:pPr>
              <w:pStyle w:val="TableHead"/>
              <w:autoSpaceDE w:val="0"/>
              <w:autoSpaceDN w:val="0"/>
              <w:adjustRightInd w:val="0"/>
              <w:jc w:val="right"/>
              <w:rPr>
                <w:rFonts w:cs="Calibri"/>
                <w:b/>
                <w:sz w:val="15"/>
                <w:szCs w:val="14"/>
              </w:rPr>
            </w:pPr>
            <w:r w:rsidRPr="007F015E">
              <w:rPr>
                <w:b/>
              </w:rPr>
              <w:t>2014</w:t>
            </w:r>
          </w:p>
        </w:tc>
        <w:tc>
          <w:tcPr>
            <w:tcW w:w="848" w:type="dxa"/>
            <w:tcBorders>
              <w:top w:val="single" w:sz="4" w:space="0" w:color="auto"/>
            </w:tcBorders>
            <w:noWrap/>
            <w:hideMark/>
          </w:tcPr>
          <w:p w14:paraId="26AFF1BB" w14:textId="77777777" w:rsidR="00DE4516" w:rsidRPr="007F015E" w:rsidRDefault="00DE4516" w:rsidP="00DE4516">
            <w:pPr>
              <w:pStyle w:val="TableHead"/>
              <w:autoSpaceDE w:val="0"/>
              <w:autoSpaceDN w:val="0"/>
              <w:adjustRightInd w:val="0"/>
              <w:jc w:val="right"/>
              <w:rPr>
                <w:rFonts w:cs="Calibri"/>
                <w:b/>
                <w:sz w:val="15"/>
                <w:szCs w:val="14"/>
              </w:rPr>
            </w:pPr>
            <w:r w:rsidRPr="007F015E">
              <w:rPr>
                <w:b/>
              </w:rPr>
              <w:t>2015</w:t>
            </w:r>
          </w:p>
        </w:tc>
        <w:tc>
          <w:tcPr>
            <w:tcW w:w="849" w:type="dxa"/>
            <w:tcBorders>
              <w:top w:val="single" w:sz="4" w:space="0" w:color="auto"/>
            </w:tcBorders>
            <w:noWrap/>
            <w:hideMark/>
          </w:tcPr>
          <w:p w14:paraId="46D94EA7" w14:textId="77777777" w:rsidR="00DE4516" w:rsidRPr="007F015E" w:rsidRDefault="00DE4516" w:rsidP="00DE4516">
            <w:pPr>
              <w:pStyle w:val="TableHead"/>
              <w:autoSpaceDE w:val="0"/>
              <w:autoSpaceDN w:val="0"/>
              <w:adjustRightInd w:val="0"/>
              <w:jc w:val="right"/>
              <w:rPr>
                <w:rFonts w:cs="Calibri"/>
                <w:b/>
                <w:sz w:val="15"/>
                <w:szCs w:val="14"/>
              </w:rPr>
            </w:pPr>
            <w:r w:rsidRPr="007F015E">
              <w:rPr>
                <w:b/>
              </w:rPr>
              <w:t>2016</w:t>
            </w:r>
          </w:p>
        </w:tc>
        <w:tc>
          <w:tcPr>
            <w:tcW w:w="848" w:type="dxa"/>
            <w:tcBorders>
              <w:top w:val="single" w:sz="4" w:space="0" w:color="auto"/>
            </w:tcBorders>
            <w:noWrap/>
            <w:hideMark/>
          </w:tcPr>
          <w:p w14:paraId="19AB2D98" w14:textId="77777777" w:rsidR="00DE4516" w:rsidRPr="007F015E" w:rsidRDefault="00DE4516" w:rsidP="00DE4516">
            <w:pPr>
              <w:pStyle w:val="TableHead"/>
              <w:autoSpaceDE w:val="0"/>
              <w:autoSpaceDN w:val="0"/>
              <w:adjustRightInd w:val="0"/>
              <w:jc w:val="right"/>
              <w:rPr>
                <w:rFonts w:cs="Calibri"/>
                <w:b/>
                <w:sz w:val="15"/>
                <w:szCs w:val="14"/>
              </w:rPr>
            </w:pPr>
            <w:r w:rsidRPr="007F015E">
              <w:rPr>
                <w:b/>
              </w:rPr>
              <w:t>2017</w:t>
            </w:r>
          </w:p>
        </w:tc>
        <w:tc>
          <w:tcPr>
            <w:tcW w:w="849" w:type="dxa"/>
            <w:tcBorders>
              <w:top w:val="single" w:sz="4" w:space="0" w:color="auto"/>
            </w:tcBorders>
            <w:noWrap/>
            <w:hideMark/>
          </w:tcPr>
          <w:p w14:paraId="5700DA49" w14:textId="77777777" w:rsidR="00DE4516" w:rsidRPr="007F015E" w:rsidRDefault="00DE4516" w:rsidP="00DE4516">
            <w:pPr>
              <w:pStyle w:val="TableHead"/>
              <w:autoSpaceDE w:val="0"/>
              <w:autoSpaceDN w:val="0"/>
              <w:adjustRightInd w:val="0"/>
              <w:jc w:val="right"/>
              <w:rPr>
                <w:rFonts w:cs="Calibri"/>
                <w:b/>
                <w:sz w:val="15"/>
                <w:szCs w:val="14"/>
              </w:rPr>
            </w:pPr>
            <w:r w:rsidRPr="007F015E">
              <w:rPr>
                <w:b/>
              </w:rPr>
              <w:t>2018</w:t>
            </w:r>
          </w:p>
        </w:tc>
        <w:tc>
          <w:tcPr>
            <w:tcW w:w="848" w:type="dxa"/>
            <w:tcBorders>
              <w:top w:val="single" w:sz="4" w:space="0" w:color="auto"/>
            </w:tcBorders>
            <w:noWrap/>
            <w:hideMark/>
          </w:tcPr>
          <w:p w14:paraId="56C319F4" w14:textId="77777777" w:rsidR="00DE4516" w:rsidRPr="007F015E" w:rsidRDefault="00DE4516" w:rsidP="00DE4516">
            <w:pPr>
              <w:pStyle w:val="TableHead"/>
              <w:autoSpaceDE w:val="0"/>
              <w:autoSpaceDN w:val="0"/>
              <w:adjustRightInd w:val="0"/>
              <w:jc w:val="right"/>
              <w:rPr>
                <w:rFonts w:cs="Calibri"/>
                <w:b/>
                <w:sz w:val="15"/>
                <w:szCs w:val="14"/>
              </w:rPr>
            </w:pPr>
            <w:r w:rsidRPr="007F015E">
              <w:rPr>
                <w:b/>
              </w:rPr>
              <w:t>2019</w:t>
            </w:r>
          </w:p>
        </w:tc>
        <w:tc>
          <w:tcPr>
            <w:tcW w:w="849" w:type="dxa"/>
            <w:tcBorders>
              <w:top w:val="single" w:sz="4" w:space="0" w:color="auto"/>
            </w:tcBorders>
            <w:noWrap/>
            <w:hideMark/>
          </w:tcPr>
          <w:p w14:paraId="15C79403" w14:textId="77777777" w:rsidR="00DE4516" w:rsidRPr="007F015E" w:rsidRDefault="00DE4516" w:rsidP="00DE4516">
            <w:pPr>
              <w:pStyle w:val="TableHead"/>
              <w:autoSpaceDE w:val="0"/>
              <w:autoSpaceDN w:val="0"/>
              <w:adjustRightInd w:val="0"/>
              <w:jc w:val="right"/>
              <w:rPr>
                <w:rFonts w:cs="Calibri"/>
                <w:b/>
                <w:sz w:val="15"/>
                <w:szCs w:val="14"/>
              </w:rPr>
            </w:pPr>
            <w:r w:rsidRPr="007F015E">
              <w:rPr>
                <w:b/>
              </w:rPr>
              <w:t>2020</w:t>
            </w:r>
          </w:p>
        </w:tc>
      </w:tr>
      <w:tr w:rsidR="00DE4516" w:rsidRPr="00A260F0" w14:paraId="0B7CB33F" w14:textId="77777777" w:rsidTr="00A86160">
        <w:trPr>
          <w:cantSplit/>
        </w:trPr>
        <w:tc>
          <w:tcPr>
            <w:tcW w:w="3077" w:type="dxa"/>
            <w:noWrap/>
            <w:hideMark/>
          </w:tcPr>
          <w:p w14:paraId="43B7C97D"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Fixed telephone subscriptions ('000)</w:t>
            </w:r>
          </w:p>
        </w:tc>
        <w:tc>
          <w:tcPr>
            <w:tcW w:w="848" w:type="dxa"/>
            <w:noWrap/>
            <w:vAlign w:val="center"/>
            <w:hideMark/>
          </w:tcPr>
          <w:p w14:paraId="7CB9A88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375.2</w:t>
            </w:r>
          </w:p>
        </w:tc>
        <w:tc>
          <w:tcPr>
            <w:tcW w:w="848" w:type="dxa"/>
            <w:noWrap/>
            <w:vAlign w:val="center"/>
            <w:hideMark/>
          </w:tcPr>
          <w:p w14:paraId="7984623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434.9</w:t>
            </w:r>
          </w:p>
        </w:tc>
        <w:tc>
          <w:tcPr>
            <w:tcW w:w="849" w:type="dxa"/>
            <w:noWrap/>
            <w:vAlign w:val="center"/>
            <w:hideMark/>
          </w:tcPr>
          <w:p w14:paraId="66B8EA5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422.5</w:t>
            </w:r>
          </w:p>
        </w:tc>
        <w:tc>
          <w:tcPr>
            <w:tcW w:w="848" w:type="dxa"/>
            <w:noWrap/>
            <w:vAlign w:val="center"/>
            <w:hideMark/>
          </w:tcPr>
          <w:p w14:paraId="5F01F58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509.8</w:t>
            </w:r>
          </w:p>
        </w:tc>
        <w:tc>
          <w:tcPr>
            <w:tcW w:w="849" w:type="dxa"/>
            <w:noWrap/>
            <w:vAlign w:val="center"/>
            <w:hideMark/>
          </w:tcPr>
          <w:p w14:paraId="6934F62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560.3</w:t>
            </w:r>
          </w:p>
        </w:tc>
        <w:tc>
          <w:tcPr>
            <w:tcW w:w="848" w:type="dxa"/>
            <w:noWrap/>
            <w:vAlign w:val="center"/>
            <w:hideMark/>
          </w:tcPr>
          <w:p w14:paraId="2FD5677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592.2</w:t>
            </w:r>
          </w:p>
        </w:tc>
        <w:tc>
          <w:tcPr>
            <w:tcW w:w="849" w:type="dxa"/>
            <w:noWrap/>
            <w:vAlign w:val="center"/>
            <w:hideMark/>
          </w:tcPr>
          <w:p w14:paraId="28EF9D9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594.6</w:t>
            </w:r>
          </w:p>
        </w:tc>
      </w:tr>
      <w:tr w:rsidR="00DE4516" w:rsidRPr="00A260F0" w14:paraId="322CFFBE"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3077" w:type="dxa"/>
            <w:noWrap/>
            <w:hideMark/>
          </w:tcPr>
          <w:p w14:paraId="49F53D1F"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Fixed telephone subscriptions per 100 inhabitants</w:t>
            </w:r>
          </w:p>
        </w:tc>
        <w:tc>
          <w:tcPr>
            <w:tcW w:w="848" w:type="dxa"/>
            <w:noWrap/>
            <w:vAlign w:val="center"/>
            <w:hideMark/>
          </w:tcPr>
          <w:p w14:paraId="6036A1C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9.3</w:t>
            </w:r>
          </w:p>
        </w:tc>
        <w:tc>
          <w:tcPr>
            <w:tcW w:w="848" w:type="dxa"/>
            <w:noWrap/>
            <w:vAlign w:val="center"/>
            <w:hideMark/>
          </w:tcPr>
          <w:p w14:paraId="2AEA49F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10.2</w:t>
            </w:r>
          </w:p>
        </w:tc>
        <w:tc>
          <w:tcPr>
            <w:tcW w:w="849" w:type="dxa"/>
            <w:noWrap/>
            <w:vAlign w:val="center"/>
            <w:hideMark/>
          </w:tcPr>
          <w:p w14:paraId="7924FC7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9.4</w:t>
            </w:r>
          </w:p>
        </w:tc>
        <w:tc>
          <w:tcPr>
            <w:tcW w:w="848" w:type="dxa"/>
            <w:noWrap/>
            <w:vAlign w:val="center"/>
            <w:hideMark/>
          </w:tcPr>
          <w:p w14:paraId="1AF6831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10.9</w:t>
            </w:r>
          </w:p>
        </w:tc>
        <w:tc>
          <w:tcPr>
            <w:tcW w:w="849" w:type="dxa"/>
            <w:noWrap/>
            <w:vAlign w:val="center"/>
            <w:hideMark/>
          </w:tcPr>
          <w:p w14:paraId="7E0F56E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12.2</w:t>
            </w:r>
          </w:p>
        </w:tc>
        <w:tc>
          <w:tcPr>
            <w:tcW w:w="848" w:type="dxa"/>
            <w:noWrap/>
            <w:vAlign w:val="center"/>
            <w:hideMark/>
          </w:tcPr>
          <w:p w14:paraId="2D86B8E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12.8</w:t>
            </w:r>
          </w:p>
        </w:tc>
        <w:tc>
          <w:tcPr>
            <w:tcW w:w="849" w:type="dxa"/>
            <w:noWrap/>
            <w:vAlign w:val="center"/>
            <w:hideMark/>
          </w:tcPr>
          <w:p w14:paraId="247185F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13.3</w:t>
            </w:r>
          </w:p>
        </w:tc>
      </w:tr>
      <w:tr w:rsidR="00DE4516" w:rsidRPr="00A260F0" w14:paraId="1CA939A2" w14:textId="77777777" w:rsidTr="00A86160">
        <w:trPr>
          <w:cantSplit/>
        </w:trPr>
        <w:tc>
          <w:tcPr>
            <w:tcW w:w="3077" w:type="dxa"/>
            <w:noWrap/>
            <w:hideMark/>
          </w:tcPr>
          <w:p w14:paraId="035BD98B"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Mobile-cellular telephone subscriptions ('000)</w:t>
            </w:r>
          </w:p>
        </w:tc>
        <w:tc>
          <w:tcPr>
            <w:tcW w:w="848" w:type="dxa"/>
            <w:noWrap/>
            <w:vAlign w:val="center"/>
            <w:hideMark/>
          </w:tcPr>
          <w:p w14:paraId="75B561D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6,194.2</w:t>
            </w:r>
          </w:p>
        </w:tc>
        <w:tc>
          <w:tcPr>
            <w:tcW w:w="848" w:type="dxa"/>
            <w:noWrap/>
            <w:vAlign w:val="center"/>
            <w:hideMark/>
          </w:tcPr>
          <w:p w14:paraId="4A7765B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6,646.7</w:t>
            </w:r>
          </w:p>
        </w:tc>
        <w:tc>
          <w:tcPr>
            <w:tcW w:w="849" w:type="dxa"/>
            <w:noWrap/>
            <w:vAlign w:val="center"/>
            <w:hideMark/>
          </w:tcPr>
          <w:p w14:paraId="6186445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6,866.3</w:t>
            </w:r>
          </w:p>
        </w:tc>
        <w:tc>
          <w:tcPr>
            <w:tcW w:w="848" w:type="dxa"/>
            <w:noWrap/>
            <w:vAlign w:val="center"/>
            <w:hideMark/>
          </w:tcPr>
          <w:p w14:paraId="76F8D18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6,943.9</w:t>
            </w:r>
          </w:p>
        </w:tc>
        <w:tc>
          <w:tcPr>
            <w:tcW w:w="849" w:type="dxa"/>
            <w:noWrap/>
            <w:vAlign w:val="center"/>
            <w:hideMark/>
          </w:tcPr>
          <w:p w14:paraId="428A7DD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6,440.9</w:t>
            </w:r>
          </w:p>
        </w:tc>
        <w:tc>
          <w:tcPr>
            <w:tcW w:w="848" w:type="dxa"/>
            <w:noWrap/>
            <w:vAlign w:val="center"/>
            <w:hideMark/>
          </w:tcPr>
          <w:p w14:paraId="560B30B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6,383.5</w:t>
            </w:r>
          </w:p>
        </w:tc>
        <w:tc>
          <w:tcPr>
            <w:tcW w:w="849" w:type="dxa"/>
            <w:noWrap/>
            <w:vAlign w:val="center"/>
            <w:hideMark/>
          </w:tcPr>
          <w:p w14:paraId="0658EDD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6,276.5</w:t>
            </w:r>
          </w:p>
        </w:tc>
      </w:tr>
      <w:tr w:rsidR="00DE4516" w:rsidRPr="00A260F0" w14:paraId="02668A06"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3077" w:type="dxa"/>
            <w:noWrap/>
            <w:hideMark/>
          </w:tcPr>
          <w:p w14:paraId="2314BE3D"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Mobile-cellular telephone per 100 inhabitants</w:t>
            </w:r>
          </w:p>
        </w:tc>
        <w:tc>
          <w:tcPr>
            <w:tcW w:w="848" w:type="dxa"/>
            <w:noWrap/>
            <w:vAlign w:val="center"/>
            <w:hideMark/>
          </w:tcPr>
          <w:p w14:paraId="6DD3017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153.8</w:t>
            </w:r>
          </w:p>
        </w:tc>
        <w:tc>
          <w:tcPr>
            <w:tcW w:w="848" w:type="dxa"/>
            <w:noWrap/>
            <w:vAlign w:val="center"/>
            <w:hideMark/>
          </w:tcPr>
          <w:p w14:paraId="52EB8A1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155.8</w:t>
            </w:r>
          </w:p>
        </w:tc>
        <w:tc>
          <w:tcPr>
            <w:tcW w:w="849" w:type="dxa"/>
            <w:noWrap/>
            <w:vAlign w:val="center"/>
            <w:hideMark/>
          </w:tcPr>
          <w:p w14:paraId="311CA09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153.3</w:t>
            </w:r>
          </w:p>
        </w:tc>
        <w:tc>
          <w:tcPr>
            <w:tcW w:w="848" w:type="dxa"/>
            <w:noWrap/>
            <w:vAlign w:val="center"/>
            <w:hideMark/>
          </w:tcPr>
          <w:p w14:paraId="3249A8B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148.8</w:t>
            </w:r>
          </w:p>
        </w:tc>
        <w:tc>
          <w:tcPr>
            <w:tcW w:w="849" w:type="dxa"/>
            <w:noWrap/>
            <w:vAlign w:val="center"/>
            <w:hideMark/>
          </w:tcPr>
          <w:p w14:paraId="4ED9F827"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140.0</w:t>
            </w:r>
          </w:p>
        </w:tc>
        <w:tc>
          <w:tcPr>
            <w:tcW w:w="848" w:type="dxa"/>
            <w:noWrap/>
            <w:vAlign w:val="center"/>
            <w:hideMark/>
          </w:tcPr>
          <w:p w14:paraId="1B11C63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138.2</w:t>
            </w:r>
          </w:p>
        </w:tc>
        <w:tc>
          <w:tcPr>
            <w:tcW w:w="849" w:type="dxa"/>
            <w:noWrap/>
            <w:vAlign w:val="center"/>
            <w:hideMark/>
          </w:tcPr>
          <w:p w14:paraId="13ECE6F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140.4</w:t>
            </w:r>
          </w:p>
        </w:tc>
      </w:tr>
      <w:tr w:rsidR="00DE4516" w:rsidRPr="00A260F0" w14:paraId="6FAE3F55" w14:textId="77777777" w:rsidTr="00A86160">
        <w:trPr>
          <w:cantSplit/>
        </w:trPr>
        <w:tc>
          <w:tcPr>
            <w:tcW w:w="3077" w:type="dxa"/>
            <w:noWrap/>
            <w:hideMark/>
          </w:tcPr>
          <w:p w14:paraId="32C9C34D"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Internet users (%)</w:t>
            </w:r>
          </w:p>
        </w:tc>
        <w:tc>
          <w:tcPr>
            <w:tcW w:w="848" w:type="dxa"/>
            <w:noWrap/>
            <w:vAlign w:val="center"/>
            <w:hideMark/>
          </w:tcPr>
          <w:p w14:paraId="0156208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70.2</w:t>
            </w:r>
          </w:p>
        </w:tc>
        <w:tc>
          <w:tcPr>
            <w:tcW w:w="848" w:type="dxa"/>
            <w:noWrap/>
            <w:vAlign w:val="center"/>
            <w:hideMark/>
          </w:tcPr>
          <w:p w14:paraId="602A33A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73.5</w:t>
            </w:r>
          </w:p>
        </w:tc>
        <w:tc>
          <w:tcPr>
            <w:tcW w:w="849" w:type="dxa"/>
            <w:noWrap/>
            <w:vAlign w:val="center"/>
            <w:hideMark/>
          </w:tcPr>
          <w:p w14:paraId="4E0B92D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76.8</w:t>
            </w:r>
          </w:p>
        </w:tc>
        <w:tc>
          <w:tcPr>
            <w:tcW w:w="848" w:type="dxa"/>
            <w:noWrap/>
            <w:vAlign w:val="center"/>
            <w:hideMark/>
          </w:tcPr>
          <w:p w14:paraId="2D0DF26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80.2</w:t>
            </w:r>
          </w:p>
        </w:tc>
        <w:tc>
          <w:tcPr>
            <w:tcW w:w="849" w:type="dxa"/>
            <w:noWrap/>
            <w:vAlign w:val="center"/>
            <w:hideMark/>
          </w:tcPr>
          <w:p w14:paraId="0B18B27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85.5</w:t>
            </w:r>
          </w:p>
        </w:tc>
        <w:tc>
          <w:tcPr>
            <w:tcW w:w="848" w:type="dxa"/>
            <w:noWrap/>
            <w:vAlign w:val="center"/>
            <w:hideMark/>
          </w:tcPr>
          <w:p w14:paraId="4D82FAF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90.3</w:t>
            </w:r>
          </w:p>
        </w:tc>
        <w:tc>
          <w:tcPr>
            <w:tcW w:w="849" w:type="dxa"/>
            <w:noWrap/>
            <w:vAlign w:val="center"/>
            <w:hideMark/>
          </w:tcPr>
          <w:p w14:paraId="34E27BA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95.2</w:t>
            </w:r>
          </w:p>
        </w:tc>
      </w:tr>
      <w:tr w:rsidR="00DE4516" w:rsidRPr="00A260F0" w14:paraId="3F95C9D5"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3077" w:type="dxa"/>
            <w:noWrap/>
            <w:hideMark/>
          </w:tcPr>
          <w:p w14:paraId="0AC08A48"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Fixed broadband subscriptions ('000)</w:t>
            </w:r>
          </w:p>
        </w:tc>
        <w:tc>
          <w:tcPr>
            <w:tcW w:w="848" w:type="dxa"/>
            <w:noWrap/>
            <w:vAlign w:val="center"/>
            <w:hideMark/>
          </w:tcPr>
          <w:p w14:paraId="17859CF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177.1</w:t>
            </w:r>
          </w:p>
        </w:tc>
        <w:tc>
          <w:tcPr>
            <w:tcW w:w="848" w:type="dxa"/>
            <w:noWrap/>
            <w:vAlign w:val="center"/>
            <w:hideMark/>
          </w:tcPr>
          <w:p w14:paraId="7BE2602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233.2</w:t>
            </w:r>
          </w:p>
        </w:tc>
        <w:tc>
          <w:tcPr>
            <w:tcW w:w="849" w:type="dxa"/>
            <w:noWrap/>
            <w:vAlign w:val="center"/>
            <w:hideMark/>
          </w:tcPr>
          <w:p w14:paraId="3690990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284.6</w:t>
            </w:r>
          </w:p>
        </w:tc>
        <w:tc>
          <w:tcPr>
            <w:tcW w:w="848" w:type="dxa"/>
            <w:noWrap/>
            <w:vAlign w:val="center"/>
            <w:hideMark/>
          </w:tcPr>
          <w:p w14:paraId="644AA28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348.9</w:t>
            </w:r>
          </w:p>
        </w:tc>
        <w:tc>
          <w:tcPr>
            <w:tcW w:w="849" w:type="dxa"/>
            <w:noWrap/>
            <w:vAlign w:val="center"/>
            <w:hideMark/>
          </w:tcPr>
          <w:p w14:paraId="1E4A668B"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422.0</w:t>
            </w:r>
          </w:p>
        </w:tc>
        <w:tc>
          <w:tcPr>
            <w:tcW w:w="848" w:type="dxa"/>
            <w:noWrap/>
            <w:vAlign w:val="center"/>
            <w:hideMark/>
          </w:tcPr>
          <w:p w14:paraId="274CB73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473.1</w:t>
            </w:r>
          </w:p>
        </w:tc>
        <w:tc>
          <w:tcPr>
            <w:tcW w:w="849" w:type="dxa"/>
            <w:noWrap/>
            <w:vAlign w:val="center"/>
            <w:hideMark/>
          </w:tcPr>
          <w:p w14:paraId="451E89B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510.8</w:t>
            </w:r>
          </w:p>
        </w:tc>
      </w:tr>
      <w:tr w:rsidR="00DE4516" w:rsidRPr="00A260F0" w14:paraId="1BCD3483" w14:textId="77777777" w:rsidTr="00A86160">
        <w:trPr>
          <w:cantSplit/>
        </w:trPr>
        <w:tc>
          <w:tcPr>
            <w:tcW w:w="3077" w:type="dxa"/>
            <w:noWrap/>
            <w:hideMark/>
          </w:tcPr>
          <w:p w14:paraId="706CCB7D"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Fixed broadband subscriptions per 100 inhabitants</w:t>
            </w:r>
          </w:p>
        </w:tc>
        <w:tc>
          <w:tcPr>
            <w:tcW w:w="848" w:type="dxa"/>
            <w:noWrap/>
            <w:vAlign w:val="center"/>
            <w:hideMark/>
          </w:tcPr>
          <w:p w14:paraId="18C775D2"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4.4</w:t>
            </w:r>
          </w:p>
        </w:tc>
        <w:tc>
          <w:tcPr>
            <w:tcW w:w="848" w:type="dxa"/>
            <w:noWrap/>
            <w:vAlign w:val="center"/>
            <w:hideMark/>
          </w:tcPr>
          <w:p w14:paraId="36FFB30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5.5</w:t>
            </w:r>
          </w:p>
        </w:tc>
        <w:tc>
          <w:tcPr>
            <w:tcW w:w="849" w:type="dxa"/>
            <w:noWrap/>
            <w:vAlign w:val="center"/>
            <w:hideMark/>
          </w:tcPr>
          <w:p w14:paraId="0A85220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6.4</w:t>
            </w:r>
          </w:p>
        </w:tc>
        <w:tc>
          <w:tcPr>
            <w:tcW w:w="848" w:type="dxa"/>
            <w:noWrap/>
            <w:vAlign w:val="center"/>
            <w:hideMark/>
          </w:tcPr>
          <w:p w14:paraId="3076A59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7.5</w:t>
            </w:r>
          </w:p>
        </w:tc>
        <w:tc>
          <w:tcPr>
            <w:tcW w:w="849" w:type="dxa"/>
            <w:noWrap/>
            <w:vAlign w:val="center"/>
            <w:hideMark/>
          </w:tcPr>
          <w:p w14:paraId="52BB0C76"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9.2</w:t>
            </w:r>
          </w:p>
        </w:tc>
        <w:tc>
          <w:tcPr>
            <w:tcW w:w="848" w:type="dxa"/>
            <w:noWrap/>
            <w:vAlign w:val="center"/>
            <w:hideMark/>
          </w:tcPr>
          <w:p w14:paraId="6CD9E1B5"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10.2</w:t>
            </w:r>
          </w:p>
        </w:tc>
        <w:tc>
          <w:tcPr>
            <w:tcW w:w="849" w:type="dxa"/>
            <w:noWrap/>
            <w:vAlign w:val="center"/>
            <w:hideMark/>
          </w:tcPr>
          <w:p w14:paraId="7DB4CA98"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11.4</w:t>
            </w:r>
          </w:p>
        </w:tc>
      </w:tr>
      <w:tr w:rsidR="00DE4516" w:rsidRPr="00A260F0" w14:paraId="49F6CA92"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3077" w:type="dxa"/>
            <w:noWrap/>
            <w:hideMark/>
          </w:tcPr>
          <w:p w14:paraId="2A6452D8"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Mobile broadband subscriptions ('000)</w:t>
            </w:r>
          </w:p>
        </w:tc>
        <w:tc>
          <w:tcPr>
            <w:tcW w:w="848" w:type="dxa"/>
            <w:noWrap/>
            <w:vAlign w:val="center"/>
            <w:hideMark/>
          </w:tcPr>
          <w:p w14:paraId="65CAE65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3,059.7</w:t>
            </w:r>
          </w:p>
        </w:tc>
        <w:tc>
          <w:tcPr>
            <w:tcW w:w="848" w:type="dxa"/>
            <w:noWrap/>
            <w:vAlign w:val="center"/>
            <w:hideMark/>
          </w:tcPr>
          <w:p w14:paraId="33F4329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3,550.2</w:t>
            </w:r>
          </w:p>
        </w:tc>
        <w:tc>
          <w:tcPr>
            <w:tcW w:w="849" w:type="dxa"/>
            <w:noWrap/>
            <w:vAlign w:val="center"/>
            <w:hideMark/>
          </w:tcPr>
          <w:p w14:paraId="3A4666A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4,047.0</w:t>
            </w:r>
          </w:p>
        </w:tc>
        <w:tc>
          <w:tcPr>
            <w:tcW w:w="848" w:type="dxa"/>
            <w:noWrap/>
            <w:vAlign w:val="center"/>
            <w:hideMark/>
          </w:tcPr>
          <w:p w14:paraId="39DE2383"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4,351.6</w:t>
            </w:r>
          </w:p>
        </w:tc>
        <w:tc>
          <w:tcPr>
            <w:tcW w:w="849" w:type="dxa"/>
            <w:noWrap/>
            <w:vAlign w:val="center"/>
            <w:hideMark/>
          </w:tcPr>
          <w:p w14:paraId="1A052D90"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4,113.3</w:t>
            </w:r>
          </w:p>
        </w:tc>
        <w:tc>
          <w:tcPr>
            <w:tcW w:w="848" w:type="dxa"/>
            <w:noWrap/>
            <w:vAlign w:val="center"/>
            <w:hideMark/>
          </w:tcPr>
          <w:p w14:paraId="53B1A00A"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5,038.8</w:t>
            </w:r>
          </w:p>
        </w:tc>
        <w:tc>
          <w:tcPr>
            <w:tcW w:w="849" w:type="dxa"/>
            <w:noWrap/>
            <w:vAlign w:val="center"/>
            <w:hideMark/>
          </w:tcPr>
          <w:p w14:paraId="60557859"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5,385.6</w:t>
            </w:r>
          </w:p>
        </w:tc>
      </w:tr>
      <w:tr w:rsidR="00DE4516" w:rsidRPr="00A260F0" w14:paraId="54D5C15F" w14:textId="77777777" w:rsidTr="00A86160">
        <w:trPr>
          <w:cantSplit/>
        </w:trPr>
        <w:tc>
          <w:tcPr>
            <w:tcW w:w="3077" w:type="dxa"/>
            <w:tcBorders>
              <w:bottom w:val="single" w:sz="4" w:space="0" w:color="auto"/>
            </w:tcBorders>
            <w:noWrap/>
            <w:hideMark/>
          </w:tcPr>
          <w:p w14:paraId="1BC60D85" w14:textId="77777777" w:rsidR="00DE4516" w:rsidRPr="00A46ADC" w:rsidRDefault="00DE4516" w:rsidP="00DE4516">
            <w:pPr>
              <w:pStyle w:val="TableBody"/>
              <w:autoSpaceDE w:val="0"/>
              <w:autoSpaceDN w:val="0"/>
              <w:adjustRightInd w:val="0"/>
              <w:jc w:val="both"/>
              <w:rPr>
                <w:rFonts w:cs="Calibri"/>
                <w:color w:val="000000"/>
                <w:sz w:val="15"/>
                <w:szCs w:val="14"/>
              </w:rPr>
            </w:pPr>
            <w:r w:rsidRPr="00A46ADC">
              <w:t>Mobile broadband subscriptions per 100 inhabitants</w:t>
            </w:r>
          </w:p>
        </w:tc>
        <w:tc>
          <w:tcPr>
            <w:tcW w:w="848" w:type="dxa"/>
            <w:tcBorders>
              <w:bottom w:val="single" w:sz="4" w:space="0" w:color="auto"/>
            </w:tcBorders>
            <w:noWrap/>
            <w:vAlign w:val="center"/>
            <w:hideMark/>
          </w:tcPr>
          <w:p w14:paraId="18016FE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76.0</w:t>
            </w:r>
          </w:p>
        </w:tc>
        <w:tc>
          <w:tcPr>
            <w:tcW w:w="848" w:type="dxa"/>
            <w:tcBorders>
              <w:bottom w:val="single" w:sz="4" w:space="0" w:color="auto"/>
            </w:tcBorders>
            <w:noWrap/>
            <w:vAlign w:val="center"/>
            <w:hideMark/>
          </w:tcPr>
          <w:p w14:paraId="0A2F8AF4"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83.2</w:t>
            </w:r>
          </w:p>
        </w:tc>
        <w:tc>
          <w:tcPr>
            <w:tcW w:w="849" w:type="dxa"/>
            <w:tcBorders>
              <w:bottom w:val="single" w:sz="4" w:space="0" w:color="auto"/>
            </w:tcBorders>
            <w:noWrap/>
            <w:vAlign w:val="center"/>
            <w:hideMark/>
          </w:tcPr>
          <w:p w14:paraId="5CF25A6D"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90.4</w:t>
            </w:r>
          </w:p>
        </w:tc>
        <w:tc>
          <w:tcPr>
            <w:tcW w:w="848" w:type="dxa"/>
            <w:tcBorders>
              <w:bottom w:val="single" w:sz="4" w:space="0" w:color="auto"/>
            </w:tcBorders>
            <w:noWrap/>
            <w:vAlign w:val="center"/>
            <w:hideMark/>
          </w:tcPr>
          <w:p w14:paraId="5883F2BE"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93.3</w:t>
            </w:r>
          </w:p>
        </w:tc>
        <w:tc>
          <w:tcPr>
            <w:tcW w:w="849" w:type="dxa"/>
            <w:tcBorders>
              <w:bottom w:val="single" w:sz="4" w:space="0" w:color="auto"/>
            </w:tcBorders>
            <w:noWrap/>
            <w:vAlign w:val="center"/>
            <w:hideMark/>
          </w:tcPr>
          <w:p w14:paraId="5904597C"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89.4</w:t>
            </w:r>
          </w:p>
        </w:tc>
        <w:tc>
          <w:tcPr>
            <w:tcW w:w="848" w:type="dxa"/>
            <w:tcBorders>
              <w:bottom w:val="single" w:sz="4" w:space="0" w:color="auto"/>
            </w:tcBorders>
            <w:noWrap/>
            <w:vAlign w:val="center"/>
            <w:hideMark/>
          </w:tcPr>
          <w:p w14:paraId="16E9CA8F"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109.1</w:t>
            </w:r>
          </w:p>
        </w:tc>
        <w:tc>
          <w:tcPr>
            <w:tcW w:w="849" w:type="dxa"/>
            <w:tcBorders>
              <w:bottom w:val="single" w:sz="4" w:space="0" w:color="auto"/>
            </w:tcBorders>
            <w:noWrap/>
            <w:vAlign w:val="center"/>
            <w:hideMark/>
          </w:tcPr>
          <w:p w14:paraId="220C81A1" w14:textId="77777777" w:rsidR="00DE4516" w:rsidRPr="00A46ADC" w:rsidRDefault="00DE4516" w:rsidP="00DE4516">
            <w:pPr>
              <w:pStyle w:val="TableBody"/>
              <w:autoSpaceDE w:val="0"/>
              <w:autoSpaceDN w:val="0"/>
              <w:adjustRightInd w:val="0"/>
              <w:jc w:val="right"/>
              <w:rPr>
                <w:rFonts w:cs="Calibri"/>
                <w:color w:val="000000"/>
                <w:sz w:val="15"/>
                <w:szCs w:val="14"/>
              </w:rPr>
            </w:pPr>
            <w:r w:rsidRPr="00A46ADC">
              <w:t>120.5</w:t>
            </w:r>
          </w:p>
        </w:tc>
      </w:tr>
    </w:tbl>
    <w:p w14:paraId="66C86FDC" w14:textId="14CF8C0E" w:rsidR="00DE4516" w:rsidRDefault="00DE4516">
      <w:pPr>
        <w:pStyle w:val="TableSource"/>
        <w:autoSpaceDE w:val="0"/>
        <w:autoSpaceDN w:val="0"/>
        <w:adjustRightInd w:val="0"/>
        <w:rPr>
          <w:szCs w:val="24"/>
        </w:rPr>
      </w:pPr>
      <w:r>
        <w:rPr>
          <w:szCs w:val="24"/>
        </w:rPr>
        <w:lastRenderedPageBreak/>
        <w:t>Source:</w:t>
      </w:r>
      <w:r>
        <w:rPr>
          <w:szCs w:val="24"/>
        </w:rPr>
        <w:tab/>
        <w:t xml:space="preserve">ITU, </w:t>
      </w:r>
      <w:r>
        <w:rPr>
          <w:i/>
          <w:szCs w:val="24"/>
        </w:rPr>
        <w:t>Statistics</w:t>
      </w:r>
      <w:r>
        <w:rPr>
          <w:szCs w:val="24"/>
        </w:rPr>
        <w:t xml:space="preserve">. Viewed at: </w:t>
      </w:r>
      <w:hyperlink r:id="rId27" w:history="1">
        <w:r w:rsidRPr="00D5600E">
          <w:rPr>
            <w:color w:val="0000FF"/>
            <w:szCs w:val="24"/>
            <w:u w:val="single"/>
          </w:rPr>
          <w:t>www.itu.int/en/ITU-D/Statistics/Pages/stat/default.aspx</w:t>
        </w:r>
      </w:hyperlink>
      <w:r>
        <w:rPr>
          <w:szCs w:val="24"/>
        </w:rPr>
        <w:t xml:space="preserve">; and the Telecommunications Regulatory Authority, </w:t>
      </w:r>
      <w:r>
        <w:rPr>
          <w:i/>
          <w:szCs w:val="24"/>
        </w:rPr>
        <w:t>Monthly Telecom Indicators Statistics</w:t>
      </w:r>
      <w:r>
        <w:rPr>
          <w:szCs w:val="24"/>
        </w:rPr>
        <w:t xml:space="preserve">. Viewed at: </w:t>
      </w:r>
      <w:hyperlink r:id="rId28" w:history="1">
        <w:r w:rsidRPr="00D5600E">
          <w:rPr>
            <w:color w:val="0000FF"/>
            <w:szCs w:val="24"/>
            <w:u w:val="single"/>
          </w:rPr>
          <w:t>https://www.tra.gov.om/En/ManageReports.jsp?menu=114</w:t>
        </w:r>
      </w:hyperlink>
      <w:r>
        <w:rPr>
          <w:szCs w:val="24"/>
        </w:rPr>
        <w:t>.</w:t>
      </w:r>
    </w:p>
    <w:p w14:paraId="327844D5" w14:textId="77777777" w:rsidR="00DE4516" w:rsidRDefault="00DE4516">
      <w:pPr>
        <w:pStyle w:val="BodyText0"/>
        <w:autoSpaceDE w:val="0"/>
        <w:autoSpaceDN w:val="0"/>
        <w:adjustRightInd w:val="0"/>
        <w:rPr>
          <w:szCs w:val="24"/>
        </w:rPr>
      </w:pPr>
      <w:r>
        <w:rPr>
          <w:szCs w:val="24"/>
        </w:rPr>
        <w:t xml:space="preserve">The telecommunications infrastructure in Oman has significantly improved since the last Review. A mobile operator was licensed in 2021. The national backbone fibre-optic network began construction in </w:t>
      </w:r>
      <w:proofErr w:type="gramStart"/>
      <w:r>
        <w:rPr>
          <w:szCs w:val="24"/>
        </w:rPr>
        <w:t>April 2014, and</w:t>
      </w:r>
      <w:proofErr w:type="gramEnd"/>
      <w:r>
        <w:rPr>
          <w:szCs w:val="24"/>
        </w:rPr>
        <w:t xml:space="preserve"> has covered 54% of urban regions</w:t>
      </w:r>
      <w:r w:rsidRPr="00DE4516">
        <w:rPr>
          <w:rStyle w:val="FootnoteReference"/>
        </w:rPr>
        <w:footnoteReference w:id="242"/>
      </w:r>
      <w:r>
        <w:rPr>
          <w:szCs w:val="24"/>
        </w:rPr>
        <w:t>; the project is implemented by the Oman Broadband Company (OBC), a 100% state-owned company, and Oman ICT Group (owned by the Oman Investment Authority). Also, as part of the implementation of the National Broadband Strategy, the 100% state-owned Space Communication Technology LLC (</w:t>
      </w:r>
      <w:proofErr w:type="spellStart"/>
      <w:r>
        <w:rPr>
          <w:szCs w:val="24"/>
        </w:rPr>
        <w:t>OmanSat</w:t>
      </w:r>
      <w:proofErr w:type="spellEnd"/>
      <w:r>
        <w:rPr>
          <w:szCs w:val="24"/>
        </w:rPr>
        <w:t>) was established in 2018 to focus on the national satellite project; in the same year, Oman Tower Company (OTC), which is 68% owned by the Government, was established to provide infrastructure (including tower co-location service) to mobile telecommunications service operators and government entities in an open access manner. In the United Nations eGovernment Survey 2020, Oman's Telecom Infrastructure Index scored 0.69 and ranked 63 of 193.</w:t>
      </w:r>
      <w:r w:rsidRPr="00DE4516">
        <w:rPr>
          <w:rStyle w:val="FootnoteReference"/>
        </w:rPr>
        <w:footnoteReference w:id="243"/>
      </w:r>
    </w:p>
    <w:p w14:paraId="4AF56729" w14:textId="77777777" w:rsidR="00DE4516" w:rsidRDefault="00DE4516">
      <w:pPr>
        <w:pStyle w:val="BodyText0"/>
        <w:autoSpaceDE w:val="0"/>
        <w:autoSpaceDN w:val="0"/>
        <w:adjustRightInd w:val="0"/>
        <w:rPr>
          <w:szCs w:val="24"/>
        </w:rPr>
      </w:pPr>
      <w:r>
        <w:rPr>
          <w:szCs w:val="24"/>
        </w:rPr>
        <w:t xml:space="preserve">The Ministry of Transport, </w:t>
      </w:r>
      <w:proofErr w:type="gramStart"/>
      <w:r>
        <w:rPr>
          <w:szCs w:val="24"/>
        </w:rPr>
        <w:t>Communications</w:t>
      </w:r>
      <w:proofErr w:type="gramEnd"/>
      <w:r>
        <w:rPr>
          <w:szCs w:val="24"/>
        </w:rPr>
        <w:t xml:space="preserve"> and Information Technology (MTCIT) formulates policies for the subsector. The Telecommunications Regulatory Authority (TRA) remains the sectoral regulator. Its regulatory powers cover telecommunications, broadcasting, radio, and online communications.</w:t>
      </w:r>
      <w:r w:rsidRPr="00DE4516">
        <w:rPr>
          <w:rStyle w:val="FootnoteReference"/>
        </w:rPr>
        <w:footnoteReference w:id="244"/>
      </w:r>
      <w:r>
        <w:rPr>
          <w:szCs w:val="24"/>
        </w:rPr>
        <w:t xml:space="preserve"> The main legislation governing the telecommunications sector includes the Telecommunications Regulatory Act, the TRA Executive Regulations, and their amendments. The Executive Regulations were amended in 2014 and 2016. According to the authorities, most of the amendments to the Regulations were related to access and interconnection agreements and their terms and conditions.</w:t>
      </w:r>
    </w:p>
    <w:p w14:paraId="43836A2F" w14:textId="77777777" w:rsidR="00DE4516" w:rsidRDefault="00DE4516">
      <w:pPr>
        <w:pStyle w:val="BodyText0"/>
        <w:autoSpaceDE w:val="0"/>
        <w:autoSpaceDN w:val="0"/>
        <w:adjustRightInd w:val="0"/>
        <w:rPr>
          <w:szCs w:val="24"/>
        </w:rPr>
      </w:pPr>
      <w:r>
        <w:rPr>
          <w:szCs w:val="24"/>
        </w:rPr>
        <w:t>Any person or company that wishes to establish or operate a telecommunications system, or provide telecommunications services, must obtain a licence. Licence applicants must be registered in Oman, in the case of companies. The authorities indicate there are no restrictions on foreign ownership for telecommunications service providers. Pursuant to the Telecommunications Regulatory Act, three types of telecommunications licences are issued to operators in Oman: Class I, Class II, and Class III.</w:t>
      </w:r>
    </w:p>
    <w:p w14:paraId="238D6232" w14:textId="77777777" w:rsidR="00DE4516" w:rsidRDefault="00DE4516">
      <w:pPr>
        <w:pStyle w:val="NumBulListLevel1"/>
        <w:autoSpaceDE w:val="0"/>
        <w:autoSpaceDN w:val="0"/>
        <w:adjustRightInd w:val="0"/>
        <w:rPr>
          <w:szCs w:val="24"/>
        </w:rPr>
      </w:pPr>
      <w:r>
        <w:rPr>
          <w:szCs w:val="24"/>
        </w:rPr>
        <w:t>•</w:t>
      </w:r>
      <w:r>
        <w:rPr>
          <w:szCs w:val="24"/>
        </w:rPr>
        <w:tab/>
        <w:t xml:space="preserve">Class I licences are for telecommunications operators that own or operate a public telecommunications network or international telecommunications infrastructure, offering public telecommunication services to the </w:t>
      </w:r>
      <w:proofErr w:type="gramStart"/>
      <w:r>
        <w:rPr>
          <w:szCs w:val="24"/>
        </w:rPr>
        <w:t>general public</w:t>
      </w:r>
      <w:proofErr w:type="gramEnd"/>
      <w:r>
        <w:rPr>
          <w:szCs w:val="24"/>
        </w:rPr>
        <w:t xml:space="preserve"> or leasing out their capacity to other operators that provide public services. A Class I licence is issued by a Royal Decree.</w:t>
      </w:r>
    </w:p>
    <w:p w14:paraId="01FCD8D5" w14:textId="77777777" w:rsidR="00DE4516" w:rsidRDefault="00DE4516">
      <w:pPr>
        <w:pStyle w:val="NumBulListLevel1"/>
        <w:autoSpaceDE w:val="0"/>
        <w:autoSpaceDN w:val="0"/>
        <w:adjustRightInd w:val="0"/>
        <w:rPr>
          <w:szCs w:val="24"/>
        </w:rPr>
      </w:pPr>
      <w:r>
        <w:rPr>
          <w:szCs w:val="24"/>
        </w:rPr>
        <w:t>•</w:t>
      </w:r>
      <w:r>
        <w:rPr>
          <w:szCs w:val="24"/>
        </w:rPr>
        <w:tab/>
        <w:t>Class II licences are granted to operators providing telecommunications services that depend on using the capacity of a Class I licensee's network. A Class II licence is issued by a ministerial decision.</w:t>
      </w:r>
    </w:p>
    <w:p w14:paraId="5C170D7D" w14:textId="77777777" w:rsidR="00DE4516" w:rsidRDefault="00DE4516">
      <w:pPr>
        <w:pStyle w:val="NumBulListLevel1"/>
        <w:autoSpaceDE w:val="0"/>
        <w:autoSpaceDN w:val="0"/>
        <w:adjustRightInd w:val="0"/>
        <w:rPr>
          <w:szCs w:val="24"/>
        </w:rPr>
      </w:pPr>
      <w:r>
        <w:rPr>
          <w:szCs w:val="24"/>
        </w:rPr>
        <w:t>•</w:t>
      </w:r>
      <w:r>
        <w:rPr>
          <w:szCs w:val="24"/>
        </w:rPr>
        <w:tab/>
        <w:t>Class III licences are granted to operators that own or operate a private telecommunications network, providing private services; their network is not connected to the public network, and does not exploit the capacity of a public network. A Class III licence is issued through a TRA decision.</w:t>
      </w:r>
    </w:p>
    <w:p w14:paraId="7B6D5165" w14:textId="77777777" w:rsidR="00DE4516" w:rsidRDefault="00DE4516">
      <w:pPr>
        <w:pStyle w:val="BodyText0"/>
        <w:autoSpaceDE w:val="0"/>
        <w:autoSpaceDN w:val="0"/>
        <w:adjustRightInd w:val="0"/>
        <w:rPr>
          <w:szCs w:val="24"/>
        </w:rPr>
      </w:pPr>
      <w:r>
        <w:rPr>
          <w:szCs w:val="24"/>
        </w:rPr>
        <w:t>Based on the public interest, the TRA may limit the number of Class I and Class III licences.</w:t>
      </w:r>
      <w:r w:rsidRPr="00DE4516">
        <w:rPr>
          <w:rStyle w:val="FootnoteReference"/>
        </w:rPr>
        <w:footnoteReference w:id="245"/>
      </w:r>
      <w:r>
        <w:rPr>
          <w:szCs w:val="24"/>
        </w:rPr>
        <w:t xml:space="preserve"> In the case of limiting telecommunications licences, the TRA may invite bids for licences. As at end-May 2021, there were 10 Class I licensed operators in Oman, among which three were issued for fixed telecom services, three for mobile services, and two for international traffic</w:t>
      </w:r>
      <w:r w:rsidRPr="00DE4516">
        <w:rPr>
          <w:rStyle w:val="FootnoteReference"/>
        </w:rPr>
        <w:footnoteReference w:id="246"/>
      </w:r>
      <w:r>
        <w:rPr>
          <w:szCs w:val="24"/>
        </w:rPr>
        <w:t>; there were four Class II licensed operators, two of which provide public mobile services.</w:t>
      </w:r>
    </w:p>
    <w:p w14:paraId="2BD8907F" w14:textId="77777777" w:rsidR="00DE4516" w:rsidRDefault="00DE4516">
      <w:pPr>
        <w:pStyle w:val="BodyText0"/>
        <w:autoSpaceDE w:val="0"/>
        <w:autoSpaceDN w:val="0"/>
        <w:adjustRightInd w:val="0"/>
        <w:rPr>
          <w:szCs w:val="24"/>
        </w:rPr>
      </w:pPr>
      <w:r>
        <w:rPr>
          <w:szCs w:val="24"/>
        </w:rPr>
        <w:lastRenderedPageBreak/>
        <w:t>Each Class I operator must treat all other licensed operators connecting to its network on a fair, reasonable, and non</w:t>
      </w:r>
      <w:r>
        <w:rPr>
          <w:szCs w:val="24"/>
        </w:rPr>
        <w:noBreakHyphen/>
        <w:t>discriminatory basis.</w:t>
      </w:r>
      <w:r w:rsidRPr="00DE4516">
        <w:rPr>
          <w:rStyle w:val="FootnoteReference"/>
        </w:rPr>
        <w:footnoteReference w:id="247"/>
      </w:r>
      <w:r>
        <w:rPr>
          <w:szCs w:val="24"/>
        </w:rPr>
        <w:t xml:space="preserve"> This obligation is also applied to the branches or subsidiaries of a dominant licensed operator.</w:t>
      </w:r>
      <w:r w:rsidRPr="00DE4516">
        <w:rPr>
          <w:rStyle w:val="FootnoteReference"/>
        </w:rPr>
        <w:footnoteReference w:id="248"/>
      </w:r>
      <w:r>
        <w:rPr>
          <w:szCs w:val="24"/>
        </w:rPr>
        <w:t xml:space="preserve"> A dominant licensee is the licensed operator with significant financial strength that can prevent effective competition in the sector. The TRA conducts periodic market reviews, and the review results are presented in the TRA Market Definition and Dominance Report. The TRA is currently in the process of preparing its second market review; the previous one was published in 2013. In the 2013 Report, </w:t>
      </w:r>
      <w:proofErr w:type="spellStart"/>
      <w:r>
        <w:rPr>
          <w:szCs w:val="24"/>
        </w:rPr>
        <w:t>Omantel</w:t>
      </w:r>
      <w:proofErr w:type="spellEnd"/>
      <w:r>
        <w:rPr>
          <w:szCs w:val="24"/>
        </w:rPr>
        <w:t xml:space="preserve"> and </w:t>
      </w:r>
      <w:proofErr w:type="spellStart"/>
      <w:r>
        <w:rPr>
          <w:szCs w:val="24"/>
        </w:rPr>
        <w:t>Nawaras</w:t>
      </w:r>
      <w:proofErr w:type="spellEnd"/>
      <w:r>
        <w:rPr>
          <w:szCs w:val="24"/>
        </w:rPr>
        <w:t xml:space="preserve"> were identified as single or joint dominant operators in the market.</w:t>
      </w:r>
      <w:r w:rsidRPr="00DE4516">
        <w:rPr>
          <w:rStyle w:val="FootnoteReference"/>
        </w:rPr>
        <w:footnoteReference w:id="249"/>
      </w:r>
    </w:p>
    <w:p w14:paraId="2E2C14E8" w14:textId="77777777" w:rsidR="00DE4516" w:rsidRDefault="00DE4516">
      <w:pPr>
        <w:pStyle w:val="BodyText0"/>
        <w:autoSpaceDE w:val="0"/>
        <w:autoSpaceDN w:val="0"/>
        <w:adjustRightInd w:val="0"/>
        <w:rPr>
          <w:szCs w:val="24"/>
        </w:rPr>
      </w:pPr>
      <w:r>
        <w:rPr>
          <w:szCs w:val="24"/>
        </w:rPr>
        <w:t>Interconnection agreements are negotiated between operators, subject to approval by the TRA; if no agreement is reached, the TRA may intervene and the intervention is binding on all parties.</w:t>
      </w:r>
      <w:r w:rsidRPr="00DE4516">
        <w:rPr>
          <w:rStyle w:val="FootnoteReference"/>
        </w:rPr>
        <w:footnoteReference w:id="250"/>
      </w:r>
      <w:r>
        <w:rPr>
          <w:szCs w:val="24"/>
        </w:rPr>
        <w:t xml:space="preserve"> Under the Access and Interconnection Regulations, the dominant operator is required to submit, within 30 days after being classified as dominant, its reference access and interconnection offer (RAIO) to the TRA for approval.</w:t>
      </w:r>
    </w:p>
    <w:p w14:paraId="6C2AC7AB" w14:textId="77777777" w:rsidR="00DE4516" w:rsidRDefault="00DE4516">
      <w:pPr>
        <w:pStyle w:val="BodyText0"/>
        <w:autoSpaceDE w:val="0"/>
        <w:autoSpaceDN w:val="0"/>
        <w:adjustRightInd w:val="0"/>
        <w:rPr>
          <w:szCs w:val="24"/>
        </w:rPr>
      </w:pPr>
      <w:r>
        <w:rPr>
          <w:szCs w:val="24"/>
        </w:rPr>
        <w:t xml:space="preserve">As stipulated in the Telecommunications Regulatory Act, telephone numbers, radio frequency, and domain names </w:t>
      </w:r>
      <w:proofErr w:type="gramStart"/>
      <w:r>
        <w:rPr>
          <w:szCs w:val="24"/>
        </w:rPr>
        <w:t>are considered to be</w:t>
      </w:r>
      <w:proofErr w:type="gramEnd"/>
      <w:r>
        <w:rPr>
          <w:szCs w:val="24"/>
        </w:rPr>
        <w:t xml:space="preserve"> national resources. Numbers are portable across operators. Regarding radio frequency allocation for telecommunications services, the TRA assigns radio frequencies or frequency bands to Class I operators under a Radio License. The authorities note that the frequency allocation is in line with the National Spectrum Allocations Plan; dependent on the availability of the required frequency, the allocation aims to enable the operator to exercise its rights and to perform its obligations as specified in the Licence.</w:t>
      </w:r>
    </w:p>
    <w:p w14:paraId="403ADE96" w14:textId="77777777" w:rsidR="00DE4516" w:rsidRDefault="00DE4516">
      <w:pPr>
        <w:pStyle w:val="BodyText0"/>
        <w:autoSpaceDE w:val="0"/>
        <w:autoSpaceDN w:val="0"/>
        <w:adjustRightInd w:val="0"/>
        <w:rPr>
          <w:szCs w:val="24"/>
        </w:rPr>
      </w:pPr>
      <w:r>
        <w:rPr>
          <w:szCs w:val="24"/>
        </w:rPr>
        <w:t>The TRA also has the competence of maintaining competition in the sector and protecting consumers' welfare. Operators must submit their tariff plans, including their revisions, to the TRA for approval before marketing such products.</w:t>
      </w:r>
    </w:p>
    <w:p w14:paraId="2D79F6E3" w14:textId="77777777" w:rsidR="00DE4516" w:rsidRDefault="00DE4516">
      <w:pPr>
        <w:pStyle w:val="BodyText0"/>
        <w:autoSpaceDE w:val="0"/>
        <w:autoSpaceDN w:val="0"/>
        <w:adjustRightInd w:val="0"/>
        <w:rPr>
          <w:szCs w:val="24"/>
        </w:rPr>
      </w:pPr>
      <w:r>
        <w:rPr>
          <w:szCs w:val="24"/>
        </w:rPr>
        <w:t xml:space="preserve">According to the ITU, the retail market in Oman is competitive. For instance, in the mobile segment, </w:t>
      </w:r>
      <w:proofErr w:type="spellStart"/>
      <w:r>
        <w:rPr>
          <w:szCs w:val="24"/>
        </w:rPr>
        <w:t>Omantel</w:t>
      </w:r>
      <w:proofErr w:type="spellEnd"/>
      <w:r>
        <w:rPr>
          <w:szCs w:val="24"/>
        </w:rPr>
        <w:t xml:space="preserve"> was the leader with a 42.5% market share as of the end-2020, closely followed by Ooredoo (40.3%). The mobile virtual network operators (MVNOs) also gained market share during the review period, with a 17.2% market share in 2020, up from 12% in 2014. Reflecting the competitive nature of the market, the average revenue per user for total mobile services declined to OMR 3.96 in June 2020, down from OMR 7.42 in 2014.</w:t>
      </w:r>
      <w:r w:rsidRPr="00DE4516">
        <w:rPr>
          <w:rStyle w:val="FootnoteReference"/>
        </w:rPr>
        <w:footnoteReference w:id="251"/>
      </w:r>
    </w:p>
    <w:p w14:paraId="3B012680" w14:textId="77777777" w:rsidR="00DE4516" w:rsidRDefault="00DE4516">
      <w:pPr>
        <w:pStyle w:val="BodyText0"/>
        <w:autoSpaceDE w:val="0"/>
        <w:autoSpaceDN w:val="0"/>
        <w:adjustRightInd w:val="0"/>
        <w:rPr>
          <w:szCs w:val="24"/>
        </w:rPr>
      </w:pPr>
      <w:r>
        <w:rPr>
          <w:szCs w:val="24"/>
        </w:rPr>
        <w:t>Class I licensed operators are charged royalty at 7% of their gross revenue for fixed operators, and 12% for mobile operators. Effective from 2022, the royalty for fixed operators will increase to 10%.</w:t>
      </w:r>
    </w:p>
    <w:p w14:paraId="362ED3A4" w14:textId="77777777" w:rsidR="00DE4516" w:rsidRDefault="00DE4516">
      <w:pPr>
        <w:pStyle w:val="BodyText0"/>
        <w:autoSpaceDE w:val="0"/>
        <w:autoSpaceDN w:val="0"/>
        <w:adjustRightInd w:val="0"/>
        <w:rPr>
          <w:szCs w:val="24"/>
        </w:rPr>
      </w:pPr>
      <w:r>
        <w:rPr>
          <w:szCs w:val="24"/>
        </w:rPr>
        <w:t xml:space="preserve">Universal service is </w:t>
      </w:r>
      <w:proofErr w:type="gramStart"/>
      <w:r>
        <w:rPr>
          <w:szCs w:val="24"/>
        </w:rPr>
        <w:t>mandatory, and</w:t>
      </w:r>
      <w:proofErr w:type="gramEnd"/>
      <w:r>
        <w:rPr>
          <w:szCs w:val="24"/>
        </w:rPr>
        <w:t xml:space="preserve"> is provided by existing licensed operators. Universal service is financed by the Omani Treasury.</w:t>
      </w:r>
    </w:p>
    <w:p w14:paraId="3D7A1DEF" w14:textId="77777777" w:rsidR="00DE4516" w:rsidRDefault="00DE4516">
      <w:pPr>
        <w:pStyle w:val="BodyText0"/>
        <w:autoSpaceDE w:val="0"/>
        <w:autoSpaceDN w:val="0"/>
        <w:adjustRightInd w:val="0"/>
        <w:rPr>
          <w:szCs w:val="24"/>
        </w:rPr>
      </w:pPr>
      <w:r>
        <w:rPr>
          <w:szCs w:val="24"/>
        </w:rPr>
        <w:t>The COVID</w:t>
      </w:r>
      <w:r>
        <w:rPr>
          <w:szCs w:val="24"/>
        </w:rPr>
        <w:noBreakHyphen/>
        <w:t xml:space="preserve">19 pandemic has increased the demand for telecom services, such as video conferencing and streaming services. The TRA took several emergency regulatory measures aimed at ensuring the continuity of telecommunications services and avoiding network congestion. These procedures included abolishing the ban on VoIP </w:t>
      </w:r>
      <w:proofErr w:type="gramStart"/>
      <w:r>
        <w:rPr>
          <w:szCs w:val="24"/>
        </w:rPr>
        <w:t>calls, and</w:t>
      </w:r>
      <w:proofErr w:type="gramEnd"/>
      <w:r>
        <w:rPr>
          <w:szCs w:val="24"/>
        </w:rPr>
        <w:t xml:space="preserve"> suspending the pre</w:t>
      </w:r>
      <w:r>
        <w:rPr>
          <w:szCs w:val="24"/>
        </w:rPr>
        <w:noBreakHyphen/>
        <w:t>approval requirements for retail tariff offers.</w:t>
      </w:r>
    </w:p>
    <w:p w14:paraId="10DB2E1F" w14:textId="77777777" w:rsidR="00DE4516" w:rsidRDefault="00DE4516">
      <w:pPr>
        <w:pStyle w:val="BodyText0"/>
        <w:autoSpaceDE w:val="0"/>
        <w:autoSpaceDN w:val="0"/>
        <w:adjustRightInd w:val="0"/>
        <w:rPr>
          <w:szCs w:val="24"/>
        </w:rPr>
      </w:pPr>
      <w:r>
        <w:rPr>
          <w:szCs w:val="24"/>
        </w:rPr>
        <w:t xml:space="preserve">As stated in the Digital Oman Strategy, multinational technology companies are encouraged to establish branches and operations in Oman, setting up centres of excellence to support development. The Oman Data Park (ODP), established in 2012, is a joint venture between the state-owned </w:t>
      </w:r>
      <w:proofErr w:type="spellStart"/>
      <w:r>
        <w:rPr>
          <w:szCs w:val="24"/>
        </w:rPr>
        <w:t>Omantel</w:t>
      </w:r>
      <w:proofErr w:type="spellEnd"/>
      <w:r>
        <w:rPr>
          <w:szCs w:val="24"/>
        </w:rPr>
        <w:t xml:space="preserve"> and a private company, 4Trust LLC. The ODP is the first cloud and data service in Oman, </w:t>
      </w:r>
      <w:proofErr w:type="gramStart"/>
      <w:r>
        <w:rPr>
          <w:szCs w:val="24"/>
        </w:rPr>
        <w:t>and also</w:t>
      </w:r>
      <w:proofErr w:type="gramEnd"/>
      <w:r>
        <w:rPr>
          <w:szCs w:val="24"/>
        </w:rPr>
        <w:t xml:space="preserve"> the first cloud service online in the region.</w:t>
      </w:r>
    </w:p>
    <w:p w14:paraId="43851C00" w14:textId="77777777" w:rsidR="00DE4516" w:rsidRDefault="00DE4516">
      <w:pPr>
        <w:pStyle w:val="BodyText0"/>
        <w:autoSpaceDE w:val="0"/>
        <w:autoSpaceDN w:val="0"/>
        <w:adjustRightInd w:val="0"/>
        <w:rPr>
          <w:szCs w:val="24"/>
        </w:rPr>
      </w:pPr>
      <w:r>
        <w:rPr>
          <w:szCs w:val="24"/>
        </w:rPr>
        <w:lastRenderedPageBreak/>
        <w:t xml:space="preserve">The MTCIT has run the </w:t>
      </w:r>
      <w:proofErr w:type="spellStart"/>
      <w:r>
        <w:rPr>
          <w:szCs w:val="24"/>
        </w:rPr>
        <w:t>Sas</w:t>
      </w:r>
      <w:proofErr w:type="spellEnd"/>
      <w:r>
        <w:rPr>
          <w:szCs w:val="24"/>
        </w:rPr>
        <w:t xml:space="preserve"> programme since 2013.</w:t>
      </w:r>
      <w:r w:rsidRPr="00DE4516">
        <w:rPr>
          <w:rStyle w:val="FootnoteReference"/>
        </w:rPr>
        <w:footnoteReference w:id="252"/>
      </w:r>
      <w:r>
        <w:rPr>
          <w:szCs w:val="24"/>
        </w:rPr>
        <w:t xml:space="preserve"> The programme aims to provide the basis for new domestic SMEs to develop and promote the Sultanate's ICT sector. In this regard, the </w:t>
      </w:r>
      <w:proofErr w:type="spellStart"/>
      <w:r>
        <w:rPr>
          <w:szCs w:val="24"/>
        </w:rPr>
        <w:t>Sas</w:t>
      </w:r>
      <w:proofErr w:type="spellEnd"/>
      <w:r>
        <w:rPr>
          <w:szCs w:val="24"/>
        </w:rPr>
        <w:t xml:space="preserve"> for Entrepreneurship Centre was established to provide technical and business training to start-up companies </w:t>
      </w:r>
      <w:proofErr w:type="gramStart"/>
      <w:r>
        <w:rPr>
          <w:szCs w:val="24"/>
        </w:rPr>
        <w:t>in order to</w:t>
      </w:r>
      <w:proofErr w:type="gramEnd"/>
      <w:r>
        <w:rPr>
          <w:szCs w:val="24"/>
        </w:rPr>
        <w:t xml:space="preserve"> better prepare them for the market, and to help them win their first contracts, as well as strengthening synergies and partnerships between SMEs in order to promote the formation of an ICT cluster.</w:t>
      </w:r>
      <w:r w:rsidRPr="00DE4516">
        <w:rPr>
          <w:rStyle w:val="FootnoteReference"/>
        </w:rPr>
        <w:footnoteReference w:id="253"/>
      </w:r>
      <w:r>
        <w:rPr>
          <w:szCs w:val="24"/>
        </w:rPr>
        <w:t xml:space="preserve"> The Oman Technology Fund (OTF) has invested in local companies that developed online auction, marketplace, and teaching platforms.</w:t>
      </w:r>
    </w:p>
    <w:p w14:paraId="64900370" w14:textId="77777777" w:rsidR="00DE4516" w:rsidRDefault="00DE4516">
      <w:pPr>
        <w:pStyle w:val="BodyText0"/>
        <w:autoSpaceDE w:val="0"/>
        <w:autoSpaceDN w:val="0"/>
        <w:adjustRightInd w:val="0"/>
        <w:rPr>
          <w:szCs w:val="24"/>
        </w:rPr>
      </w:pPr>
      <w:r>
        <w:rPr>
          <w:szCs w:val="24"/>
        </w:rPr>
        <w:t>It appears that there is no requirement for data localization, nor any restrictions on international data traffic.</w:t>
      </w:r>
    </w:p>
    <w:p w14:paraId="03E0DEEB" w14:textId="77777777" w:rsidR="00DE4516" w:rsidRDefault="00DE4516">
      <w:pPr>
        <w:pStyle w:val="Heading40"/>
        <w:autoSpaceDE w:val="0"/>
        <w:autoSpaceDN w:val="0"/>
        <w:adjustRightInd w:val="0"/>
        <w:rPr>
          <w:szCs w:val="24"/>
        </w:rPr>
      </w:pPr>
      <w:r>
        <w:rPr>
          <w:szCs w:val="24"/>
        </w:rPr>
        <w:t>Postal and courier services</w:t>
      </w:r>
    </w:p>
    <w:p w14:paraId="64D4A12E" w14:textId="77777777" w:rsidR="00DE4516" w:rsidRDefault="00DE4516">
      <w:pPr>
        <w:pStyle w:val="BodyText0"/>
        <w:autoSpaceDE w:val="0"/>
        <w:autoSpaceDN w:val="0"/>
        <w:adjustRightInd w:val="0"/>
        <w:rPr>
          <w:szCs w:val="24"/>
        </w:rPr>
      </w:pPr>
      <w:r>
        <w:rPr>
          <w:szCs w:val="24"/>
        </w:rPr>
        <w:t>During the review period, the institutional framework for postal and courier services remained unchanged. The main legislation is the Postal Services Regulatory Law and its Executive Regulations; the TRA continues being the regulator for the sector.</w:t>
      </w:r>
    </w:p>
    <w:p w14:paraId="4C384A4F" w14:textId="77777777" w:rsidR="00DE4516" w:rsidRDefault="00DE4516">
      <w:pPr>
        <w:pStyle w:val="BodyText0"/>
        <w:autoSpaceDE w:val="0"/>
        <w:autoSpaceDN w:val="0"/>
        <w:adjustRightInd w:val="0"/>
        <w:rPr>
          <w:szCs w:val="24"/>
        </w:rPr>
      </w:pPr>
      <w:r>
        <w:rPr>
          <w:szCs w:val="24"/>
        </w:rPr>
        <w:t>The Oman Post Company (OPC), a state-owned enterprise, is the sole provider of universal postal services; it is also engaged in the delivery service of goods and packages throughout the Sultanate.</w:t>
      </w:r>
    </w:p>
    <w:p w14:paraId="2687A86B" w14:textId="77777777" w:rsidR="00DE4516" w:rsidRDefault="00DE4516">
      <w:pPr>
        <w:pStyle w:val="BodyText0"/>
        <w:autoSpaceDE w:val="0"/>
        <w:autoSpaceDN w:val="0"/>
        <w:adjustRightInd w:val="0"/>
        <w:rPr>
          <w:szCs w:val="24"/>
        </w:rPr>
      </w:pPr>
      <w:r>
        <w:rPr>
          <w:szCs w:val="24"/>
        </w:rPr>
        <w:t>A licensed individual postal service (including courier) provider must be an Omani national</w:t>
      </w:r>
      <w:r w:rsidRPr="00DE4516">
        <w:rPr>
          <w:rStyle w:val="FootnoteReference"/>
        </w:rPr>
        <w:footnoteReference w:id="254"/>
      </w:r>
      <w:r>
        <w:rPr>
          <w:szCs w:val="24"/>
        </w:rPr>
        <w:t>; however, the authorities note that 100% foreign ownership is allowed in the case that the licensed service provider is a company. As at end-May 2021, there were 20 licensed service providers (including the OPC). Many of the Licensees are international companies with local incorporations, including large courier operators with an international presence (</w:t>
      </w:r>
      <w:proofErr w:type="gramStart"/>
      <w:r>
        <w:rPr>
          <w:szCs w:val="24"/>
        </w:rPr>
        <w:t>e.g.</w:t>
      </w:r>
      <w:proofErr w:type="gramEnd"/>
      <w:r>
        <w:rPr>
          <w:szCs w:val="24"/>
        </w:rPr>
        <w:t> DHL, FedEx, Aramex, and UPS). According to the authorities, all licensees provide courier services and deliver both express letters and parcels on both domestic and international routes, competing with the OPC in express/courier services.</w:t>
      </w:r>
    </w:p>
    <w:p w14:paraId="3D54E40B" w14:textId="77777777" w:rsidR="00DE4516" w:rsidRDefault="00DE4516">
      <w:pPr>
        <w:pStyle w:val="Heading30"/>
        <w:autoSpaceDE w:val="0"/>
        <w:autoSpaceDN w:val="0"/>
        <w:adjustRightInd w:val="0"/>
        <w:rPr>
          <w:szCs w:val="24"/>
        </w:rPr>
      </w:pPr>
      <w:r>
        <w:rPr>
          <w:szCs w:val="24"/>
        </w:rPr>
        <w:t>Transport</w:t>
      </w:r>
    </w:p>
    <w:p w14:paraId="7CBD454C" w14:textId="77777777" w:rsidR="00DE4516" w:rsidRDefault="00DE4516">
      <w:pPr>
        <w:pStyle w:val="BodyText0"/>
        <w:autoSpaceDE w:val="0"/>
        <w:autoSpaceDN w:val="0"/>
        <w:adjustRightInd w:val="0"/>
        <w:rPr>
          <w:szCs w:val="24"/>
        </w:rPr>
      </w:pPr>
      <w:r>
        <w:rPr>
          <w:szCs w:val="24"/>
        </w:rPr>
        <w:t xml:space="preserve">Transport and logistics have been identified by the Omani authorities as key priorities for economic diversification. To capitalize on that promise, public authorities are </w:t>
      </w:r>
      <w:proofErr w:type="gramStart"/>
      <w:r>
        <w:rPr>
          <w:szCs w:val="24"/>
        </w:rPr>
        <w:t>in the midst of</w:t>
      </w:r>
      <w:proofErr w:type="gramEnd"/>
      <w:r>
        <w:rPr>
          <w:szCs w:val="24"/>
        </w:rPr>
        <w:t xml:space="preserve"> a multi-billion-rial investment programme designed to expand and improve capacity across air, land, and sea.</w:t>
      </w:r>
      <w:r w:rsidRPr="00DE4516">
        <w:rPr>
          <w:rStyle w:val="FootnoteReference"/>
        </w:rPr>
        <w:footnoteReference w:id="255"/>
      </w:r>
      <w:r>
        <w:rPr>
          <w:szCs w:val="24"/>
        </w:rPr>
        <w:t xml:space="preserve"> The Government issued the Sultanate Oman Logistics Strategy (SOLS) in July 2015, which aims to transform Oman into a top 10 global logistic players by 2040; the implementation of the SOLS falls under the responsibility of the MTCIT. In this regard, according to the authorities, the MTCIT together with other government agencies took actions to implement certain trade facilitation agreements, such as the WTO Agreement on Trade Facilitation, and the Customs Convention on the International Transport of Goods under Cover of TIR Carnets. In 2016, the wholly state-owned </w:t>
      </w:r>
      <w:proofErr w:type="spellStart"/>
      <w:r>
        <w:rPr>
          <w:szCs w:val="24"/>
        </w:rPr>
        <w:t>Asyad</w:t>
      </w:r>
      <w:proofErr w:type="spellEnd"/>
      <w:r>
        <w:rPr>
          <w:szCs w:val="24"/>
        </w:rPr>
        <w:t xml:space="preserve"> Group was created to represent the state ownership of infrastructure assets, such as three deep-water ports, the dry dock, and three free zones, as well as the ownership of some transport services providers, such as bus and ferry services (</w:t>
      </w:r>
      <w:proofErr w:type="gramStart"/>
      <w:r>
        <w:rPr>
          <w:szCs w:val="24"/>
        </w:rPr>
        <w:t>e.g.</w:t>
      </w:r>
      <w:proofErr w:type="gramEnd"/>
      <w:r>
        <w:rPr>
          <w:szCs w:val="24"/>
        </w:rPr>
        <w:t> </w:t>
      </w:r>
      <w:proofErr w:type="spellStart"/>
      <w:r>
        <w:rPr>
          <w:szCs w:val="24"/>
        </w:rPr>
        <w:t>Mwasalat</w:t>
      </w:r>
      <w:proofErr w:type="spellEnd"/>
      <w:r>
        <w:rPr>
          <w:szCs w:val="24"/>
        </w:rPr>
        <w:t xml:space="preserve"> and </w:t>
      </w:r>
      <w:proofErr w:type="spellStart"/>
      <w:r>
        <w:rPr>
          <w:szCs w:val="24"/>
        </w:rPr>
        <w:t>Sinyar</w:t>
      </w:r>
      <w:proofErr w:type="spellEnd"/>
      <w:r>
        <w:rPr>
          <w:szCs w:val="24"/>
        </w:rPr>
        <w:t xml:space="preserve"> Oman).</w:t>
      </w:r>
    </w:p>
    <w:p w14:paraId="04186382" w14:textId="77777777" w:rsidR="00DE4516" w:rsidRDefault="00DE4516">
      <w:pPr>
        <w:pStyle w:val="Heading40"/>
        <w:autoSpaceDE w:val="0"/>
        <w:autoSpaceDN w:val="0"/>
        <w:adjustRightInd w:val="0"/>
        <w:rPr>
          <w:szCs w:val="24"/>
        </w:rPr>
      </w:pPr>
      <w:r>
        <w:rPr>
          <w:szCs w:val="24"/>
        </w:rPr>
        <w:t>Maritime transport</w:t>
      </w:r>
    </w:p>
    <w:p w14:paraId="36AE1F1C" w14:textId="77777777" w:rsidR="00DE4516" w:rsidRDefault="00DE4516">
      <w:pPr>
        <w:pStyle w:val="BodyText0"/>
        <w:autoSpaceDE w:val="0"/>
        <w:autoSpaceDN w:val="0"/>
        <w:adjustRightInd w:val="0"/>
        <w:rPr>
          <w:szCs w:val="24"/>
        </w:rPr>
      </w:pPr>
      <w:r>
        <w:rPr>
          <w:szCs w:val="24"/>
        </w:rPr>
        <w:t xml:space="preserve">During the review period, the legal and institutional framework for maritime transport remained unchanged. The Directorate General for Maritime Affairs, under the MTCIT, is the sectoral </w:t>
      </w:r>
      <w:r>
        <w:rPr>
          <w:szCs w:val="24"/>
        </w:rPr>
        <w:lastRenderedPageBreak/>
        <w:t>regulator. Its regulatory power covers ship and seafarer registration, licensing, marine navigation, and safety. The Maritime Law</w:t>
      </w:r>
      <w:r w:rsidRPr="00DE4516">
        <w:rPr>
          <w:rStyle w:val="FootnoteReference"/>
        </w:rPr>
        <w:footnoteReference w:id="256"/>
      </w:r>
      <w:r>
        <w:rPr>
          <w:szCs w:val="24"/>
        </w:rPr>
        <w:t xml:space="preserve"> remains the main legislation concerning maritime transport.</w:t>
      </w:r>
    </w:p>
    <w:p w14:paraId="50EC4771" w14:textId="77777777" w:rsidR="00DE4516" w:rsidRDefault="00DE4516">
      <w:pPr>
        <w:pStyle w:val="BodyText0"/>
        <w:autoSpaceDE w:val="0"/>
        <w:autoSpaceDN w:val="0"/>
        <w:adjustRightInd w:val="0"/>
        <w:rPr>
          <w:szCs w:val="24"/>
        </w:rPr>
      </w:pPr>
      <w:r>
        <w:rPr>
          <w:szCs w:val="24"/>
        </w:rPr>
        <w:t>Maritime transport accounts for more than 80% of freight in the Sultanate. Oman's flag merchant fleet remains relatively small: 53 ships with 18,000 dead weight tonnage (DWT).</w:t>
      </w:r>
      <w:r w:rsidRPr="00DE4516">
        <w:rPr>
          <w:rStyle w:val="FootnoteReference"/>
        </w:rPr>
        <w:footnoteReference w:id="257"/>
      </w:r>
      <w:r>
        <w:rPr>
          <w:szCs w:val="24"/>
        </w:rPr>
        <w:t xml:space="preserve"> The Oman Shipping Company (OSC) is a state-owned maritime transport service provider</w:t>
      </w:r>
      <w:r w:rsidRPr="00DE4516">
        <w:rPr>
          <w:rStyle w:val="FootnoteReference"/>
        </w:rPr>
        <w:footnoteReference w:id="258"/>
      </w:r>
      <w:r>
        <w:rPr>
          <w:szCs w:val="24"/>
        </w:rPr>
        <w:t>, with a fleet of 52 vessels for a total carrying capacity of over 8 million DWT. Vessels flying the Omani flag must be registered under Omani companies; there is no Omani nationality requirement for the captain and crews.</w:t>
      </w:r>
    </w:p>
    <w:p w14:paraId="137DA4D4" w14:textId="77777777" w:rsidR="00DE4516" w:rsidRDefault="00DE4516">
      <w:pPr>
        <w:pStyle w:val="BodyText0"/>
        <w:autoSpaceDE w:val="0"/>
        <w:autoSpaceDN w:val="0"/>
        <w:adjustRightInd w:val="0"/>
        <w:rPr>
          <w:szCs w:val="24"/>
        </w:rPr>
      </w:pPr>
      <w:r>
        <w:rPr>
          <w:szCs w:val="24"/>
        </w:rPr>
        <w:t>Maritime transport services may be provided by the private sector (national and foreign). There is no requirement that goods directly or indirectly imported into Oman by government agencies or public enterprises must be transported by Omani-flagged vessels on designated shipping routes where such vessels are available. Freight and passenger transport charges are market-determined. Cabotage is not allowed.</w:t>
      </w:r>
    </w:p>
    <w:p w14:paraId="56290645" w14:textId="77777777" w:rsidR="00DE4516" w:rsidRDefault="00DE4516">
      <w:pPr>
        <w:pStyle w:val="BodyText0"/>
        <w:autoSpaceDE w:val="0"/>
        <w:autoSpaceDN w:val="0"/>
        <w:adjustRightInd w:val="0"/>
        <w:rPr>
          <w:szCs w:val="24"/>
        </w:rPr>
      </w:pPr>
      <w:r>
        <w:rPr>
          <w:szCs w:val="24"/>
        </w:rPr>
        <w:t>Oman's strategic location makes it a major transhipment hub on the East-West trade route. In 2020, there were 5,407 ships calling at ports in Oman, among which 1,781 were container ships, 1,153 were liquid bulk carriers, and 990 were dry bulk carriers.</w:t>
      </w:r>
      <w:r w:rsidRPr="00DE4516">
        <w:rPr>
          <w:rStyle w:val="FootnoteReference"/>
        </w:rPr>
        <w:footnoteReference w:id="259"/>
      </w:r>
      <w:r>
        <w:rPr>
          <w:szCs w:val="24"/>
        </w:rPr>
        <w:t xml:space="preserve"> Despite the shipping industry consolidation in recent years, container transport has gradually increased – container port throughput reached 5.1 million 20-foot equivalent units (TEUs) in 2020, up from 3.3 million TEUs in 2014 (</w:t>
      </w:r>
      <w:r>
        <w:rPr>
          <w:rStyle w:val="citetbl"/>
          <w:szCs w:val="24"/>
        </w:rPr>
        <w:t>Table 4.9</w:t>
      </w:r>
      <w:r>
        <w:rPr>
          <w:szCs w:val="24"/>
        </w:rPr>
        <w:t>).</w:t>
      </w:r>
    </w:p>
    <w:p w14:paraId="7EE27A2D" w14:textId="77777777" w:rsidR="00DE4516" w:rsidRDefault="00DE4516">
      <w:pPr>
        <w:pStyle w:val="TableTitle"/>
        <w:autoSpaceDE w:val="0"/>
        <w:autoSpaceDN w:val="0"/>
        <w:adjustRightInd w:val="0"/>
      </w:pPr>
      <w:r>
        <w:t>Table 4.9 Selected indicators of maritime transport, 2014-20</w:t>
      </w:r>
    </w:p>
    <w:tbl>
      <w:tblPr>
        <w:tblStyle w:val="WTOTable1"/>
        <w:tblW w:w="5000" w:type="pct"/>
        <w:tblLook w:val="05E0" w:firstRow="1" w:lastRow="1" w:firstColumn="1" w:lastColumn="1" w:noHBand="0" w:noVBand="1"/>
      </w:tblPr>
      <w:tblGrid>
        <w:gridCol w:w="3131"/>
        <w:gridCol w:w="812"/>
        <w:gridCol w:w="811"/>
        <w:gridCol w:w="811"/>
        <w:gridCol w:w="811"/>
        <w:gridCol w:w="882"/>
        <w:gridCol w:w="882"/>
        <w:gridCol w:w="876"/>
      </w:tblGrid>
      <w:tr w:rsidR="00DE4516" w:rsidRPr="007F015E" w14:paraId="2F7ACC8C" w14:textId="77777777" w:rsidTr="00A86160">
        <w:trPr>
          <w:cnfStyle w:val="100000000000" w:firstRow="1" w:lastRow="0" w:firstColumn="0" w:lastColumn="0" w:oddVBand="0" w:evenVBand="0" w:oddHBand="0" w:evenHBand="0" w:firstRowFirstColumn="0" w:firstRowLastColumn="0" w:lastRowFirstColumn="0" w:lastRowLastColumn="0"/>
          <w:cantSplit/>
          <w:tblHeader/>
        </w:trPr>
        <w:tc>
          <w:tcPr>
            <w:tcW w:w="0" w:type="pct"/>
            <w:tcBorders>
              <w:top w:val="single" w:sz="4" w:space="0" w:color="auto"/>
            </w:tcBorders>
            <w:noWrap/>
            <w:hideMark/>
          </w:tcPr>
          <w:p w14:paraId="38D8E962" w14:textId="77777777" w:rsidR="00DE4516" w:rsidRPr="007F015E" w:rsidRDefault="00DE4516" w:rsidP="00DE4516">
            <w:pPr>
              <w:pStyle w:val="TableHead"/>
              <w:autoSpaceDE w:val="0"/>
              <w:autoSpaceDN w:val="0"/>
              <w:adjustRightInd w:val="0"/>
              <w:rPr>
                <w:b/>
              </w:rPr>
            </w:pPr>
          </w:p>
        </w:tc>
        <w:tc>
          <w:tcPr>
            <w:tcW w:w="0" w:type="pct"/>
            <w:tcBorders>
              <w:top w:val="single" w:sz="4" w:space="0" w:color="auto"/>
            </w:tcBorders>
            <w:noWrap/>
            <w:hideMark/>
          </w:tcPr>
          <w:p w14:paraId="747E1FAD"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2014</w:t>
            </w:r>
          </w:p>
        </w:tc>
        <w:tc>
          <w:tcPr>
            <w:tcW w:w="0" w:type="pct"/>
            <w:tcBorders>
              <w:top w:val="single" w:sz="4" w:space="0" w:color="auto"/>
            </w:tcBorders>
            <w:noWrap/>
            <w:hideMark/>
          </w:tcPr>
          <w:p w14:paraId="25923034"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2015</w:t>
            </w:r>
          </w:p>
        </w:tc>
        <w:tc>
          <w:tcPr>
            <w:tcW w:w="0" w:type="pct"/>
            <w:tcBorders>
              <w:top w:val="single" w:sz="4" w:space="0" w:color="auto"/>
            </w:tcBorders>
            <w:noWrap/>
            <w:hideMark/>
          </w:tcPr>
          <w:p w14:paraId="744FF435"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2016</w:t>
            </w:r>
          </w:p>
        </w:tc>
        <w:tc>
          <w:tcPr>
            <w:tcW w:w="0" w:type="pct"/>
            <w:tcBorders>
              <w:top w:val="single" w:sz="4" w:space="0" w:color="auto"/>
            </w:tcBorders>
            <w:noWrap/>
            <w:hideMark/>
          </w:tcPr>
          <w:p w14:paraId="3A5893BC"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2017</w:t>
            </w:r>
          </w:p>
        </w:tc>
        <w:tc>
          <w:tcPr>
            <w:tcW w:w="0" w:type="pct"/>
            <w:tcBorders>
              <w:top w:val="single" w:sz="4" w:space="0" w:color="auto"/>
            </w:tcBorders>
            <w:noWrap/>
            <w:hideMark/>
          </w:tcPr>
          <w:p w14:paraId="73285E26"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2018</w:t>
            </w:r>
          </w:p>
        </w:tc>
        <w:tc>
          <w:tcPr>
            <w:tcW w:w="0" w:type="pct"/>
            <w:tcBorders>
              <w:top w:val="single" w:sz="4" w:space="0" w:color="auto"/>
            </w:tcBorders>
            <w:noWrap/>
            <w:hideMark/>
          </w:tcPr>
          <w:p w14:paraId="6EB0C340"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2019</w:t>
            </w:r>
          </w:p>
        </w:tc>
        <w:tc>
          <w:tcPr>
            <w:tcW w:w="0" w:type="pct"/>
            <w:tcBorders>
              <w:top w:val="single" w:sz="4" w:space="0" w:color="auto"/>
            </w:tcBorders>
            <w:noWrap/>
            <w:hideMark/>
          </w:tcPr>
          <w:p w14:paraId="0E3F5A60"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2020</w:t>
            </w:r>
          </w:p>
        </w:tc>
      </w:tr>
      <w:tr w:rsidR="00DE4516" w:rsidRPr="00A260F0" w14:paraId="40D85E18" w14:textId="77777777" w:rsidTr="00A86160">
        <w:trPr>
          <w:cantSplit/>
        </w:trPr>
        <w:tc>
          <w:tcPr>
            <w:tcW w:w="1736" w:type="pct"/>
            <w:noWrap/>
            <w:vAlign w:val="center"/>
            <w:hideMark/>
          </w:tcPr>
          <w:p w14:paraId="1505EF21" w14:textId="77777777" w:rsidR="00DE4516" w:rsidRDefault="00DE4516" w:rsidP="00DE4516">
            <w:pPr>
              <w:pStyle w:val="TableBody"/>
              <w:autoSpaceDE w:val="0"/>
              <w:autoSpaceDN w:val="0"/>
              <w:adjustRightInd w:val="0"/>
            </w:pPr>
            <w:r>
              <w:rPr>
                <w:b/>
              </w:rPr>
              <w:t>Container port throughput</w:t>
            </w:r>
          </w:p>
          <w:p w14:paraId="1FB3776B"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w:t>
            </w:r>
            <w:proofErr w:type="gramStart"/>
            <w:r w:rsidRPr="00A46ADC">
              <w:rPr>
                <w:b/>
              </w:rPr>
              <w:t>million</w:t>
            </w:r>
            <w:proofErr w:type="gramEnd"/>
            <w:r w:rsidRPr="00A46ADC">
              <w:rPr>
                <w:b/>
              </w:rPr>
              <w:t xml:space="preserve"> TEUs)</w:t>
            </w:r>
          </w:p>
        </w:tc>
        <w:tc>
          <w:tcPr>
            <w:tcW w:w="450" w:type="pct"/>
            <w:noWrap/>
            <w:vAlign w:val="center"/>
            <w:hideMark/>
          </w:tcPr>
          <w:p w14:paraId="42F900B7"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3.33</w:t>
            </w:r>
          </w:p>
        </w:tc>
        <w:tc>
          <w:tcPr>
            <w:tcW w:w="450" w:type="pct"/>
            <w:noWrap/>
            <w:vAlign w:val="center"/>
            <w:hideMark/>
          </w:tcPr>
          <w:p w14:paraId="659D32D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3.14</w:t>
            </w:r>
          </w:p>
        </w:tc>
        <w:tc>
          <w:tcPr>
            <w:tcW w:w="450" w:type="pct"/>
            <w:noWrap/>
            <w:vAlign w:val="center"/>
            <w:hideMark/>
          </w:tcPr>
          <w:p w14:paraId="5AB42B1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3.94</w:t>
            </w:r>
          </w:p>
        </w:tc>
        <w:tc>
          <w:tcPr>
            <w:tcW w:w="450" w:type="pct"/>
            <w:noWrap/>
            <w:vAlign w:val="center"/>
            <w:hideMark/>
          </w:tcPr>
          <w:p w14:paraId="4CE5C1AF"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4.78</w:t>
            </w:r>
          </w:p>
        </w:tc>
        <w:tc>
          <w:tcPr>
            <w:tcW w:w="489" w:type="pct"/>
            <w:noWrap/>
            <w:vAlign w:val="center"/>
            <w:hideMark/>
          </w:tcPr>
          <w:p w14:paraId="2544367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4.22</w:t>
            </w:r>
          </w:p>
        </w:tc>
        <w:tc>
          <w:tcPr>
            <w:tcW w:w="489" w:type="pct"/>
            <w:noWrap/>
            <w:vAlign w:val="center"/>
            <w:hideMark/>
          </w:tcPr>
          <w:p w14:paraId="44EAF9B4"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4.84</w:t>
            </w:r>
          </w:p>
        </w:tc>
        <w:tc>
          <w:tcPr>
            <w:tcW w:w="486" w:type="pct"/>
            <w:noWrap/>
            <w:vAlign w:val="center"/>
            <w:hideMark/>
          </w:tcPr>
          <w:p w14:paraId="057A533F"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5.14</w:t>
            </w:r>
          </w:p>
        </w:tc>
      </w:tr>
      <w:tr w:rsidR="00DE4516" w:rsidRPr="00A260F0" w14:paraId="40DF07F0"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736" w:type="pct"/>
            <w:noWrap/>
            <w:vAlign w:val="center"/>
            <w:hideMark/>
          </w:tcPr>
          <w:p w14:paraId="479EA020" w14:textId="77777777" w:rsidR="00DE4516" w:rsidRPr="00A46ADC" w:rsidRDefault="00DE4516" w:rsidP="00DE4516">
            <w:pPr>
              <w:pStyle w:val="TableBody"/>
              <w:autoSpaceDE w:val="0"/>
              <w:autoSpaceDN w:val="0"/>
              <w:adjustRightInd w:val="0"/>
              <w:rPr>
                <w:rFonts w:cs="Calibri"/>
                <w:b/>
                <w:bCs/>
                <w:color w:val="000000"/>
                <w:szCs w:val="16"/>
              </w:rPr>
            </w:pPr>
            <w:r w:rsidRPr="00A46ADC">
              <w:rPr>
                <w:b/>
              </w:rPr>
              <w:t>No. of port calls</w:t>
            </w:r>
          </w:p>
        </w:tc>
        <w:tc>
          <w:tcPr>
            <w:tcW w:w="450" w:type="pct"/>
            <w:noWrap/>
            <w:vAlign w:val="center"/>
          </w:tcPr>
          <w:p w14:paraId="2B71CA9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8,440</w:t>
            </w:r>
          </w:p>
        </w:tc>
        <w:tc>
          <w:tcPr>
            <w:tcW w:w="450" w:type="pct"/>
            <w:noWrap/>
            <w:vAlign w:val="center"/>
          </w:tcPr>
          <w:p w14:paraId="4774AF1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7,409</w:t>
            </w:r>
          </w:p>
        </w:tc>
        <w:tc>
          <w:tcPr>
            <w:tcW w:w="450" w:type="pct"/>
            <w:noWrap/>
            <w:vAlign w:val="center"/>
          </w:tcPr>
          <w:p w14:paraId="626E92DF"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9,768</w:t>
            </w:r>
          </w:p>
        </w:tc>
        <w:tc>
          <w:tcPr>
            <w:tcW w:w="450" w:type="pct"/>
            <w:noWrap/>
            <w:vAlign w:val="center"/>
          </w:tcPr>
          <w:p w14:paraId="47055CB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8,227</w:t>
            </w:r>
          </w:p>
        </w:tc>
        <w:tc>
          <w:tcPr>
            <w:tcW w:w="489" w:type="pct"/>
            <w:noWrap/>
            <w:vAlign w:val="center"/>
            <w:hideMark/>
          </w:tcPr>
          <w:p w14:paraId="33C29AF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5,256</w:t>
            </w:r>
          </w:p>
        </w:tc>
        <w:tc>
          <w:tcPr>
            <w:tcW w:w="489" w:type="pct"/>
            <w:noWrap/>
            <w:vAlign w:val="center"/>
            <w:hideMark/>
          </w:tcPr>
          <w:p w14:paraId="4BBEEDCF"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5,425</w:t>
            </w:r>
          </w:p>
        </w:tc>
        <w:tc>
          <w:tcPr>
            <w:tcW w:w="486" w:type="pct"/>
            <w:noWrap/>
            <w:vAlign w:val="center"/>
            <w:hideMark/>
          </w:tcPr>
          <w:p w14:paraId="76B60B5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5,407</w:t>
            </w:r>
          </w:p>
        </w:tc>
      </w:tr>
      <w:tr w:rsidR="00DE4516" w:rsidRPr="00A260F0" w14:paraId="26FA099F" w14:textId="77777777" w:rsidTr="00A86160">
        <w:trPr>
          <w:cantSplit/>
        </w:trPr>
        <w:tc>
          <w:tcPr>
            <w:tcW w:w="1736" w:type="pct"/>
            <w:noWrap/>
            <w:vAlign w:val="center"/>
            <w:hideMark/>
          </w:tcPr>
          <w:p w14:paraId="47406684" w14:textId="77777777" w:rsidR="00DE4516" w:rsidRPr="00A46ADC" w:rsidRDefault="00DE4516" w:rsidP="00DE4516">
            <w:pPr>
              <w:pStyle w:val="TableBody"/>
              <w:autoSpaceDE w:val="0"/>
              <w:autoSpaceDN w:val="0"/>
              <w:adjustRightInd w:val="0"/>
              <w:jc w:val="both"/>
              <w:rPr>
                <w:rFonts w:cs="Calibri"/>
                <w:color w:val="000000"/>
                <w:szCs w:val="16"/>
              </w:rPr>
            </w:pPr>
            <w:r w:rsidRPr="00A46ADC">
              <w:t>Container ships</w:t>
            </w:r>
          </w:p>
        </w:tc>
        <w:tc>
          <w:tcPr>
            <w:tcW w:w="450" w:type="pct"/>
            <w:noWrap/>
            <w:vAlign w:val="center"/>
          </w:tcPr>
          <w:p w14:paraId="0CA9B81D" w14:textId="77777777" w:rsidR="00DE4516" w:rsidRPr="00A46ADC" w:rsidRDefault="00DE4516" w:rsidP="00DE4516">
            <w:pPr>
              <w:pStyle w:val="TableBody"/>
              <w:autoSpaceDE w:val="0"/>
              <w:autoSpaceDN w:val="0"/>
              <w:adjustRightInd w:val="0"/>
              <w:jc w:val="right"/>
              <w:rPr>
                <w:rFonts w:cs="Calibri"/>
                <w:color w:val="000000"/>
                <w:szCs w:val="16"/>
              </w:rPr>
            </w:pPr>
            <w:r w:rsidRPr="00A46ADC">
              <w:t>1,873</w:t>
            </w:r>
          </w:p>
        </w:tc>
        <w:tc>
          <w:tcPr>
            <w:tcW w:w="450" w:type="pct"/>
            <w:noWrap/>
            <w:vAlign w:val="center"/>
          </w:tcPr>
          <w:p w14:paraId="6608E210" w14:textId="77777777" w:rsidR="00DE4516" w:rsidRPr="00A46ADC" w:rsidRDefault="00DE4516" w:rsidP="00DE4516">
            <w:pPr>
              <w:pStyle w:val="TableBody"/>
              <w:autoSpaceDE w:val="0"/>
              <w:autoSpaceDN w:val="0"/>
              <w:adjustRightInd w:val="0"/>
              <w:jc w:val="right"/>
              <w:rPr>
                <w:rFonts w:cs="Calibri"/>
                <w:color w:val="000000"/>
                <w:szCs w:val="16"/>
              </w:rPr>
            </w:pPr>
            <w:r w:rsidRPr="00A46ADC">
              <w:t>1,786</w:t>
            </w:r>
          </w:p>
        </w:tc>
        <w:tc>
          <w:tcPr>
            <w:tcW w:w="450" w:type="pct"/>
            <w:noWrap/>
            <w:vAlign w:val="center"/>
          </w:tcPr>
          <w:p w14:paraId="7DD55C1F" w14:textId="77777777" w:rsidR="00DE4516" w:rsidRPr="00A46ADC" w:rsidRDefault="00DE4516" w:rsidP="00DE4516">
            <w:pPr>
              <w:pStyle w:val="TableBody"/>
              <w:autoSpaceDE w:val="0"/>
              <w:autoSpaceDN w:val="0"/>
              <w:adjustRightInd w:val="0"/>
              <w:jc w:val="right"/>
              <w:rPr>
                <w:rFonts w:cs="Calibri"/>
                <w:color w:val="000000"/>
                <w:szCs w:val="16"/>
              </w:rPr>
            </w:pPr>
            <w:r w:rsidRPr="00A46ADC">
              <w:t>1,997</w:t>
            </w:r>
          </w:p>
        </w:tc>
        <w:tc>
          <w:tcPr>
            <w:tcW w:w="450" w:type="pct"/>
            <w:noWrap/>
            <w:vAlign w:val="center"/>
          </w:tcPr>
          <w:p w14:paraId="7D3C0912" w14:textId="77777777" w:rsidR="00DE4516" w:rsidRPr="00A46ADC" w:rsidRDefault="00DE4516" w:rsidP="00DE4516">
            <w:pPr>
              <w:pStyle w:val="TableBody"/>
              <w:autoSpaceDE w:val="0"/>
              <w:autoSpaceDN w:val="0"/>
              <w:adjustRightInd w:val="0"/>
              <w:jc w:val="right"/>
              <w:rPr>
                <w:rFonts w:cs="Calibri"/>
                <w:color w:val="000000"/>
                <w:szCs w:val="16"/>
              </w:rPr>
            </w:pPr>
            <w:r w:rsidRPr="00A46ADC">
              <w:t>2,054</w:t>
            </w:r>
          </w:p>
        </w:tc>
        <w:tc>
          <w:tcPr>
            <w:tcW w:w="489" w:type="pct"/>
            <w:noWrap/>
            <w:vAlign w:val="center"/>
            <w:hideMark/>
          </w:tcPr>
          <w:p w14:paraId="0334E277" w14:textId="77777777" w:rsidR="00DE4516" w:rsidRPr="00A46ADC" w:rsidRDefault="00DE4516" w:rsidP="00DE4516">
            <w:pPr>
              <w:pStyle w:val="TableBody"/>
              <w:autoSpaceDE w:val="0"/>
              <w:autoSpaceDN w:val="0"/>
              <w:adjustRightInd w:val="0"/>
              <w:jc w:val="right"/>
              <w:rPr>
                <w:rFonts w:cs="Calibri"/>
                <w:color w:val="000000"/>
                <w:szCs w:val="16"/>
              </w:rPr>
            </w:pPr>
            <w:r w:rsidRPr="00A46ADC">
              <w:t>1,570</w:t>
            </w:r>
          </w:p>
        </w:tc>
        <w:tc>
          <w:tcPr>
            <w:tcW w:w="489" w:type="pct"/>
            <w:noWrap/>
            <w:vAlign w:val="center"/>
            <w:hideMark/>
          </w:tcPr>
          <w:p w14:paraId="1EE0AA80" w14:textId="77777777" w:rsidR="00DE4516" w:rsidRPr="00A46ADC" w:rsidRDefault="00DE4516" w:rsidP="00DE4516">
            <w:pPr>
              <w:pStyle w:val="TableBody"/>
              <w:autoSpaceDE w:val="0"/>
              <w:autoSpaceDN w:val="0"/>
              <w:adjustRightInd w:val="0"/>
              <w:jc w:val="right"/>
              <w:rPr>
                <w:rFonts w:cs="Calibri"/>
                <w:color w:val="000000"/>
                <w:szCs w:val="16"/>
              </w:rPr>
            </w:pPr>
            <w:r w:rsidRPr="00A46ADC">
              <w:t>1,709</w:t>
            </w:r>
          </w:p>
        </w:tc>
        <w:tc>
          <w:tcPr>
            <w:tcW w:w="486" w:type="pct"/>
            <w:noWrap/>
            <w:vAlign w:val="center"/>
            <w:hideMark/>
          </w:tcPr>
          <w:p w14:paraId="2BF9BDFB" w14:textId="77777777" w:rsidR="00DE4516" w:rsidRPr="00A46ADC" w:rsidRDefault="00DE4516" w:rsidP="00DE4516">
            <w:pPr>
              <w:pStyle w:val="TableBody"/>
              <w:autoSpaceDE w:val="0"/>
              <w:autoSpaceDN w:val="0"/>
              <w:adjustRightInd w:val="0"/>
              <w:jc w:val="right"/>
              <w:rPr>
                <w:rFonts w:cs="Calibri"/>
                <w:color w:val="000000"/>
                <w:szCs w:val="16"/>
              </w:rPr>
            </w:pPr>
            <w:r w:rsidRPr="00A46ADC">
              <w:t>1,781</w:t>
            </w:r>
          </w:p>
        </w:tc>
      </w:tr>
      <w:tr w:rsidR="00DE4516" w:rsidRPr="00A260F0" w14:paraId="159A05AA"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736" w:type="pct"/>
            <w:noWrap/>
            <w:vAlign w:val="center"/>
            <w:hideMark/>
          </w:tcPr>
          <w:p w14:paraId="614FDE85" w14:textId="77777777" w:rsidR="00DE4516" w:rsidRPr="00A46ADC" w:rsidRDefault="00DE4516" w:rsidP="00DE4516">
            <w:pPr>
              <w:pStyle w:val="TableBody"/>
              <w:autoSpaceDE w:val="0"/>
              <w:autoSpaceDN w:val="0"/>
              <w:adjustRightInd w:val="0"/>
              <w:jc w:val="both"/>
              <w:rPr>
                <w:rFonts w:cs="Calibri"/>
                <w:color w:val="000000"/>
                <w:szCs w:val="16"/>
              </w:rPr>
            </w:pPr>
            <w:r w:rsidRPr="00A46ADC">
              <w:t>Liquid bulk ships</w:t>
            </w:r>
          </w:p>
        </w:tc>
        <w:tc>
          <w:tcPr>
            <w:tcW w:w="450" w:type="pct"/>
            <w:noWrap/>
            <w:vAlign w:val="center"/>
            <w:hideMark/>
          </w:tcPr>
          <w:p w14:paraId="50187247"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54E4DF17"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6B4F5244"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5D13DD88"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89" w:type="pct"/>
            <w:noWrap/>
            <w:vAlign w:val="center"/>
            <w:hideMark/>
          </w:tcPr>
          <w:p w14:paraId="5E269AB9" w14:textId="77777777" w:rsidR="00DE4516" w:rsidRPr="00A46ADC" w:rsidRDefault="00DE4516" w:rsidP="00DE4516">
            <w:pPr>
              <w:pStyle w:val="TableBody"/>
              <w:autoSpaceDE w:val="0"/>
              <w:autoSpaceDN w:val="0"/>
              <w:adjustRightInd w:val="0"/>
              <w:jc w:val="right"/>
              <w:rPr>
                <w:rFonts w:cs="Calibri"/>
                <w:color w:val="000000"/>
                <w:szCs w:val="16"/>
              </w:rPr>
            </w:pPr>
            <w:r w:rsidRPr="00A46ADC">
              <w:t>1,267</w:t>
            </w:r>
          </w:p>
        </w:tc>
        <w:tc>
          <w:tcPr>
            <w:tcW w:w="489" w:type="pct"/>
            <w:noWrap/>
            <w:vAlign w:val="center"/>
            <w:hideMark/>
          </w:tcPr>
          <w:p w14:paraId="0A0A8FC4" w14:textId="77777777" w:rsidR="00DE4516" w:rsidRPr="00A46ADC" w:rsidRDefault="00DE4516" w:rsidP="00DE4516">
            <w:pPr>
              <w:pStyle w:val="TableBody"/>
              <w:autoSpaceDE w:val="0"/>
              <w:autoSpaceDN w:val="0"/>
              <w:adjustRightInd w:val="0"/>
              <w:jc w:val="right"/>
              <w:rPr>
                <w:rFonts w:cs="Calibri"/>
                <w:color w:val="000000"/>
                <w:szCs w:val="16"/>
              </w:rPr>
            </w:pPr>
            <w:r w:rsidRPr="00A46ADC">
              <w:t>1,191</w:t>
            </w:r>
          </w:p>
        </w:tc>
        <w:tc>
          <w:tcPr>
            <w:tcW w:w="486" w:type="pct"/>
            <w:noWrap/>
            <w:vAlign w:val="center"/>
            <w:hideMark/>
          </w:tcPr>
          <w:p w14:paraId="5239FC89" w14:textId="77777777" w:rsidR="00DE4516" w:rsidRPr="00A46ADC" w:rsidRDefault="00DE4516" w:rsidP="00DE4516">
            <w:pPr>
              <w:pStyle w:val="TableBody"/>
              <w:autoSpaceDE w:val="0"/>
              <w:autoSpaceDN w:val="0"/>
              <w:adjustRightInd w:val="0"/>
              <w:jc w:val="right"/>
              <w:rPr>
                <w:rFonts w:cs="Calibri"/>
                <w:color w:val="000000"/>
                <w:szCs w:val="16"/>
              </w:rPr>
            </w:pPr>
            <w:r w:rsidRPr="00A46ADC">
              <w:t>1,153</w:t>
            </w:r>
          </w:p>
        </w:tc>
      </w:tr>
      <w:tr w:rsidR="00DE4516" w:rsidRPr="00A260F0" w14:paraId="3CAE3E53" w14:textId="77777777" w:rsidTr="00A86160">
        <w:trPr>
          <w:cantSplit/>
        </w:trPr>
        <w:tc>
          <w:tcPr>
            <w:tcW w:w="1736" w:type="pct"/>
            <w:noWrap/>
            <w:vAlign w:val="center"/>
            <w:hideMark/>
          </w:tcPr>
          <w:p w14:paraId="50D801D4" w14:textId="77777777" w:rsidR="00DE4516" w:rsidRPr="00A46ADC" w:rsidRDefault="00DE4516" w:rsidP="00DE4516">
            <w:pPr>
              <w:pStyle w:val="TableBody"/>
              <w:autoSpaceDE w:val="0"/>
              <w:autoSpaceDN w:val="0"/>
              <w:adjustRightInd w:val="0"/>
              <w:jc w:val="both"/>
              <w:rPr>
                <w:rFonts w:cs="Calibri"/>
                <w:color w:val="000000"/>
                <w:szCs w:val="16"/>
              </w:rPr>
            </w:pPr>
            <w:r w:rsidRPr="00A46ADC">
              <w:t>Dry bulk ships</w:t>
            </w:r>
          </w:p>
        </w:tc>
        <w:tc>
          <w:tcPr>
            <w:tcW w:w="450" w:type="pct"/>
            <w:noWrap/>
            <w:hideMark/>
          </w:tcPr>
          <w:p w14:paraId="09CB0F44"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4E1550BC"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22C71C82"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4B9D6365"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89" w:type="pct"/>
            <w:noWrap/>
            <w:vAlign w:val="center"/>
            <w:hideMark/>
          </w:tcPr>
          <w:p w14:paraId="6FFAEE0F" w14:textId="77777777" w:rsidR="00DE4516" w:rsidRPr="00A46ADC" w:rsidRDefault="00DE4516" w:rsidP="00DE4516">
            <w:pPr>
              <w:pStyle w:val="TableBody"/>
              <w:autoSpaceDE w:val="0"/>
              <w:autoSpaceDN w:val="0"/>
              <w:adjustRightInd w:val="0"/>
              <w:jc w:val="right"/>
              <w:rPr>
                <w:rFonts w:cs="Calibri"/>
                <w:color w:val="000000"/>
                <w:szCs w:val="16"/>
              </w:rPr>
            </w:pPr>
            <w:r w:rsidRPr="00A46ADC">
              <w:t>918</w:t>
            </w:r>
          </w:p>
        </w:tc>
        <w:tc>
          <w:tcPr>
            <w:tcW w:w="489" w:type="pct"/>
            <w:noWrap/>
            <w:vAlign w:val="center"/>
            <w:hideMark/>
          </w:tcPr>
          <w:p w14:paraId="088BA386" w14:textId="77777777" w:rsidR="00DE4516" w:rsidRPr="00A46ADC" w:rsidRDefault="00DE4516" w:rsidP="00DE4516">
            <w:pPr>
              <w:pStyle w:val="TableBody"/>
              <w:autoSpaceDE w:val="0"/>
              <w:autoSpaceDN w:val="0"/>
              <w:adjustRightInd w:val="0"/>
              <w:jc w:val="right"/>
              <w:rPr>
                <w:rFonts w:cs="Calibri"/>
                <w:color w:val="000000"/>
                <w:szCs w:val="16"/>
              </w:rPr>
            </w:pPr>
            <w:r w:rsidRPr="00A46ADC">
              <w:t>990</w:t>
            </w:r>
          </w:p>
        </w:tc>
        <w:tc>
          <w:tcPr>
            <w:tcW w:w="486" w:type="pct"/>
            <w:noWrap/>
            <w:vAlign w:val="center"/>
            <w:hideMark/>
          </w:tcPr>
          <w:p w14:paraId="700CF8B6" w14:textId="77777777" w:rsidR="00DE4516" w:rsidRPr="00A46ADC" w:rsidRDefault="00DE4516" w:rsidP="00DE4516">
            <w:pPr>
              <w:pStyle w:val="TableBody"/>
              <w:autoSpaceDE w:val="0"/>
              <w:autoSpaceDN w:val="0"/>
              <w:adjustRightInd w:val="0"/>
              <w:jc w:val="right"/>
              <w:rPr>
                <w:rFonts w:cs="Calibri"/>
                <w:color w:val="000000"/>
                <w:szCs w:val="16"/>
              </w:rPr>
            </w:pPr>
            <w:r w:rsidRPr="00A46ADC">
              <w:t>990</w:t>
            </w:r>
          </w:p>
        </w:tc>
      </w:tr>
      <w:tr w:rsidR="00DE4516" w:rsidRPr="00A260F0" w14:paraId="14AB03B8"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736" w:type="pct"/>
            <w:noWrap/>
            <w:vAlign w:val="center"/>
            <w:hideMark/>
          </w:tcPr>
          <w:p w14:paraId="0399D8B0"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Median time in port (day)</w:t>
            </w:r>
          </w:p>
        </w:tc>
        <w:tc>
          <w:tcPr>
            <w:tcW w:w="450" w:type="pct"/>
            <w:noWrap/>
            <w:hideMark/>
          </w:tcPr>
          <w:p w14:paraId="401A85F2"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54915C9F"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679B1314"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4337E5DE"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89" w:type="pct"/>
            <w:noWrap/>
            <w:vAlign w:val="center"/>
            <w:hideMark/>
          </w:tcPr>
          <w:p w14:paraId="527A5C4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1.24</w:t>
            </w:r>
          </w:p>
        </w:tc>
        <w:tc>
          <w:tcPr>
            <w:tcW w:w="489" w:type="pct"/>
            <w:noWrap/>
            <w:vAlign w:val="center"/>
            <w:hideMark/>
          </w:tcPr>
          <w:p w14:paraId="3B33C9F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1.11</w:t>
            </w:r>
          </w:p>
        </w:tc>
        <w:tc>
          <w:tcPr>
            <w:tcW w:w="486" w:type="pct"/>
            <w:noWrap/>
            <w:vAlign w:val="center"/>
            <w:hideMark/>
          </w:tcPr>
          <w:p w14:paraId="4CD7FA5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1.13</w:t>
            </w:r>
          </w:p>
        </w:tc>
      </w:tr>
      <w:tr w:rsidR="00DE4516" w:rsidRPr="00A260F0" w14:paraId="1426999B" w14:textId="77777777" w:rsidTr="00A86160">
        <w:trPr>
          <w:cantSplit/>
        </w:trPr>
        <w:tc>
          <w:tcPr>
            <w:tcW w:w="1736" w:type="pct"/>
            <w:noWrap/>
            <w:vAlign w:val="center"/>
            <w:hideMark/>
          </w:tcPr>
          <w:p w14:paraId="7FBA5AD8" w14:textId="77777777" w:rsidR="00DE4516" w:rsidRPr="00A46ADC" w:rsidRDefault="00DE4516" w:rsidP="00DE4516">
            <w:pPr>
              <w:pStyle w:val="TableBody"/>
              <w:autoSpaceDE w:val="0"/>
              <w:autoSpaceDN w:val="0"/>
              <w:adjustRightInd w:val="0"/>
              <w:jc w:val="both"/>
              <w:rPr>
                <w:rFonts w:cs="Calibri"/>
                <w:color w:val="000000"/>
                <w:szCs w:val="16"/>
              </w:rPr>
            </w:pPr>
            <w:r w:rsidRPr="00A46ADC">
              <w:t>Container ships</w:t>
            </w:r>
          </w:p>
        </w:tc>
        <w:tc>
          <w:tcPr>
            <w:tcW w:w="450" w:type="pct"/>
            <w:noWrap/>
            <w:hideMark/>
          </w:tcPr>
          <w:p w14:paraId="2B3C08BB"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3927B5F1"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437BA762"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79D1235B"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89" w:type="pct"/>
            <w:noWrap/>
            <w:vAlign w:val="center"/>
            <w:hideMark/>
          </w:tcPr>
          <w:p w14:paraId="67464235" w14:textId="77777777" w:rsidR="00DE4516" w:rsidRPr="00A46ADC" w:rsidRDefault="00DE4516" w:rsidP="00DE4516">
            <w:pPr>
              <w:pStyle w:val="TableBody"/>
              <w:autoSpaceDE w:val="0"/>
              <w:autoSpaceDN w:val="0"/>
              <w:adjustRightInd w:val="0"/>
              <w:jc w:val="right"/>
              <w:rPr>
                <w:rFonts w:cs="Calibri"/>
                <w:color w:val="000000"/>
                <w:szCs w:val="16"/>
              </w:rPr>
            </w:pPr>
            <w:r w:rsidRPr="00A46ADC">
              <w:t>0.76</w:t>
            </w:r>
          </w:p>
        </w:tc>
        <w:tc>
          <w:tcPr>
            <w:tcW w:w="489" w:type="pct"/>
            <w:noWrap/>
            <w:vAlign w:val="center"/>
            <w:hideMark/>
          </w:tcPr>
          <w:p w14:paraId="0D66D7AE" w14:textId="77777777" w:rsidR="00DE4516" w:rsidRPr="00A46ADC" w:rsidRDefault="00DE4516" w:rsidP="00DE4516">
            <w:pPr>
              <w:pStyle w:val="TableBody"/>
              <w:autoSpaceDE w:val="0"/>
              <w:autoSpaceDN w:val="0"/>
              <w:adjustRightInd w:val="0"/>
              <w:jc w:val="right"/>
              <w:rPr>
                <w:rFonts w:cs="Calibri"/>
                <w:color w:val="000000"/>
                <w:szCs w:val="16"/>
              </w:rPr>
            </w:pPr>
            <w:r w:rsidRPr="00A46ADC">
              <w:t>0.73</w:t>
            </w:r>
          </w:p>
        </w:tc>
        <w:tc>
          <w:tcPr>
            <w:tcW w:w="486" w:type="pct"/>
            <w:noWrap/>
            <w:vAlign w:val="center"/>
            <w:hideMark/>
          </w:tcPr>
          <w:p w14:paraId="3D6CDB51" w14:textId="77777777" w:rsidR="00DE4516" w:rsidRPr="00A46ADC" w:rsidRDefault="00DE4516" w:rsidP="00DE4516">
            <w:pPr>
              <w:pStyle w:val="TableBody"/>
              <w:autoSpaceDE w:val="0"/>
              <w:autoSpaceDN w:val="0"/>
              <w:adjustRightInd w:val="0"/>
              <w:jc w:val="right"/>
              <w:rPr>
                <w:rFonts w:cs="Calibri"/>
                <w:color w:val="000000"/>
                <w:szCs w:val="16"/>
              </w:rPr>
            </w:pPr>
            <w:r w:rsidRPr="00A46ADC">
              <w:t>0.73</w:t>
            </w:r>
          </w:p>
        </w:tc>
      </w:tr>
      <w:tr w:rsidR="00DE4516" w:rsidRPr="00A260F0" w14:paraId="3B9A35DF"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736" w:type="pct"/>
            <w:noWrap/>
            <w:vAlign w:val="center"/>
            <w:hideMark/>
          </w:tcPr>
          <w:p w14:paraId="27DF875B" w14:textId="77777777" w:rsidR="00DE4516" w:rsidRPr="00A46ADC" w:rsidRDefault="00DE4516" w:rsidP="00DE4516">
            <w:pPr>
              <w:pStyle w:val="TableBody"/>
              <w:autoSpaceDE w:val="0"/>
              <w:autoSpaceDN w:val="0"/>
              <w:adjustRightInd w:val="0"/>
              <w:jc w:val="both"/>
              <w:rPr>
                <w:rFonts w:cs="Calibri"/>
                <w:color w:val="000000"/>
                <w:szCs w:val="16"/>
              </w:rPr>
            </w:pPr>
            <w:r w:rsidRPr="00A46ADC">
              <w:t>Liquid bulk ships</w:t>
            </w:r>
          </w:p>
        </w:tc>
        <w:tc>
          <w:tcPr>
            <w:tcW w:w="450" w:type="pct"/>
            <w:noWrap/>
            <w:hideMark/>
          </w:tcPr>
          <w:p w14:paraId="455882CD"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6F9EDD05"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3C91EDE5"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noWrap/>
            <w:hideMark/>
          </w:tcPr>
          <w:p w14:paraId="45604561"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89" w:type="pct"/>
            <w:noWrap/>
            <w:vAlign w:val="center"/>
            <w:hideMark/>
          </w:tcPr>
          <w:p w14:paraId="19527641" w14:textId="77777777" w:rsidR="00DE4516" w:rsidRPr="00A46ADC" w:rsidRDefault="00DE4516" w:rsidP="00DE4516">
            <w:pPr>
              <w:pStyle w:val="TableBody"/>
              <w:autoSpaceDE w:val="0"/>
              <w:autoSpaceDN w:val="0"/>
              <w:adjustRightInd w:val="0"/>
              <w:jc w:val="right"/>
              <w:rPr>
                <w:rFonts w:cs="Calibri"/>
                <w:color w:val="000000"/>
                <w:szCs w:val="16"/>
              </w:rPr>
            </w:pPr>
            <w:r w:rsidRPr="00A46ADC">
              <w:t>1.71</w:t>
            </w:r>
          </w:p>
        </w:tc>
        <w:tc>
          <w:tcPr>
            <w:tcW w:w="489" w:type="pct"/>
            <w:noWrap/>
            <w:vAlign w:val="center"/>
            <w:hideMark/>
          </w:tcPr>
          <w:p w14:paraId="0B8F5131" w14:textId="77777777" w:rsidR="00DE4516" w:rsidRPr="00A46ADC" w:rsidRDefault="00DE4516" w:rsidP="00DE4516">
            <w:pPr>
              <w:pStyle w:val="TableBody"/>
              <w:autoSpaceDE w:val="0"/>
              <w:autoSpaceDN w:val="0"/>
              <w:adjustRightInd w:val="0"/>
              <w:jc w:val="right"/>
              <w:rPr>
                <w:rFonts w:cs="Calibri"/>
                <w:color w:val="000000"/>
                <w:szCs w:val="16"/>
              </w:rPr>
            </w:pPr>
            <w:r w:rsidRPr="00A46ADC">
              <w:t>1.49</w:t>
            </w:r>
          </w:p>
        </w:tc>
        <w:tc>
          <w:tcPr>
            <w:tcW w:w="486" w:type="pct"/>
            <w:noWrap/>
            <w:vAlign w:val="center"/>
            <w:hideMark/>
          </w:tcPr>
          <w:p w14:paraId="142A7369" w14:textId="77777777" w:rsidR="00DE4516" w:rsidRPr="00A46ADC" w:rsidRDefault="00DE4516" w:rsidP="00DE4516">
            <w:pPr>
              <w:pStyle w:val="TableBody"/>
              <w:autoSpaceDE w:val="0"/>
              <w:autoSpaceDN w:val="0"/>
              <w:adjustRightInd w:val="0"/>
              <w:jc w:val="right"/>
              <w:rPr>
                <w:rFonts w:cs="Calibri"/>
                <w:color w:val="000000"/>
                <w:szCs w:val="16"/>
              </w:rPr>
            </w:pPr>
            <w:r w:rsidRPr="00A46ADC">
              <w:t>1.45</w:t>
            </w:r>
          </w:p>
        </w:tc>
      </w:tr>
      <w:tr w:rsidR="00DE4516" w:rsidRPr="00A260F0" w14:paraId="179ED574" w14:textId="77777777" w:rsidTr="00A86160">
        <w:trPr>
          <w:cantSplit/>
        </w:trPr>
        <w:tc>
          <w:tcPr>
            <w:tcW w:w="1736" w:type="pct"/>
            <w:tcBorders>
              <w:bottom w:val="single" w:sz="4" w:space="0" w:color="auto"/>
            </w:tcBorders>
            <w:noWrap/>
            <w:vAlign w:val="center"/>
            <w:hideMark/>
          </w:tcPr>
          <w:p w14:paraId="261184BB" w14:textId="77777777" w:rsidR="00DE4516" w:rsidRPr="00A46ADC" w:rsidRDefault="00DE4516" w:rsidP="00DE4516">
            <w:pPr>
              <w:pStyle w:val="TableBody"/>
              <w:autoSpaceDE w:val="0"/>
              <w:autoSpaceDN w:val="0"/>
              <w:adjustRightInd w:val="0"/>
              <w:jc w:val="both"/>
              <w:rPr>
                <w:rFonts w:cs="Calibri"/>
                <w:color w:val="000000"/>
                <w:szCs w:val="16"/>
              </w:rPr>
            </w:pPr>
            <w:r w:rsidRPr="00A46ADC">
              <w:t>Dry bulk ships</w:t>
            </w:r>
          </w:p>
        </w:tc>
        <w:tc>
          <w:tcPr>
            <w:tcW w:w="450" w:type="pct"/>
            <w:tcBorders>
              <w:bottom w:val="single" w:sz="4" w:space="0" w:color="auto"/>
            </w:tcBorders>
            <w:noWrap/>
            <w:hideMark/>
          </w:tcPr>
          <w:p w14:paraId="091DAFD0"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tcBorders>
              <w:bottom w:val="single" w:sz="4" w:space="0" w:color="auto"/>
            </w:tcBorders>
            <w:noWrap/>
            <w:hideMark/>
          </w:tcPr>
          <w:p w14:paraId="52EE62AD"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tcBorders>
              <w:bottom w:val="single" w:sz="4" w:space="0" w:color="auto"/>
            </w:tcBorders>
            <w:noWrap/>
            <w:hideMark/>
          </w:tcPr>
          <w:p w14:paraId="1E4C75D2"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50" w:type="pct"/>
            <w:tcBorders>
              <w:bottom w:val="single" w:sz="4" w:space="0" w:color="auto"/>
            </w:tcBorders>
            <w:noWrap/>
            <w:hideMark/>
          </w:tcPr>
          <w:p w14:paraId="7650AD23" w14:textId="77777777" w:rsidR="00DE4516" w:rsidRPr="00A46ADC" w:rsidRDefault="00DE4516" w:rsidP="00DE4516">
            <w:pPr>
              <w:pStyle w:val="TableBody"/>
              <w:autoSpaceDE w:val="0"/>
              <w:autoSpaceDN w:val="0"/>
              <w:adjustRightInd w:val="0"/>
              <w:jc w:val="right"/>
              <w:rPr>
                <w:rFonts w:cs="Calibri"/>
                <w:color w:val="000000"/>
                <w:szCs w:val="16"/>
              </w:rPr>
            </w:pPr>
            <w:r w:rsidRPr="00A46ADC">
              <w:t>..</w:t>
            </w:r>
          </w:p>
        </w:tc>
        <w:tc>
          <w:tcPr>
            <w:tcW w:w="489" w:type="pct"/>
            <w:tcBorders>
              <w:bottom w:val="single" w:sz="4" w:space="0" w:color="auto"/>
            </w:tcBorders>
            <w:noWrap/>
            <w:vAlign w:val="center"/>
            <w:hideMark/>
          </w:tcPr>
          <w:p w14:paraId="100F0C3B" w14:textId="77777777" w:rsidR="00DE4516" w:rsidRPr="00A46ADC" w:rsidRDefault="00DE4516" w:rsidP="00DE4516">
            <w:pPr>
              <w:pStyle w:val="TableBody"/>
              <w:autoSpaceDE w:val="0"/>
              <w:autoSpaceDN w:val="0"/>
              <w:adjustRightInd w:val="0"/>
              <w:jc w:val="right"/>
              <w:rPr>
                <w:rFonts w:cs="Calibri"/>
                <w:color w:val="000000"/>
                <w:szCs w:val="16"/>
              </w:rPr>
            </w:pPr>
            <w:r w:rsidRPr="00A46ADC">
              <w:t>2.95</w:t>
            </w:r>
          </w:p>
        </w:tc>
        <w:tc>
          <w:tcPr>
            <w:tcW w:w="489" w:type="pct"/>
            <w:tcBorders>
              <w:bottom w:val="single" w:sz="4" w:space="0" w:color="auto"/>
            </w:tcBorders>
            <w:noWrap/>
            <w:vAlign w:val="center"/>
            <w:hideMark/>
          </w:tcPr>
          <w:p w14:paraId="2C54F84B" w14:textId="77777777" w:rsidR="00DE4516" w:rsidRPr="00A46ADC" w:rsidRDefault="00DE4516" w:rsidP="00DE4516">
            <w:pPr>
              <w:pStyle w:val="TableBody"/>
              <w:autoSpaceDE w:val="0"/>
              <w:autoSpaceDN w:val="0"/>
              <w:adjustRightInd w:val="0"/>
              <w:jc w:val="right"/>
              <w:rPr>
                <w:rFonts w:cs="Calibri"/>
                <w:color w:val="000000"/>
                <w:szCs w:val="16"/>
              </w:rPr>
            </w:pPr>
            <w:r w:rsidRPr="00A46ADC">
              <w:t>2.77</w:t>
            </w:r>
          </w:p>
        </w:tc>
        <w:tc>
          <w:tcPr>
            <w:tcW w:w="486" w:type="pct"/>
            <w:tcBorders>
              <w:bottom w:val="single" w:sz="4" w:space="0" w:color="auto"/>
            </w:tcBorders>
            <w:noWrap/>
            <w:vAlign w:val="center"/>
            <w:hideMark/>
          </w:tcPr>
          <w:p w14:paraId="52C62C50" w14:textId="77777777" w:rsidR="00DE4516" w:rsidRPr="00A46ADC" w:rsidRDefault="00DE4516" w:rsidP="00DE4516">
            <w:pPr>
              <w:pStyle w:val="TableBody"/>
              <w:autoSpaceDE w:val="0"/>
              <w:autoSpaceDN w:val="0"/>
              <w:adjustRightInd w:val="0"/>
              <w:jc w:val="right"/>
              <w:rPr>
                <w:rFonts w:cs="Calibri"/>
                <w:color w:val="000000"/>
                <w:szCs w:val="16"/>
              </w:rPr>
            </w:pPr>
            <w:r w:rsidRPr="00A46ADC">
              <w:t>2.74</w:t>
            </w:r>
          </w:p>
        </w:tc>
      </w:tr>
    </w:tbl>
    <w:p w14:paraId="25EFBF88" w14:textId="6613DB4A" w:rsidR="00DE4516" w:rsidRDefault="00DE4516">
      <w:pPr>
        <w:pStyle w:val="TableNote"/>
        <w:autoSpaceDE w:val="0"/>
        <w:autoSpaceDN w:val="0"/>
        <w:adjustRightInd w:val="0"/>
        <w:contextualSpacing w:val="0"/>
      </w:pPr>
      <w:r>
        <w:t>..</w:t>
      </w:r>
      <w:r>
        <w:tab/>
        <w:t>Not available.</w:t>
      </w:r>
    </w:p>
    <w:p w14:paraId="79937901" w14:textId="77777777" w:rsidR="00DE4516" w:rsidRDefault="00DE4516">
      <w:pPr>
        <w:pStyle w:val="TableSource"/>
        <w:autoSpaceDE w:val="0"/>
        <w:autoSpaceDN w:val="0"/>
        <w:adjustRightInd w:val="0"/>
        <w:rPr>
          <w:szCs w:val="24"/>
        </w:rPr>
      </w:pPr>
      <w:r>
        <w:rPr>
          <w:szCs w:val="24"/>
        </w:rPr>
        <w:t>Source:</w:t>
      </w:r>
      <w:r>
        <w:rPr>
          <w:szCs w:val="24"/>
        </w:rPr>
        <w:tab/>
        <w:t xml:space="preserve">UNCTAD, </w:t>
      </w:r>
      <w:r>
        <w:rPr>
          <w:i/>
          <w:szCs w:val="24"/>
        </w:rPr>
        <w:t>Statistics: Maritime Transport</w:t>
      </w:r>
      <w:r>
        <w:rPr>
          <w:szCs w:val="24"/>
        </w:rPr>
        <w:t xml:space="preserve">. Viewed at: </w:t>
      </w:r>
      <w:hyperlink r:id="rId29" w:history="1">
        <w:r w:rsidRPr="00D5600E">
          <w:rPr>
            <w:color w:val="0000FF"/>
            <w:szCs w:val="24"/>
            <w:u w:val="single"/>
          </w:rPr>
          <w:t>https://unctadstat.unctad.org/wds/Report Folders/</w:t>
        </w:r>
        <w:proofErr w:type="spellStart"/>
        <w:r w:rsidRPr="00D5600E">
          <w:rPr>
            <w:color w:val="0000FF"/>
            <w:szCs w:val="24"/>
            <w:u w:val="single"/>
          </w:rPr>
          <w:t>reportFolders.aspx?sCS_ChosenLang</w:t>
        </w:r>
        <w:proofErr w:type="spellEnd"/>
        <w:r w:rsidRPr="00D5600E">
          <w:rPr>
            <w:color w:val="0000FF"/>
            <w:szCs w:val="24"/>
            <w:u w:val="single"/>
          </w:rPr>
          <w:t>=</w:t>
        </w:r>
        <w:proofErr w:type="spellStart"/>
        <w:r w:rsidRPr="00D5600E">
          <w:rPr>
            <w:color w:val="0000FF"/>
            <w:szCs w:val="24"/>
            <w:u w:val="single"/>
          </w:rPr>
          <w:t>en</w:t>
        </w:r>
        <w:proofErr w:type="spellEnd"/>
      </w:hyperlink>
      <w:r>
        <w:rPr>
          <w:szCs w:val="24"/>
        </w:rPr>
        <w:t>; and information provided by the authorities.</w:t>
      </w:r>
    </w:p>
    <w:p w14:paraId="299608D6" w14:textId="77777777" w:rsidR="00DE4516" w:rsidRDefault="00DE4516">
      <w:pPr>
        <w:pStyle w:val="BodyText0"/>
        <w:autoSpaceDE w:val="0"/>
        <w:autoSpaceDN w:val="0"/>
        <w:adjustRightInd w:val="0"/>
        <w:rPr>
          <w:szCs w:val="24"/>
        </w:rPr>
      </w:pPr>
      <w:r>
        <w:rPr>
          <w:szCs w:val="24"/>
        </w:rPr>
        <w:t xml:space="preserve">All seven commercial ports in Oman are state-owned, among which three are deep-water ports: Sohar in the north, Duqm in the centre of the country's coastline, and Salalah in the south. During the review period, all three ports received a massive investment in infrastructure to boost their capacity: new container terminals were commissioned in Ports of Sohar and Duqm, and a </w:t>
      </w:r>
      <w:r>
        <w:rPr>
          <w:szCs w:val="24"/>
        </w:rPr>
        <w:lastRenderedPageBreak/>
        <w:t>general cargo and bulk liquids terminal was added to the Port of Salalah.</w:t>
      </w:r>
      <w:r w:rsidRPr="00DE4516">
        <w:rPr>
          <w:rStyle w:val="FootnoteReference"/>
        </w:rPr>
        <w:footnoteReference w:id="260"/>
      </w:r>
      <w:r>
        <w:rPr>
          <w:szCs w:val="24"/>
        </w:rPr>
        <w:t xml:space="preserve"> Sohar and Salalah Ports are linked with the free zones nearby (Section 3.2). Port Sultan Qaboos is the designated port for passenger traffic.</w:t>
      </w:r>
    </w:p>
    <w:p w14:paraId="7BDDBBC0" w14:textId="77777777" w:rsidR="00DE4516" w:rsidRDefault="00DE4516">
      <w:pPr>
        <w:pStyle w:val="BodyText0"/>
        <w:autoSpaceDE w:val="0"/>
        <w:autoSpaceDN w:val="0"/>
        <w:adjustRightInd w:val="0"/>
        <w:rPr>
          <w:szCs w:val="24"/>
        </w:rPr>
      </w:pPr>
      <w:r>
        <w:rPr>
          <w:szCs w:val="24"/>
        </w:rPr>
        <w:t>All three deep-water ports are managed under concessions by joint ventures between the Government and foreign private companies.</w:t>
      </w:r>
      <w:r w:rsidRPr="00DE4516">
        <w:rPr>
          <w:rStyle w:val="FootnoteReference"/>
        </w:rPr>
        <w:footnoteReference w:id="261"/>
      </w:r>
      <w:r>
        <w:rPr>
          <w:szCs w:val="24"/>
        </w:rPr>
        <w:t xml:space="preserve"> Wholly foreign-owned companies are allowed to operate terminals in Sohar on a landlord-tenant basis. Port Sultan Qaboos and the ports of Khasab and </w:t>
      </w:r>
      <w:proofErr w:type="spellStart"/>
      <w:r>
        <w:rPr>
          <w:szCs w:val="24"/>
        </w:rPr>
        <w:t>Shanas</w:t>
      </w:r>
      <w:proofErr w:type="spellEnd"/>
      <w:r>
        <w:rPr>
          <w:szCs w:val="24"/>
        </w:rPr>
        <w:t xml:space="preserve"> are managed and operated by the recently established </w:t>
      </w:r>
      <w:proofErr w:type="spellStart"/>
      <w:r>
        <w:rPr>
          <w:szCs w:val="24"/>
        </w:rPr>
        <w:t>Asyad</w:t>
      </w:r>
      <w:proofErr w:type="spellEnd"/>
      <w:r>
        <w:rPr>
          <w:szCs w:val="24"/>
        </w:rPr>
        <w:t xml:space="preserve"> Group.</w:t>
      </w:r>
      <w:r w:rsidRPr="00DE4516">
        <w:rPr>
          <w:rStyle w:val="FootnoteReference"/>
        </w:rPr>
        <w:footnoteReference w:id="262"/>
      </w:r>
      <w:r>
        <w:rPr>
          <w:szCs w:val="24"/>
        </w:rPr>
        <w:t xml:space="preserve"> The Directorate General for Ports under the MTCIT does not manage/operate any port in the </w:t>
      </w:r>
      <w:proofErr w:type="gramStart"/>
      <w:r>
        <w:rPr>
          <w:szCs w:val="24"/>
        </w:rPr>
        <w:t>Sultanate, but</w:t>
      </w:r>
      <w:proofErr w:type="gramEnd"/>
      <w:r>
        <w:rPr>
          <w:szCs w:val="24"/>
        </w:rPr>
        <w:t xml:space="preserve"> oversees their management under concession agreements signed with the MTCIT.</w:t>
      </w:r>
    </w:p>
    <w:p w14:paraId="0478B5EE" w14:textId="77777777" w:rsidR="00DE4516" w:rsidRDefault="00DE4516">
      <w:pPr>
        <w:pStyle w:val="BodyText0"/>
        <w:autoSpaceDE w:val="0"/>
        <w:autoSpaceDN w:val="0"/>
        <w:adjustRightInd w:val="0"/>
        <w:rPr>
          <w:szCs w:val="24"/>
        </w:rPr>
      </w:pPr>
      <w:r>
        <w:rPr>
          <w:szCs w:val="24"/>
        </w:rPr>
        <w:t xml:space="preserve">Port operation efficiency, </w:t>
      </w:r>
      <w:proofErr w:type="gramStart"/>
      <w:r>
        <w:rPr>
          <w:szCs w:val="24"/>
        </w:rPr>
        <w:t>in particular for</w:t>
      </w:r>
      <w:proofErr w:type="gramEnd"/>
      <w:r>
        <w:rPr>
          <w:szCs w:val="24"/>
        </w:rPr>
        <w:t xml:space="preserve"> container handling, improved during the review period. For example, the median time in port for a container ship was 0.73 days in 2020, down from 0.76 days in 2018 (</w:t>
      </w:r>
      <w:r>
        <w:rPr>
          <w:rStyle w:val="citetbl"/>
          <w:szCs w:val="24"/>
        </w:rPr>
        <w:t>Table 4.9</w:t>
      </w:r>
      <w:r>
        <w:rPr>
          <w:szCs w:val="24"/>
        </w:rPr>
        <w:t>).</w:t>
      </w:r>
      <w:r w:rsidRPr="00DE4516">
        <w:rPr>
          <w:rStyle w:val="FootnoteReference"/>
        </w:rPr>
        <w:footnoteReference w:id="263"/>
      </w:r>
    </w:p>
    <w:p w14:paraId="25E824A2" w14:textId="77777777" w:rsidR="00DE4516" w:rsidRDefault="00DE4516">
      <w:pPr>
        <w:pStyle w:val="BodyText0"/>
        <w:autoSpaceDE w:val="0"/>
        <w:autoSpaceDN w:val="0"/>
        <w:adjustRightInd w:val="0"/>
        <w:rPr>
          <w:szCs w:val="24"/>
        </w:rPr>
      </w:pPr>
      <w:proofErr w:type="gramStart"/>
      <w:r>
        <w:rPr>
          <w:szCs w:val="24"/>
        </w:rPr>
        <w:t>With regard to</w:t>
      </w:r>
      <w:proofErr w:type="gramEnd"/>
      <w:r>
        <w:rPr>
          <w:szCs w:val="24"/>
        </w:rPr>
        <w:t xml:space="preserve"> ship repairing, the Oman Drydock Company (ODC), a state-owned enterprise, provides ship maintenance and conversion facilities for all types of vessels. The ODC </w:t>
      </w:r>
      <w:proofErr w:type="gramStart"/>
      <w:r>
        <w:rPr>
          <w:szCs w:val="24"/>
        </w:rPr>
        <w:t>is located in</w:t>
      </w:r>
      <w:proofErr w:type="gramEnd"/>
      <w:r>
        <w:rPr>
          <w:szCs w:val="24"/>
        </w:rPr>
        <w:t xml:space="preserve"> the port of Duqm.</w:t>
      </w:r>
    </w:p>
    <w:p w14:paraId="55D22508" w14:textId="77777777" w:rsidR="00DE4516" w:rsidRDefault="00DE4516">
      <w:pPr>
        <w:pStyle w:val="BodyText0"/>
        <w:autoSpaceDE w:val="0"/>
        <w:autoSpaceDN w:val="0"/>
        <w:adjustRightInd w:val="0"/>
        <w:rPr>
          <w:szCs w:val="24"/>
        </w:rPr>
      </w:pPr>
      <w:r>
        <w:rPr>
          <w:szCs w:val="24"/>
        </w:rPr>
        <w:t>According to the authorities, no special incentives are granted to the subsector.</w:t>
      </w:r>
    </w:p>
    <w:p w14:paraId="79E37700" w14:textId="77777777" w:rsidR="00DE4516" w:rsidRDefault="00DE4516">
      <w:pPr>
        <w:pStyle w:val="Heading40"/>
        <w:autoSpaceDE w:val="0"/>
        <w:autoSpaceDN w:val="0"/>
        <w:adjustRightInd w:val="0"/>
        <w:rPr>
          <w:szCs w:val="24"/>
        </w:rPr>
      </w:pPr>
      <w:r>
        <w:rPr>
          <w:szCs w:val="24"/>
        </w:rPr>
        <w:t>Terrestrial transport</w:t>
      </w:r>
    </w:p>
    <w:p w14:paraId="265925B3" w14:textId="77777777" w:rsidR="00DE4516" w:rsidRDefault="00DE4516">
      <w:pPr>
        <w:pStyle w:val="BodyText0"/>
        <w:autoSpaceDE w:val="0"/>
        <w:autoSpaceDN w:val="0"/>
        <w:adjustRightInd w:val="0"/>
        <w:rPr>
          <w:szCs w:val="24"/>
        </w:rPr>
      </w:pPr>
      <w:r>
        <w:rPr>
          <w:szCs w:val="24"/>
        </w:rPr>
        <w:t>In terms of land transport, the Government continues to invest in infrastructure projects to improve connectivity. These projects include construction of expressways, upgrading existing dual carriageways, and the first segment of 2,135 km national railways network. Also, the Government published in 2015 its first ever master plan for public transport, focusing on Muscat; the master plan is expected to create a multi-modal mass-transit system.</w:t>
      </w:r>
    </w:p>
    <w:p w14:paraId="450810AE" w14:textId="77777777" w:rsidR="00DE4516" w:rsidRDefault="00DE4516">
      <w:pPr>
        <w:pStyle w:val="BodyText0"/>
        <w:autoSpaceDE w:val="0"/>
        <w:autoSpaceDN w:val="0"/>
        <w:adjustRightInd w:val="0"/>
        <w:rPr>
          <w:szCs w:val="24"/>
        </w:rPr>
      </w:pPr>
      <w:r>
        <w:rPr>
          <w:szCs w:val="24"/>
        </w:rPr>
        <w:t>The MTCIT is responsible for land transport in the Sultanate, including construction, maintenance, and licence management. The legal framework for the subsector was modernized – a new Land Transport Law entered into force in March 2017, and the Executive Regulation of Land Transport became effective in January 2018. With the new legislation, the authorities intend to streamline the subsector and bring the provision and regulation of land transport under the umbrella of the MTCIT.</w:t>
      </w:r>
    </w:p>
    <w:p w14:paraId="6174B614" w14:textId="77777777" w:rsidR="00DE4516" w:rsidRDefault="00DE4516">
      <w:pPr>
        <w:pStyle w:val="Heading50"/>
        <w:autoSpaceDE w:val="0"/>
        <w:autoSpaceDN w:val="0"/>
        <w:adjustRightInd w:val="0"/>
        <w:rPr>
          <w:szCs w:val="24"/>
        </w:rPr>
      </w:pPr>
      <w:r>
        <w:rPr>
          <w:szCs w:val="24"/>
        </w:rPr>
        <w:t>Road transport</w:t>
      </w:r>
    </w:p>
    <w:p w14:paraId="557A196C" w14:textId="77777777" w:rsidR="00DE4516" w:rsidRDefault="00DE4516">
      <w:pPr>
        <w:pStyle w:val="BodyText0"/>
        <w:autoSpaceDE w:val="0"/>
        <w:autoSpaceDN w:val="0"/>
        <w:adjustRightInd w:val="0"/>
        <w:rPr>
          <w:szCs w:val="24"/>
        </w:rPr>
      </w:pPr>
      <w:r>
        <w:rPr>
          <w:szCs w:val="24"/>
        </w:rPr>
        <w:t>According to the authorities, as of end-2020, Oman had a total of 16,013 km of asphalted roads and 17,069 km of unpaved roads, and works are under way on two major road projects.</w:t>
      </w:r>
      <w:r w:rsidRPr="00DE4516">
        <w:rPr>
          <w:rStyle w:val="FootnoteReference"/>
        </w:rPr>
        <w:footnoteReference w:id="264"/>
      </w:r>
      <w:r>
        <w:rPr>
          <w:szCs w:val="24"/>
        </w:rPr>
        <w:t xml:space="preserve"> The expressway system connects all the major urban areas, ports, and neighbouring GCC countries. Expressways are not tolled.</w:t>
      </w:r>
    </w:p>
    <w:p w14:paraId="482E1D40" w14:textId="77777777" w:rsidR="00DE4516" w:rsidRDefault="00DE4516">
      <w:pPr>
        <w:pStyle w:val="BodyText0"/>
        <w:autoSpaceDE w:val="0"/>
        <w:autoSpaceDN w:val="0"/>
        <w:adjustRightInd w:val="0"/>
        <w:rPr>
          <w:szCs w:val="24"/>
        </w:rPr>
      </w:pPr>
      <w:r>
        <w:rPr>
          <w:szCs w:val="24"/>
        </w:rPr>
        <w:t>Oman's private car ownership is among the highest in the world, at 215 cars per 1,000 people.</w:t>
      </w:r>
      <w:r w:rsidRPr="00DE4516">
        <w:rPr>
          <w:rStyle w:val="FootnoteReference"/>
        </w:rPr>
        <w:footnoteReference w:id="265"/>
      </w:r>
      <w:r>
        <w:rPr>
          <w:szCs w:val="24"/>
        </w:rPr>
        <w:t xml:space="preserve"> Public transport in Muscat consists of several bus lines, an informal network of minibuses, and taxis; outside of the capital, public transport is less developed.</w:t>
      </w:r>
    </w:p>
    <w:p w14:paraId="2C24F200" w14:textId="77777777" w:rsidR="00DE4516" w:rsidRDefault="00DE4516">
      <w:pPr>
        <w:pStyle w:val="BodyText0"/>
        <w:autoSpaceDE w:val="0"/>
        <w:autoSpaceDN w:val="0"/>
        <w:adjustRightInd w:val="0"/>
        <w:rPr>
          <w:szCs w:val="24"/>
        </w:rPr>
      </w:pPr>
      <w:r>
        <w:rPr>
          <w:szCs w:val="24"/>
        </w:rPr>
        <w:t xml:space="preserve">Passenger transport services may be provided by the private sector, with a foreign capital not exceeding 70%. Anyone who wishes to provide bus services must obtain a licence from the MTCIT. The leading bus services provider is </w:t>
      </w:r>
      <w:proofErr w:type="spellStart"/>
      <w:r>
        <w:rPr>
          <w:szCs w:val="24"/>
        </w:rPr>
        <w:t>Mwasalat</w:t>
      </w:r>
      <w:proofErr w:type="spellEnd"/>
      <w:r>
        <w:rPr>
          <w:szCs w:val="24"/>
        </w:rPr>
        <w:t xml:space="preserve">, formerly known as the Oman National </w:t>
      </w:r>
      <w:r>
        <w:rPr>
          <w:szCs w:val="24"/>
        </w:rPr>
        <w:lastRenderedPageBreak/>
        <w:t xml:space="preserve">Transport Company (ONTC) before November 2015. </w:t>
      </w:r>
      <w:proofErr w:type="spellStart"/>
      <w:r>
        <w:rPr>
          <w:szCs w:val="24"/>
        </w:rPr>
        <w:t>Mwasalat</w:t>
      </w:r>
      <w:proofErr w:type="spellEnd"/>
      <w:r>
        <w:rPr>
          <w:szCs w:val="24"/>
        </w:rPr>
        <w:t xml:space="preserve"> is a state-owned enterprise under the </w:t>
      </w:r>
      <w:proofErr w:type="spellStart"/>
      <w:r>
        <w:rPr>
          <w:szCs w:val="24"/>
        </w:rPr>
        <w:t>Asyad</w:t>
      </w:r>
      <w:proofErr w:type="spellEnd"/>
      <w:r>
        <w:rPr>
          <w:szCs w:val="24"/>
        </w:rPr>
        <w:t xml:space="preserve"> Group. </w:t>
      </w:r>
      <w:proofErr w:type="spellStart"/>
      <w:r>
        <w:rPr>
          <w:szCs w:val="24"/>
        </w:rPr>
        <w:t>Mwasalat</w:t>
      </w:r>
      <w:proofErr w:type="spellEnd"/>
      <w:r>
        <w:rPr>
          <w:szCs w:val="24"/>
        </w:rPr>
        <w:t xml:space="preserve"> enlarged its bus fleet to 123 buses, up from 73 buses before 2016; among the 50 new acquired buses, 40 are used as urban buses within Muscat, while 10 are used on long-distance routes. Consequently, the bus lines in Muscat increased from two to 18, and the domestic long-distance routes reached 15. Also, more services have been added to the international routes. According to the authorities, there are also some private bus operators.</w:t>
      </w:r>
    </w:p>
    <w:p w14:paraId="2064A3FF" w14:textId="77777777" w:rsidR="00DE4516" w:rsidRDefault="00DE4516">
      <w:pPr>
        <w:pStyle w:val="BodyText0"/>
        <w:autoSpaceDE w:val="0"/>
        <w:autoSpaceDN w:val="0"/>
        <w:adjustRightInd w:val="0"/>
        <w:rPr>
          <w:szCs w:val="24"/>
        </w:rPr>
      </w:pPr>
      <w:r>
        <w:rPr>
          <w:szCs w:val="24"/>
        </w:rPr>
        <w:t>Only Omani nationals are allowed to operate taxis.</w:t>
      </w:r>
    </w:p>
    <w:p w14:paraId="4FF437BD" w14:textId="77777777" w:rsidR="00DE4516" w:rsidRDefault="00DE4516">
      <w:pPr>
        <w:pStyle w:val="BodyText0"/>
        <w:autoSpaceDE w:val="0"/>
        <w:autoSpaceDN w:val="0"/>
        <w:adjustRightInd w:val="0"/>
        <w:rPr>
          <w:szCs w:val="24"/>
        </w:rPr>
      </w:pPr>
      <w:r>
        <w:rPr>
          <w:szCs w:val="24"/>
        </w:rPr>
        <w:t xml:space="preserve">Freight transporters must complete their commercial registration with the </w:t>
      </w:r>
      <w:proofErr w:type="gramStart"/>
      <w:r>
        <w:rPr>
          <w:szCs w:val="24"/>
        </w:rPr>
        <w:t>MOCIIP, and</w:t>
      </w:r>
      <w:proofErr w:type="gramEnd"/>
      <w:r>
        <w:rPr>
          <w:szCs w:val="24"/>
        </w:rPr>
        <w:t xml:space="preserve"> obtain a transport licence from the MTCIT. It appears that foreign firms are allowed to provide freight transport services. In January 2018, a new regulation entered into force. On the ground of protecting the Sultanate's highways, the new regulation restricts the gross weight of any tandem axle vehicle to 21 tonnes, single axle loads to 13 tonnes, and the total gross weight for the vehicle must not exceed 46 tonnes. Some observers indicate these restrictions may increase freight costs for heavy </w:t>
      </w:r>
      <w:proofErr w:type="gramStart"/>
      <w:r>
        <w:rPr>
          <w:szCs w:val="24"/>
        </w:rPr>
        <w:t>industry, in particular</w:t>
      </w:r>
      <w:proofErr w:type="gramEnd"/>
      <w:r>
        <w:rPr>
          <w:szCs w:val="24"/>
        </w:rPr>
        <w:t>.</w:t>
      </w:r>
      <w:r w:rsidRPr="00DE4516">
        <w:rPr>
          <w:rStyle w:val="FootnoteReference"/>
        </w:rPr>
        <w:footnoteReference w:id="266"/>
      </w:r>
    </w:p>
    <w:p w14:paraId="670B4026" w14:textId="77777777" w:rsidR="00DE4516" w:rsidRDefault="00DE4516">
      <w:pPr>
        <w:pStyle w:val="BodyText0"/>
        <w:autoSpaceDE w:val="0"/>
        <w:autoSpaceDN w:val="0"/>
        <w:adjustRightInd w:val="0"/>
        <w:rPr>
          <w:szCs w:val="24"/>
        </w:rPr>
      </w:pPr>
      <w:r>
        <w:rPr>
          <w:szCs w:val="24"/>
        </w:rPr>
        <w:t>Cabotage is not permitted. The authorities note that prices of road transport services are market-determined.</w:t>
      </w:r>
    </w:p>
    <w:p w14:paraId="35A8E0A0" w14:textId="77777777" w:rsidR="00DE4516" w:rsidRDefault="00DE4516">
      <w:pPr>
        <w:pStyle w:val="Heading50"/>
        <w:autoSpaceDE w:val="0"/>
        <w:autoSpaceDN w:val="0"/>
        <w:adjustRightInd w:val="0"/>
        <w:rPr>
          <w:szCs w:val="24"/>
        </w:rPr>
      </w:pPr>
      <w:r>
        <w:rPr>
          <w:szCs w:val="24"/>
        </w:rPr>
        <w:t>Rail transport</w:t>
      </w:r>
    </w:p>
    <w:p w14:paraId="2ABE2667" w14:textId="77777777" w:rsidR="00DE4516" w:rsidRDefault="00DE4516">
      <w:pPr>
        <w:pStyle w:val="BodyText0"/>
        <w:autoSpaceDE w:val="0"/>
        <w:autoSpaceDN w:val="0"/>
        <w:adjustRightInd w:val="0"/>
        <w:rPr>
          <w:szCs w:val="24"/>
        </w:rPr>
      </w:pPr>
      <w:r>
        <w:rPr>
          <w:szCs w:val="24"/>
        </w:rPr>
        <w:t>As part of the diversification effort, the national railway network aims to create an integrated multi-modal transport system in the Sultanate, linking the major ports, airports, regions with high population density, and industrial zones; the network is also planned to connect with the railways of its GCC neighbours. Once completed, it will have huge potential to improve transport efficiency, bypassing some bottlenecks in the maritime routes.</w:t>
      </w:r>
    </w:p>
    <w:p w14:paraId="5BD413CF" w14:textId="77777777" w:rsidR="00DE4516" w:rsidRDefault="00DE4516">
      <w:pPr>
        <w:pStyle w:val="BodyText0"/>
        <w:autoSpaceDE w:val="0"/>
        <w:autoSpaceDN w:val="0"/>
        <w:adjustRightInd w:val="0"/>
        <w:rPr>
          <w:szCs w:val="24"/>
        </w:rPr>
      </w:pPr>
      <w:r>
        <w:rPr>
          <w:szCs w:val="24"/>
        </w:rPr>
        <w:t>Oman Rail, the public entity under the auspices of the MTCIT, was founded in June 2014. Oman Rail is responsible for development, operation, and maintenance of the rail network. The authorities note that the preliminary design of the national railway network project</w:t>
      </w:r>
      <w:r w:rsidRPr="00DE4516">
        <w:rPr>
          <w:rStyle w:val="FootnoteReference"/>
        </w:rPr>
        <w:footnoteReference w:id="267"/>
      </w:r>
      <w:r>
        <w:rPr>
          <w:szCs w:val="24"/>
        </w:rPr>
        <w:t xml:space="preserve"> is complete; however, construction has not yet started.</w:t>
      </w:r>
    </w:p>
    <w:p w14:paraId="7208D698" w14:textId="77777777" w:rsidR="00DE4516" w:rsidRDefault="00DE4516">
      <w:pPr>
        <w:pStyle w:val="BodyText0"/>
        <w:autoSpaceDE w:val="0"/>
        <w:autoSpaceDN w:val="0"/>
        <w:adjustRightInd w:val="0"/>
        <w:rPr>
          <w:szCs w:val="24"/>
        </w:rPr>
      </w:pPr>
      <w:r>
        <w:rPr>
          <w:szCs w:val="24"/>
        </w:rPr>
        <w:t>According to the public transport master plan, a light rail transit (LRT) system will be built in Muscat. The authorities indicate that the LRT project is halted.</w:t>
      </w:r>
    </w:p>
    <w:p w14:paraId="581D82B9" w14:textId="77777777" w:rsidR="00DE4516" w:rsidRDefault="00DE4516">
      <w:pPr>
        <w:pStyle w:val="Heading40"/>
        <w:autoSpaceDE w:val="0"/>
        <w:autoSpaceDN w:val="0"/>
        <w:adjustRightInd w:val="0"/>
        <w:rPr>
          <w:szCs w:val="24"/>
        </w:rPr>
      </w:pPr>
      <w:r>
        <w:rPr>
          <w:szCs w:val="24"/>
        </w:rPr>
        <w:t>Aviation transport</w:t>
      </w:r>
    </w:p>
    <w:p w14:paraId="7F2CD6A2" w14:textId="77777777" w:rsidR="00DE4516" w:rsidRDefault="00DE4516">
      <w:pPr>
        <w:pStyle w:val="BodyText0"/>
        <w:autoSpaceDE w:val="0"/>
        <w:autoSpaceDN w:val="0"/>
        <w:adjustRightInd w:val="0"/>
        <w:rPr>
          <w:szCs w:val="24"/>
        </w:rPr>
      </w:pPr>
      <w:r>
        <w:rPr>
          <w:szCs w:val="24"/>
        </w:rPr>
        <w:t>During the review period, the aviation industry in Oman experienced buoyant growth. Passenger numbers reached 17.4 million in 2019, up from 9.6 million in 2014. Also, aircraft movements increased by almost 50% between 2014 and 2019; more than 80% of flights are international. The COVID</w:t>
      </w:r>
      <w:r>
        <w:rPr>
          <w:szCs w:val="24"/>
        </w:rPr>
        <w:noBreakHyphen/>
        <w:t>19 pandemic posed a big challenge to the industry, which witnessed a sharp decline in air transport in 2020 (</w:t>
      </w:r>
      <w:r>
        <w:rPr>
          <w:rStyle w:val="citetbl"/>
          <w:szCs w:val="24"/>
        </w:rPr>
        <w:t>Table 4.10</w:t>
      </w:r>
      <w:r>
        <w:rPr>
          <w:szCs w:val="24"/>
        </w:rPr>
        <w:t>).</w:t>
      </w:r>
    </w:p>
    <w:p w14:paraId="76330679" w14:textId="77777777" w:rsidR="00DE4516" w:rsidRDefault="00DE4516">
      <w:pPr>
        <w:pStyle w:val="BodyText0"/>
        <w:autoSpaceDE w:val="0"/>
        <w:autoSpaceDN w:val="0"/>
        <w:adjustRightInd w:val="0"/>
        <w:rPr>
          <w:szCs w:val="24"/>
        </w:rPr>
      </w:pPr>
      <w:r>
        <w:rPr>
          <w:szCs w:val="24"/>
        </w:rPr>
        <w:t>The main legislation concerning this subsector is the Civil Aviation Law (which entered into force in 2004, and was amended in 2012 and 2019), the Executive Regulation of the Civil Aviation Law, and Civil Aviation Regulations.</w:t>
      </w:r>
    </w:p>
    <w:p w14:paraId="1E8C5974" w14:textId="77777777" w:rsidR="00DE4516" w:rsidRDefault="00DE4516">
      <w:pPr>
        <w:pStyle w:val="TableTitle"/>
        <w:autoSpaceDE w:val="0"/>
        <w:autoSpaceDN w:val="0"/>
        <w:adjustRightInd w:val="0"/>
      </w:pPr>
      <w:r>
        <w:t>Table 4.10 Selected indicators of aviation transport, 2014-20</w:t>
      </w:r>
    </w:p>
    <w:tbl>
      <w:tblPr>
        <w:tblStyle w:val="WTOTable1"/>
        <w:tblW w:w="5000" w:type="pct"/>
        <w:tblLayout w:type="fixed"/>
        <w:tblLook w:val="05E0" w:firstRow="1" w:lastRow="1" w:firstColumn="1" w:lastColumn="1" w:noHBand="0" w:noVBand="1"/>
      </w:tblPr>
      <w:tblGrid>
        <w:gridCol w:w="1977"/>
        <w:gridCol w:w="1005"/>
        <w:gridCol w:w="1007"/>
        <w:gridCol w:w="1005"/>
        <w:gridCol w:w="1006"/>
        <w:gridCol w:w="1004"/>
        <w:gridCol w:w="1006"/>
        <w:gridCol w:w="1006"/>
      </w:tblGrid>
      <w:tr w:rsidR="00DE4516" w:rsidRPr="007F015E" w14:paraId="176EC00C" w14:textId="77777777" w:rsidTr="00507E8C">
        <w:trPr>
          <w:cnfStyle w:val="100000000000" w:firstRow="1" w:lastRow="0" w:firstColumn="0" w:lastColumn="0" w:oddVBand="0" w:evenVBand="0" w:oddHBand="0" w:evenHBand="0" w:firstRowFirstColumn="0" w:firstRowLastColumn="0" w:lastRowFirstColumn="0" w:lastRowLastColumn="0"/>
        </w:trPr>
        <w:tc>
          <w:tcPr>
            <w:tcW w:w="1096" w:type="pct"/>
            <w:tcBorders>
              <w:top w:val="single" w:sz="4" w:space="0" w:color="auto"/>
            </w:tcBorders>
            <w:noWrap/>
            <w:hideMark/>
          </w:tcPr>
          <w:p w14:paraId="6EE2EC60" w14:textId="77777777" w:rsidR="00DE4516" w:rsidRPr="007F015E" w:rsidRDefault="00DE4516" w:rsidP="00DE4516">
            <w:pPr>
              <w:autoSpaceDE w:val="0"/>
              <w:autoSpaceDN w:val="0"/>
              <w:adjustRightInd w:val="0"/>
            </w:pPr>
          </w:p>
        </w:tc>
        <w:tc>
          <w:tcPr>
            <w:tcW w:w="557" w:type="pct"/>
            <w:tcBorders>
              <w:top w:val="single" w:sz="4" w:space="0" w:color="auto"/>
            </w:tcBorders>
            <w:noWrap/>
            <w:hideMark/>
          </w:tcPr>
          <w:p w14:paraId="12931770"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2014</w:t>
            </w:r>
          </w:p>
        </w:tc>
        <w:tc>
          <w:tcPr>
            <w:tcW w:w="558" w:type="pct"/>
            <w:tcBorders>
              <w:top w:val="single" w:sz="4" w:space="0" w:color="auto"/>
            </w:tcBorders>
            <w:noWrap/>
            <w:hideMark/>
          </w:tcPr>
          <w:p w14:paraId="2FF6E134"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2015</w:t>
            </w:r>
          </w:p>
        </w:tc>
        <w:tc>
          <w:tcPr>
            <w:tcW w:w="557" w:type="pct"/>
            <w:tcBorders>
              <w:top w:val="single" w:sz="4" w:space="0" w:color="auto"/>
            </w:tcBorders>
            <w:noWrap/>
            <w:hideMark/>
          </w:tcPr>
          <w:p w14:paraId="2D2A669A"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2016</w:t>
            </w:r>
          </w:p>
        </w:tc>
        <w:tc>
          <w:tcPr>
            <w:tcW w:w="558" w:type="pct"/>
            <w:tcBorders>
              <w:top w:val="single" w:sz="4" w:space="0" w:color="auto"/>
            </w:tcBorders>
            <w:noWrap/>
            <w:hideMark/>
          </w:tcPr>
          <w:p w14:paraId="4EAEEC33"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2017</w:t>
            </w:r>
          </w:p>
        </w:tc>
        <w:tc>
          <w:tcPr>
            <w:tcW w:w="557" w:type="pct"/>
            <w:tcBorders>
              <w:top w:val="single" w:sz="4" w:space="0" w:color="auto"/>
            </w:tcBorders>
            <w:noWrap/>
            <w:hideMark/>
          </w:tcPr>
          <w:p w14:paraId="27A83A98"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2018</w:t>
            </w:r>
          </w:p>
        </w:tc>
        <w:tc>
          <w:tcPr>
            <w:tcW w:w="558" w:type="pct"/>
            <w:tcBorders>
              <w:top w:val="single" w:sz="4" w:space="0" w:color="auto"/>
            </w:tcBorders>
            <w:noWrap/>
            <w:hideMark/>
          </w:tcPr>
          <w:p w14:paraId="7BDC996E"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2019</w:t>
            </w:r>
          </w:p>
        </w:tc>
        <w:tc>
          <w:tcPr>
            <w:tcW w:w="558" w:type="pct"/>
            <w:tcBorders>
              <w:top w:val="single" w:sz="4" w:space="0" w:color="auto"/>
            </w:tcBorders>
            <w:noWrap/>
            <w:hideMark/>
          </w:tcPr>
          <w:p w14:paraId="58F70459"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2020</w:t>
            </w:r>
          </w:p>
        </w:tc>
      </w:tr>
      <w:tr w:rsidR="00DE4516" w:rsidRPr="00A260F0" w14:paraId="59CA054B" w14:textId="77777777" w:rsidTr="00507E8C">
        <w:tc>
          <w:tcPr>
            <w:tcW w:w="1096" w:type="pct"/>
            <w:noWrap/>
            <w:hideMark/>
          </w:tcPr>
          <w:p w14:paraId="0ECA4D8D"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Passengers ('000)</w:t>
            </w:r>
          </w:p>
        </w:tc>
        <w:tc>
          <w:tcPr>
            <w:tcW w:w="557" w:type="pct"/>
            <w:noWrap/>
            <w:hideMark/>
          </w:tcPr>
          <w:p w14:paraId="020DCEC0"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9,551.5</w:t>
            </w:r>
          </w:p>
        </w:tc>
        <w:tc>
          <w:tcPr>
            <w:tcW w:w="558" w:type="pct"/>
            <w:noWrap/>
            <w:hideMark/>
          </w:tcPr>
          <w:p w14:paraId="66C15BE3"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11,342.9</w:t>
            </w:r>
          </w:p>
        </w:tc>
        <w:tc>
          <w:tcPr>
            <w:tcW w:w="557" w:type="pct"/>
            <w:noWrap/>
            <w:hideMark/>
          </w:tcPr>
          <w:p w14:paraId="22EEFFE4"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13,230.1</w:t>
            </w:r>
          </w:p>
        </w:tc>
        <w:tc>
          <w:tcPr>
            <w:tcW w:w="558" w:type="pct"/>
            <w:noWrap/>
            <w:hideMark/>
          </w:tcPr>
          <w:p w14:paraId="45DB91F0"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15,581.2</w:t>
            </w:r>
          </w:p>
        </w:tc>
        <w:tc>
          <w:tcPr>
            <w:tcW w:w="557" w:type="pct"/>
            <w:noWrap/>
            <w:hideMark/>
          </w:tcPr>
          <w:p w14:paraId="137A824D"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16,779.0</w:t>
            </w:r>
          </w:p>
        </w:tc>
        <w:tc>
          <w:tcPr>
            <w:tcW w:w="558" w:type="pct"/>
            <w:noWrap/>
            <w:hideMark/>
          </w:tcPr>
          <w:p w14:paraId="5DE57CD7"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17,404.7</w:t>
            </w:r>
          </w:p>
        </w:tc>
        <w:tc>
          <w:tcPr>
            <w:tcW w:w="558" w:type="pct"/>
            <w:noWrap/>
            <w:hideMark/>
          </w:tcPr>
          <w:p w14:paraId="47F33F23"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2,943</w:t>
            </w:r>
          </w:p>
        </w:tc>
      </w:tr>
      <w:tr w:rsidR="00DE4516" w:rsidRPr="00A260F0" w14:paraId="40524ED1" w14:textId="77777777" w:rsidTr="00507E8C">
        <w:trPr>
          <w:cnfStyle w:val="000000010000" w:firstRow="0" w:lastRow="0" w:firstColumn="0" w:lastColumn="0" w:oddVBand="0" w:evenVBand="0" w:oddHBand="0" w:evenHBand="1" w:firstRowFirstColumn="0" w:firstRowLastColumn="0" w:lastRowFirstColumn="0" w:lastRowLastColumn="0"/>
        </w:trPr>
        <w:tc>
          <w:tcPr>
            <w:tcW w:w="1096" w:type="pct"/>
            <w:noWrap/>
            <w:hideMark/>
          </w:tcPr>
          <w:p w14:paraId="3639F772"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Passengers in</w:t>
            </w:r>
          </w:p>
        </w:tc>
        <w:tc>
          <w:tcPr>
            <w:tcW w:w="557" w:type="pct"/>
            <w:noWrap/>
            <w:hideMark/>
          </w:tcPr>
          <w:p w14:paraId="68D6AB2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4,770.9</w:t>
            </w:r>
          </w:p>
        </w:tc>
        <w:tc>
          <w:tcPr>
            <w:tcW w:w="558" w:type="pct"/>
            <w:noWrap/>
            <w:hideMark/>
          </w:tcPr>
          <w:p w14:paraId="0E70CFB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5,711.7</w:t>
            </w:r>
          </w:p>
        </w:tc>
        <w:tc>
          <w:tcPr>
            <w:tcW w:w="557" w:type="pct"/>
            <w:noWrap/>
            <w:hideMark/>
          </w:tcPr>
          <w:p w14:paraId="18DE2D9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6,659.0</w:t>
            </w:r>
          </w:p>
        </w:tc>
        <w:tc>
          <w:tcPr>
            <w:tcW w:w="558" w:type="pct"/>
            <w:noWrap/>
            <w:hideMark/>
          </w:tcPr>
          <w:p w14:paraId="1E88194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7,762.8</w:t>
            </w:r>
          </w:p>
        </w:tc>
        <w:tc>
          <w:tcPr>
            <w:tcW w:w="557" w:type="pct"/>
            <w:noWrap/>
            <w:hideMark/>
          </w:tcPr>
          <w:p w14:paraId="663F8D3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8,385.5</w:t>
            </w:r>
          </w:p>
        </w:tc>
        <w:tc>
          <w:tcPr>
            <w:tcW w:w="558" w:type="pct"/>
            <w:noWrap/>
            <w:hideMark/>
          </w:tcPr>
          <w:p w14:paraId="2F18720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8,658.5</w:t>
            </w:r>
          </w:p>
        </w:tc>
        <w:tc>
          <w:tcPr>
            <w:tcW w:w="558" w:type="pct"/>
            <w:noWrap/>
            <w:hideMark/>
          </w:tcPr>
          <w:p w14:paraId="57DC7A7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2,208</w:t>
            </w:r>
          </w:p>
        </w:tc>
      </w:tr>
      <w:tr w:rsidR="00DE4516" w:rsidRPr="00A260F0" w14:paraId="47655E1C" w14:textId="77777777" w:rsidTr="00507E8C">
        <w:tc>
          <w:tcPr>
            <w:tcW w:w="1096" w:type="pct"/>
            <w:noWrap/>
            <w:hideMark/>
          </w:tcPr>
          <w:p w14:paraId="30A674E1"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lastRenderedPageBreak/>
              <w:t>Passengers out</w:t>
            </w:r>
          </w:p>
        </w:tc>
        <w:tc>
          <w:tcPr>
            <w:tcW w:w="557" w:type="pct"/>
            <w:noWrap/>
            <w:hideMark/>
          </w:tcPr>
          <w:p w14:paraId="7CDEA41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4,746.5</w:t>
            </w:r>
          </w:p>
        </w:tc>
        <w:tc>
          <w:tcPr>
            <w:tcW w:w="558" w:type="pct"/>
            <w:noWrap/>
            <w:hideMark/>
          </w:tcPr>
          <w:p w14:paraId="044AFE9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5,601.0</w:t>
            </w:r>
          </w:p>
        </w:tc>
        <w:tc>
          <w:tcPr>
            <w:tcW w:w="557" w:type="pct"/>
            <w:noWrap/>
            <w:hideMark/>
          </w:tcPr>
          <w:p w14:paraId="4C1501A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6,543.5</w:t>
            </w:r>
          </w:p>
        </w:tc>
        <w:tc>
          <w:tcPr>
            <w:tcW w:w="558" w:type="pct"/>
            <w:noWrap/>
            <w:hideMark/>
          </w:tcPr>
          <w:p w14:paraId="5CEC481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7,786.8</w:t>
            </w:r>
          </w:p>
        </w:tc>
        <w:tc>
          <w:tcPr>
            <w:tcW w:w="557" w:type="pct"/>
            <w:noWrap/>
            <w:hideMark/>
          </w:tcPr>
          <w:p w14:paraId="6F977D7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8,374.6</w:t>
            </w:r>
          </w:p>
        </w:tc>
        <w:tc>
          <w:tcPr>
            <w:tcW w:w="558" w:type="pct"/>
            <w:noWrap/>
            <w:hideMark/>
          </w:tcPr>
          <w:p w14:paraId="21B42A0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8,721.8</w:t>
            </w:r>
          </w:p>
        </w:tc>
        <w:tc>
          <w:tcPr>
            <w:tcW w:w="558" w:type="pct"/>
            <w:noWrap/>
            <w:hideMark/>
          </w:tcPr>
          <w:p w14:paraId="17BCF73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727</w:t>
            </w:r>
          </w:p>
        </w:tc>
      </w:tr>
      <w:tr w:rsidR="00DE4516" w:rsidRPr="00A260F0" w14:paraId="7D77BB32" w14:textId="77777777" w:rsidTr="00507E8C">
        <w:trPr>
          <w:cnfStyle w:val="000000010000" w:firstRow="0" w:lastRow="0" w:firstColumn="0" w:lastColumn="0" w:oddVBand="0" w:evenVBand="0" w:oddHBand="0" w:evenHBand="1" w:firstRowFirstColumn="0" w:firstRowLastColumn="0" w:lastRowFirstColumn="0" w:lastRowLastColumn="0"/>
        </w:trPr>
        <w:tc>
          <w:tcPr>
            <w:tcW w:w="1096" w:type="pct"/>
            <w:noWrap/>
            <w:hideMark/>
          </w:tcPr>
          <w:p w14:paraId="16D8438C"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Transit</w:t>
            </w:r>
          </w:p>
        </w:tc>
        <w:tc>
          <w:tcPr>
            <w:tcW w:w="557" w:type="pct"/>
            <w:noWrap/>
            <w:hideMark/>
          </w:tcPr>
          <w:p w14:paraId="01A4108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34.2</w:t>
            </w:r>
          </w:p>
        </w:tc>
        <w:tc>
          <w:tcPr>
            <w:tcW w:w="558" w:type="pct"/>
            <w:noWrap/>
            <w:hideMark/>
          </w:tcPr>
          <w:p w14:paraId="0E19D2A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30.3</w:t>
            </w:r>
          </w:p>
        </w:tc>
        <w:tc>
          <w:tcPr>
            <w:tcW w:w="557" w:type="pct"/>
            <w:noWrap/>
            <w:hideMark/>
          </w:tcPr>
          <w:p w14:paraId="0FB2DD1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27.6</w:t>
            </w:r>
          </w:p>
        </w:tc>
        <w:tc>
          <w:tcPr>
            <w:tcW w:w="558" w:type="pct"/>
            <w:noWrap/>
            <w:hideMark/>
          </w:tcPr>
          <w:p w14:paraId="5BD93FF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31.7</w:t>
            </w:r>
          </w:p>
        </w:tc>
        <w:tc>
          <w:tcPr>
            <w:tcW w:w="557" w:type="pct"/>
            <w:noWrap/>
            <w:hideMark/>
          </w:tcPr>
          <w:p w14:paraId="3878DA0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18.9</w:t>
            </w:r>
          </w:p>
        </w:tc>
        <w:tc>
          <w:tcPr>
            <w:tcW w:w="558" w:type="pct"/>
            <w:noWrap/>
            <w:hideMark/>
          </w:tcPr>
          <w:p w14:paraId="0F517CD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24.4</w:t>
            </w:r>
          </w:p>
        </w:tc>
        <w:tc>
          <w:tcPr>
            <w:tcW w:w="558" w:type="pct"/>
            <w:noWrap/>
            <w:hideMark/>
          </w:tcPr>
          <w:p w14:paraId="442FEBD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w:t>
            </w:r>
          </w:p>
        </w:tc>
      </w:tr>
      <w:tr w:rsidR="00DE4516" w:rsidRPr="00A260F0" w14:paraId="67B932FE" w14:textId="77777777" w:rsidTr="00507E8C">
        <w:tc>
          <w:tcPr>
            <w:tcW w:w="1096" w:type="pct"/>
            <w:noWrap/>
            <w:hideMark/>
          </w:tcPr>
          <w:p w14:paraId="7555656C"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Freight ('000 kg)</w:t>
            </w:r>
          </w:p>
        </w:tc>
        <w:tc>
          <w:tcPr>
            <w:tcW w:w="557" w:type="pct"/>
            <w:noWrap/>
            <w:hideMark/>
          </w:tcPr>
          <w:p w14:paraId="6820CE9A"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w:t>
            </w:r>
          </w:p>
        </w:tc>
        <w:tc>
          <w:tcPr>
            <w:tcW w:w="558" w:type="pct"/>
            <w:noWrap/>
            <w:hideMark/>
          </w:tcPr>
          <w:p w14:paraId="4DA2D937"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3,015</w:t>
            </w:r>
          </w:p>
        </w:tc>
        <w:tc>
          <w:tcPr>
            <w:tcW w:w="557" w:type="pct"/>
            <w:noWrap/>
            <w:hideMark/>
          </w:tcPr>
          <w:p w14:paraId="7B73E2B3"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2,604</w:t>
            </w:r>
          </w:p>
        </w:tc>
        <w:tc>
          <w:tcPr>
            <w:tcW w:w="558" w:type="pct"/>
            <w:noWrap/>
            <w:hideMark/>
          </w:tcPr>
          <w:p w14:paraId="27CCF76C"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2,081</w:t>
            </w:r>
          </w:p>
        </w:tc>
        <w:tc>
          <w:tcPr>
            <w:tcW w:w="557" w:type="pct"/>
            <w:noWrap/>
            <w:hideMark/>
          </w:tcPr>
          <w:p w14:paraId="7D3CB097"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1,658</w:t>
            </w:r>
          </w:p>
        </w:tc>
        <w:tc>
          <w:tcPr>
            <w:tcW w:w="558" w:type="pct"/>
            <w:noWrap/>
            <w:hideMark/>
          </w:tcPr>
          <w:p w14:paraId="1C4F8034"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2,486</w:t>
            </w:r>
          </w:p>
        </w:tc>
        <w:tc>
          <w:tcPr>
            <w:tcW w:w="558" w:type="pct"/>
            <w:noWrap/>
            <w:hideMark/>
          </w:tcPr>
          <w:p w14:paraId="30F5FB5F"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408</w:t>
            </w:r>
          </w:p>
        </w:tc>
      </w:tr>
      <w:tr w:rsidR="00DE4516" w:rsidRPr="00A260F0" w14:paraId="0BC5F126" w14:textId="77777777" w:rsidTr="00507E8C">
        <w:trPr>
          <w:cnfStyle w:val="000000010000" w:firstRow="0" w:lastRow="0" w:firstColumn="0" w:lastColumn="0" w:oddVBand="0" w:evenVBand="0" w:oddHBand="0" w:evenHBand="1" w:firstRowFirstColumn="0" w:firstRowLastColumn="0" w:lastRowFirstColumn="0" w:lastRowLastColumn="0"/>
        </w:trPr>
        <w:tc>
          <w:tcPr>
            <w:tcW w:w="1096" w:type="pct"/>
            <w:noWrap/>
            <w:hideMark/>
          </w:tcPr>
          <w:p w14:paraId="46E61F0D"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No. of flights</w:t>
            </w:r>
          </w:p>
        </w:tc>
        <w:tc>
          <w:tcPr>
            <w:tcW w:w="557" w:type="pct"/>
            <w:noWrap/>
            <w:hideMark/>
          </w:tcPr>
          <w:p w14:paraId="05421B54"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92,347</w:t>
            </w:r>
          </w:p>
        </w:tc>
        <w:tc>
          <w:tcPr>
            <w:tcW w:w="558" w:type="pct"/>
            <w:noWrap/>
            <w:hideMark/>
          </w:tcPr>
          <w:p w14:paraId="541F24AE"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118,934</w:t>
            </w:r>
          </w:p>
        </w:tc>
        <w:tc>
          <w:tcPr>
            <w:tcW w:w="557" w:type="pct"/>
            <w:noWrap/>
            <w:hideMark/>
          </w:tcPr>
          <w:p w14:paraId="49CF05C5"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113,475</w:t>
            </w:r>
          </w:p>
        </w:tc>
        <w:tc>
          <w:tcPr>
            <w:tcW w:w="558" w:type="pct"/>
            <w:noWrap/>
            <w:hideMark/>
          </w:tcPr>
          <w:p w14:paraId="261D3940"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128,701</w:t>
            </w:r>
          </w:p>
        </w:tc>
        <w:tc>
          <w:tcPr>
            <w:tcW w:w="557" w:type="pct"/>
            <w:noWrap/>
            <w:hideMark/>
          </w:tcPr>
          <w:p w14:paraId="4A2A0831"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133,611</w:t>
            </w:r>
          </w:p>
        </w:tc>
        <w:tc>
          <w:tcPr>
            <w:tcW w:w="558" w:type="pct"/>
            <w:noWrap/>
            <w:hideMark/>
          </w:tcPr>
          <w:p w14:paraId="498925A1"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131,649</w:t>
            </w:r>
          </w:p>
        </w:tc>
        <w:tc>
          <w:tcPr>
            <w:tcW w:w="558" w:type="pct"/>
            <w:noWrap/>
            <w:hideMark/>
          </w:tcPr>
          <w:p w14:paraId="2D75658F"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40,181</w:t>
            </w:r>
          </w:p>
        </w:tc>
      </w:tr>
      <w:tr w:rsidR="00DE4516" w:rsidRPr="00A260F0" w14:paraId="78BC1E2F" w14:textId="77777777" w:rsidTr="00507E8C">
        <w:tc>
          <w:tcPr>
            <w:tcW w:w="1096" w:type="pct"/>
            <w:tcBorders>
              <w:bottom w:val="single" w:sz="4" w:space="0" w:color="auto"/>
            </w:tcBorders>
            <w:noWrap/>
            <w:hideMark/>
          </w:tcPr>
          <w:p w14:paraId="43C0FC3F"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International</w:t>
            </w:r>
          </w:p>
        </w:tc>
        <w:tc>
          <w:tcPr>
            <w:tcW w:w="557" w:type="pct"/>
            <w:tcBorders>
              <w:bottom w:val="single" w:sz="4" w:space="0" w:color="auto"/>
            </w:tcBorders>
            <w:noWrap/>
            <w:hideMark/>
          </w:tcPr>
          <w:p w14:paraId="5D99D4A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74,948</w:t>
            </w:r>
          </w:p>
        </w:tc>
        <w:tc>
          <w:tcPr>
            <w:tcW w:w="558" w:type="pct"/>
            <w:tcBorders>
              <w:bottom w:val="single" w:sz="4" w:space="0" w:color="auto"/>
            </w:tcBorders>
            <w:noWrap/>
            <w:hideMark/>
          </w:tcPr>
          <w:p w14:paraId="717EF2D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87,871</w:t>
            </w:r>
          </w:p>
        </w:tc>
        <w:tc>
          <w:tcPr>
            <w:tcW w:w="557" w:type="pct"/>
            <w:tcBorders>
              <w:bottom w:val="single" w:sz="4" w:space="0" w:color="auto"/>
            </w:tcBorders>
            <w:noWrap/>
            <w:hideMark/>
          </w:tcPr>
          <w:p w14:paraId="2E37E1F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98,296</w:t>
            </w:r>
          </w:p>
        </w:tc>
        <w:tc>
          <w:tcPr>
            <w:tcW w:w="558" w:type="pct"/>
            <w:tcBorders>
              <w:bottom w:val="single" w:sz="4" w:space="0" w:color="auto"/>
            </w:tcBorders>
            <w:noWrap/>
            <w:hideMark/>
          </w:tcPr>
          <w:p w14:paraId="30E4F7A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107,445</w:t>
            </w:r>
          </w:p>
        </w:tc>
        <w:tc>
          <w:tcPr>
            <w:tcW w:w="557" w:type="pct"/>
            <w:tcBorders>
              <w:bottom w:val="single" w:sz="4" w:space="0" w:color="auto"/>
            </w:tcBorders>
            <w:noWrap/>
            <w:hideMark/>
          </w:tcPr>
          <w:p w14:paraId="5AFCC41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111,804</w:t>
            </w:r>
          </w:p>
        </w:tc>
        <w:tc>
          <w:tcPr>
            <w:tcW w:w="558" w:type="pct"/>
            <w:tcBorders>
              <w:bottom w:val="single" w:sz="4" w:space="0" w:color="auto"/>
            </w:tcBorders>
            <w:noWrap/>
            <w:hideMark/>
          </w:tcPr>
          <w:p w14:paraId="2DFB6FB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112,106</w:t>
            </w:r>
          </w:p>
        </w:tc>
        <w:tc>
          <w:tcPr>
            <w:tcW w:w="558" w:type="pct"/>
            <w:tcBorders>
              <w:bottom w:val="single" w:sz="4" w:space="0" w:color="auto"/>
            </w:tcBorders>
            <w:noWrap/>
            <w:hideMark/>
          </w:tcPr>
          <w:p w14:paraId="21F96C4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32,897</w:t>
            </w:r>
          </w:p>
        </w:tc>
      </w:tr>
    </w:tbl>
    <w:p w14:paraId="78430056" w14:textId="747388FC" w:rsidR="00DE4516" w:rsidRDefault="00DE4516">
      <w:pPr>
        <w:pStyle w:val="TableNote"/>
        <w:autoSpaceDE w:val="0"/>
        <w:autoSpaceDN w:val="0"/>
        <w:adjustRightInd w:val="0"/>
        <w:contextualSpacing w:val="0"/>
      </w:pPr>
      <w:r>
        <w:t>..</w:t>
      </w:r>
      <w:r>
        <w:tab/>
        <w:t>Not available.</w:t>
      </w:r>
    </w:p>
    <w:p w14:paraId="3D70DBE1" w14:textId="77777777" w:rsidR="00DE4516" w:rsidRDefault="00DE4516">
      <w:pPr>
        <w:pStyle w:val="TableSource"/>
        <w:autoSpaceDE w:val="0"/>
        <w:autoSpaceDN w:val="0"/>
        <w:adjustRightInd w:val="0"/>
        <w:rPr>
          <w:szCs w:val="24"/>
        </w:rPr>
      </w:pPr>
      <w:r>
        <w:rPr>
          <w:szCs w:val="24"/>
        </w:rPr>
        <w:t>Source:</w:t>
      </w:r>
      <w:r>
        <w:rPr>
          <w:szCs w:val="24"/>
        </w:rPr>
        <w:tab/>
        <w:t xml:space="preserve">National Centre for Statistics and Information, </w:t>
      </w:r>
      <w:r>
        <w:rPr>
          <w:i/>
          <w:szCs w:val="24"/>
        </w:rPr>
        <w:t>Transport</w:t>
      </w:r>
      <w:r>
        <w:rPr>
          <w:szCs w:val="24"/>
        </w:rPr>
        <w:t xml:space="preserve">. Viewed at: </w:t>
      </w:r>
      <w:hyperlink r:id="rId30" w:history="1">
        <w:r w:rsidRPr="00D5600E">
          <w:rPr>
            <w:color w:val="0000FF"/>
            <w:szCs w:val="24"/>
            <w:u w:val="single"/>
          </w:rPr>
          <w:t>https://data.gov.om/yawrtcg/transport</w:t>
        </w:r>
      </w:hyperlink>
      <w:r>
        <w:rPr>
          <w:szCs w:val="24"/>
        </w:rPr>
        <w:t>; and information provided by the authorities.</w:t>
      </w:r>
    </w:p>
    <w:p w14:paraId="2DB00B4D" w14:textId="77777777" w:rsidR="00DE4516" w:rsidRDefault="00DE4516">
      <w:pPr>
        <w:pStyle w:val="BodyText0"/>
        <w:autoSpaceDE w:val="0"/>
        <w:autoSpaceDN w:val="0"/>
        <w:adjustRightInd w:val="0"/>
        <w:rPr>
          <w:szCs w:val="24"/>
        </w:rPr>
      </w:pPr>
      <w:r>
        <w:rPr>
          <w:szCs w:val="24"/>
        </w:rPr>
        <w:t>The Public Authority for Civil Aviation (PACA), also known as the Civil Aviation Authority (CAA), was established in May 2012 as an independent sectoral regulator, responsible for formulating policies related to civil aviation and performing regulatory oversight functions.</w:t>
      </w:r>
      <w:r w:rsidRPr="00DE4516">
        <w:rPr>
          <w:rStyle w:val="FootnoteReference"/>
        </w:rPr>
        <w:footnoteReference w:id="268"/>
      </w:r>
      <w:r>
        <w:rPr>
          <w:szCs w:val="24"/>
        </w:rPr>
        <w:t xml:space="preserve"> The PACA also provides air navigation and air traffic management services.</w:t>
      </w:r>
      <w:r w:rsidRPr="00DE4516">
        <w:rPr>
          <w:rStyle w:val="FootnoteReference"/>
        </w:rPr>
        <w:footnoteReference w:id="269"/>
      </w:r>
    </w:p>
    <w:p w14:paraId="55AE442A" w14:textId="77777777" w:rsidR="00DE4516" w:rsidRDefault="00DE4516">
      <w:pPr>
        <w:pStyle w:val="BodyText0"/>
        <w:autoSpaceDE w:val="0"/>
        <w:autoSpaceDN w:val="0"/>
        <w:adjustRightInd w:val="0"/>
        <w:rPr>
          <w:szCs w:val="24"/>
        </w:rPr>
      </w:pPr>
      <w:r>
        <w:rPr>
          <w:szCs w:val="24"/>
        </w:rPr>
        <w:t>Oman maintains 111 bilateral air services agreements (ASAs) with its trading partners, 51 of which offer the fourth freedom without restriction on capacity, destinations, and pricing. There are restrictions on designate, ownership, and effective control, but the restrictions vary across the ASAs. The authorities indicate that Oman pursues an "open sky" policy, offering the fifth freedom in negotiation. Cabotage is not allowed.</w:t>
      </w:r>
    </w:p>
    <w:p w14:paraId="1979EC22" w14:textId="77777777" w:rsidR="00DE4516" w:rsidRDefault="00DE4516">
      <w:pPr>
        <w:pStyle w:val="BodyText0"/>
        <w:autoSpaceDE w:val="0"/>
        <w:autoSpaceDN w:val="0"/>
        <w:adjustRightInd w:val="0"/>
        <w:rPr>
          <w:szCs w:val="24"/>
        </w:rPr>
      </w:pPr>
      <w:r>
        <w:rPr>
          <w:szCs w:val="24"/>
        </w:rPr>
        <w:t>Anyone who wishes to provide air transport services in Oman must obtain an Air Operator Certificate (for safety compliance) as a prerequisite, and then acquire an Economic Operating Licence (for business authorization) from the PACA.</w:t>
      </w:r>
      <w:r w:rsidRPr="00DE4516">
        <w:rPr>
          <w:rStyle w:val="FootnoteReference"/>
        </w:rPr>
        <w:footnoteReference w:id="270"/>
      </w:r>
      <w:r>
        <w:rPr>
          <w:szCs w:val="24"/>
        </w:rPr>
        <w:t xml:space="preserve"> While the principal place of business must be within the territory of Oman, the service provider must be at least 50% owned and effectively controlled by Omani persons. The fare and cargo rates are subject to approval by the PACA.</w:t>
      </w:r>
    </w:p>
    <w:p w14:paraId="756484E7" w14:textId="77777777" w:rsidR="00DE4516" w:rsidRDefault="00DE4516">
      <w:pPr>
        <w:pStyle w:val="BodyText0"/>
        <w:autoSpaceDE w:val="0"/>
        <w:autoSpaceDN w:val="0"/>
        <w:adjustRightInd w:val="0"/>
        <w:rPr>
          <w:szCs w:val="24"/>
        </w:rPr>
      </w:pPr>
      <w:r>
        <w:rPr>
          <w:szCs w:val="24"/>
        </w:rPr>
        <w:t>When an Economic Operating Licence holder (</w:t>
      </w:r>
      <w:proofErr w:type="gramStart"/>
      <w:r>
        <w:rPr>
          <w:szCs w:val="24"/>
        </w:rPr>
        <w:t>i.e.</w:t>
      </w:r>
      <w:proofErr w:type="gramEnd"/>
      <w:r>
        <w:rPr>
          <w:szCs w:val="24"/>
        </w:rPr>
        <w:t> a carrier) wishes to provide services on routes for which traffic rights are limited, the carrier must apply to the PACA for a Scarce Capacity Allocation Certificate (SCAC) prior to its operation on such routes. When there is more than one carrier applying for a SCAC</w:t>
      </w:r>
      <w:r w:rsidRPr="00DE4516">
        <w:rPr>
          <w:rStyle w:val="FootnoteReference"/>
        </w:rPr>
        <w:footnoteReference w:id="271"/>
      </w:r>
      <w:r>
        <w:rPr>
          <w:szCs w:val="24"/>
        </w:rPr>
        <w:t>, the PACA allocates the scarce capacity based on the grounds of maximizing economic efficiency, enhancing competition, and improving consumer welfare. Though the SCAC may be revoked, the authorities indicate that completely replacing an incumbent airline on a route occurs only when in an exceptional case.</w:t>
      </w:r>
    </w:p>
    <w:p w14:paraId="2C4B86BC" w14:textId="77777777" w:rsidR="00DE4516" w:rsidRDefault="00DE4516">
      <w:pPr>
        <w:pStyle w:val="BodyText0"/>
        <w:autoSpaceDE w:val="0"/>
        <w:autoSpaceDN w:val="0"/>
        <w:adjustRightInd w:val="0"/>
        <w:rPr>
          <w:szCs w:val="24"/>
        </w:rPr>
      </w:pPr>
      <w:r>
        <w:rPr>
          <w:szCs w:val="24"/>
        </w:rPr>
        <w:t>As of end-2020, the PACA had granted three Economic Operating Licences, two of which are Type A licences for legacy carriers, while the other is a Type B licence for general aviation. All three licensees are 100% Omani-owned. The two legacy carriers are Oman Air and Salam Air. Oman Air, the Sultanate's flag carrier, is 99% state-owned. Oman Air serves 49 destinations, focusing on South-east Asia, the Middle East, Africa, and Europe; its 70-plane fleet consists of two or three aircraft types. Salam Air, partially public-owned, is a low-cost airline licensed in January 2017. Salam Air serves international routes within the region with its six-aircraft fleet.</w:t>
      </w:r>
    </w:p>
    <w:p w14:paraId="687C94AA" w14:textId="77777777" w:rsidR="00DE4516" w:rsidRDefault="00DE4516">
      <w:pPr>
        <w:pStyle w:val="BodyText0"/>
        <w:autoSpaceDE w:val="0"/>
        <w:autoSpaceDN w:val="0"/>
        <w:adjustRightInd w:val="0"/>
        <w:rPr>
          <w:szCs w:val="24"/>
        </w:rPr>
      </w:pPr>
      <w:r>
        <w:rPr>
          <w:szCs w:val="24"/>
        </w:rPr>
        <w:t>Slot management is carried out by the airports. Airport Coordination Limited, a UK-based company, was appointed in February 2020 as the facilitator for slot coordination. According to the authorities, slot allocation follows International Air Transport Association (IATA) guidelines.</w:t>
      </w:r>
      <w:r w:rsidRPr="00DE4516">
        <w:rPr>
          <w:rStyle w:val="FootnoteReference"/>
        </w:rPr>
        <w:footnoteReference w:id="272"/>
      </w:r>
    </w:p>
    <w:p w14:paraId="0E602AB5" w14:textId="77777777" w:rsidR="00DE4516" w:rsidRDefault="00DE4516">
      <w:pPr>
        <w:pStyle w:val="BodyText0"/>
        <w:autoSpaceDE w:val="0"/>
        <w:autoSpaceDN w:val="0"/>
        <w:adjustRightInd w:val="0"/>
        <w:rPr>
          <w:szCs w:val="24"/>
        </w:rPr>
      </w:pPr>
      <w:r>
        <w:rPr>
          <w:szCs w:val="24"/>
        </w:rPr>
        <w:lastRenderedPageBreak/>
        <w:t>There are four airports for commercial use in Oman</w:t>
      </w:r>
      <w:r w:rsidRPr="00DE4516">
        <w:rPr>
          <w:rStyle w:val="FootnoteReference"/>
        </w:rPr>
        <w:footnoteReference w:id="273"/>
      </w:r>
      <w:r>
        <w:rPr>
          <w:szCs w:val="24"/>
        </w:rPr>
        <w:t>, all of which are state-owned. Muscat International Airport is the main airport; it is classified as an IATA Level II airport in terms of congestion.</w:t>
      </w:r>
      <w:r w:rsidRPr="00DE4516">
        <w:rPr>
          <w:rStyle w:val="FootnoteReference"/>
        </w:rPr>
        <w:footnoteReference w:id="274"/>
      </w:r>
      <w:r>
        <w:rPr>
          <w:szCs w:val="24"/>
        </w:rPr>
        <w:t xml:space="preserve"> Salalah, Sohar, and Duqm Airports are regional airports, classified as IATA Level I airports. Salalah Airport also receives some international traffic.</w:t>
      </w:r>
    </w:p>
    <w:p w14:paraId="1A531947" w14:textId="77777777" w:rsidR="00DE4516" w:rsidRDefault="00DE4516">
      <w:pPr>
        <w:pStyle w:val="BodyText0"/>
        <w:autoSpaceDE w:val="0"/>
        <w:autoSpaceDN w:val="0"/>
        <w:adjustRightInd w:val="0"/>
        <w:rPr>
          <w:szCs w:val="24"/>
        </w:rPr>
      </w:pPr>
      <w:r>
        <w:rPr>
          <w:szCs w:val="24"/>
        </w:rPr>
        <w:t xml:space="preserve">Oman Airports (formerly known as Oman Airports Management Company (OAMC)) is a state-owned company that manages all the airports in the Sultanate. Oman Airports is responsible for the operation, maintenance, and infrastructure management of the airports it manages. According to the authorities, Oman Airport does not have statutory exclusive rights to managing all airports in Oman. Under concession agreements with Oman Airports, third-party service providers operate the airports in areas such as ground handling, catering (in-flight catering and airport lounge), and cargo handling. Concessionaires include TRANSOM (formerly known as Oman Aviation Service, a subsidiary of Oman Air) and Swissport. Fuel services are provided by Shell Oman Marketing Company, Oman Oil Marketing Company, and Al </w:t>
      </w:r>
      <w:proofErr w:type="spellStart"/>
      <w:r>
        <w:rPr>
          <w:szCs w:val="24"/>
        </w:rPr>
        <w:t>Maha</w:t>
      </w:r>
      <w:proofErr w:type="spellEnd"/>
      <w:r>
        <w:rPr>
          <w:szCs w:val="24"/>
        </w:rPr>
        <w:t xml:space="preserve"> Petroleum Products Marketing Company. Airports charges are subject to approval by the PACA. There are no foreign ownership restrictions for airport operation service providers.</w:t>
      </w:r>
    </w:p>
    <w:p w14:paraId="00FD8320" w14:textId="77777777" w:rsidR="00DE4516" w:rsidRDefault="00DE4516">
      <w:pPr>
        <w:pStyle w:val="BodyText0"/>
        <w:autoSpaceDE w:val="0"/>
        <w:autoSpaceDN w:val="0"/>
        <w:adjustRightInd w:val="0"/>
        <w:rPr>
          <w:szCs w:val="24"/>
        </w:rPr>
      </w:pPr>
      <w:r>
        <w:rPr>
          <w:szCs w:val="24"/>
        </w:rPr>
        <w:t>During the review period, the capacity of Muscat International Airport and Salalah Airport was expanded. Foreign capital was involved in these expansion projects.</w:t>
      </w:r>
    </w:p>
    <w:p w14:paraId="189C1D4C" w14:textId="77777777" w:rsidR="00DE4516" w:rsidRDefault="00DE4516">
      <w:pPr>
        <w:pStyle w:val="Heading30"/>
        <w:autoSpaceDE w:val="0"/>
        <w:autoSpaceDN w:val="0"/>
        <w:adjustRightInd w:val="0"/>
        <w:rPr>
          <w:szCs w:val="24"/>
        </w:rPr>
      </w:pPr>
      <w:r>
        <w:rPr>
          <w:szCs w:val="24"/>
        </w:rPr>
        <w:t>Tourism</w:t>
      </w:r>
    </w:p>
    <w:p w14:paraId="381CA8B4" w14:textId="77777777" w:rsidR="00DE4516" w:rsidRDefault="00DE4516">
      <w:pPr>
        <w:pStyle w:val="BodyText0"/>
        <w:autoSpaceDE w:val="0"/>
        <w:autoSpaceDN w:val="0"/>
        <w:adjustRightInd w:val="0"/>
        <w:rPr>
          <w:szCs w:val="24"/>
        </w:rPr>
      </w:pPr>
      <w:r>
        <w:rPr>
          <w:szCs w:val="24"/>
        </w:rPr>
        <w:t>Oman has one of the most diverse environments in the Middle East, and the tourism sector has developed a niche market for luxury travellers. The tourism sector contributed 2.3% of GDP in 2020. As laid out in Oman's development strategy, Oman Vision 2040, the sector aims to contribute over 6% of GDP by 2040. The authorities also identified tourism as a sector that could be a source of significant employment – in 2020, there were 147,247 workers directly employed in the sector, about 11% of which were Omanis.</w:t>
      </w:r>
      <w:r w:rsidRPr="00DE4516">
        <w:rPr>
          <w:rStyle w:val="FootnoteReference"/>
        </w:rPr>
        <w:footnoteReference w:id="275"/>
      </w:r>
    </w:p>
    <w:p w14:paraId="3E80DA4B" w14:textId="77777777" w:rsidR="00DE4516" w:rsidRDefault="00DE4516">
      <w:pPr>
        <w:pStyle w:val="BodyText0"/>
        <w:autoSpaceDE w:val="0"/>
        <w:autoSpaceDN w:val="0"/>
        <w:adjustRightInd w:val="0"/>
        <w:rPr>
          <w:szCs w:val="24"/>
        </w:rPr>
      </w:pPr>
      <w:r>
        <w:rPr>
          <w:szCs w:val="24"/>
        </w:rPr>
        <w:t>The tourism sector experienced remarkable growth during the review period. The total number of visitors increased by 60%, standing at 3.5 million in 2019, up from 2.22 million in 2014. In terms of the countries of origin, while visitors from Europe continued to be a major source of customers (about 21% of total visitors in 2019), the number of visitors from Asia overtook the number from Europe starting in 2015, becoming the biggest source of inbound tourists, accounting for about 25% of total visitors in 2019. In 2020, the visitor number declined sharply to 0.8 million, reflecting the disruption caused by COVID</w:t>
      </w:r>
      <w:r>
        <w:rPr>
          <w:szCs w:val="24"/>
        </w:rPr>
        <w:noBreakHyphen/>
        <w:t>19 (</w:t>
      </w:r>
      <w:r>
        <w:rPr>
          <w:rStyle w:val="citetbl"/>
          <w:szCs w:val="24"/>
        </w:rPr>
        <w:t>Table 4.11</w:t>
      </w:r>
      <w:r>
        <w:rPr>
          <w:szCs w:val="24"/>
        </w:rPr>
        <w:t>).</w:t>
      </w:r>
    </w:p>
    <w:p w14:paraId="704349C2" w14:textId="77777777" w:rsidR="00DE4516" w:rsidRDefault="00DE4516">
      <w:pPr>
        <w:pStyle w:val="BodyText0"/>
        <w:autoSpaceDE w:val="0"/>
        <w:autoSpaceDN w:val="0"/>
        <w:adjustRightInd w:val="0"/>
        <w:rPr>
          <w:szCs w:val="24"/>
        </w:rPr>
      </w:pPr>
      <w:r>
        <w:rPr>
          <w:szCs w:val="24"/>
        </w:rPr>
        <w:t xml:space="preserve">The legal and institutional framework for the tourism sector remained unchanged during the review period. The main laws governing this sector are the Tourism Law and the Foreign Capital Investment Law. The Ministry of Heritage and Tourism remains the regulator for the sector, responsible for formulating the sectoral policies and development plans, licensing operators, and quality management, such as hotel classification. Licensing requirements apply to numerous activities, which cover, </w:t>
      </w:r>
      <w:r>
        <w:rPr>
          <w:i/>
          <w:szCs w:val="24"/>
        </w:rPr>
        <w:t>inter alia</w:t>
      </w:r>
      <w:r>
        <w:rPr>
          <w:szCs w:val="24"/>
        </w:rPr>
        <w:t>, entertainment and leisure activities, tourist transportation, water sports, travel agencies, hotel management, and tour guides. The Ministry of Heritage and Tourism is also responsible for promoting tourism.</w:t>
      </w:r>
    </w:p>
    <w:p w14:paraId="60718180" w14:textId="77777777" w:rsidR="00DE4516" w:rsidRDefault="00DE4516">
      <w:pPr>
        <w:pStyle w:val="BodyText0"/>
        <w:autoSpaceDE w:val="0"/>
        <w:autoSpaceDN w:val="0"/>
        <w:adjustRightInd w:val="0"/>
        <w:rPr>
          <w:szCs w:val="24"/>
        </w:rPr>
      </w:pPr>
      <w:r>
        <w:rPr>
          <w:szCs w:val="24"/>
        </w:rPr>
        <w:t>State involvement is quite heavy in the sector. The Oman Tourism Development Company (OMRAN Group) is a state-owned enterprise whose business involves tourism-related investment‚ development, and management. In its asset portfolio, OMRAN owns various hotels (including Oman's first home-grown hotel chain, Atana), resorts, and site development projects.</w:t>
      </w:r>
      <w:r w:rsidRPr="00DE4516">
        <w:rPr>
          <w:rStyle w:val="FootnoteReference"/>
        </w:rPr>
        <w:footnoteReference w:id="276"/>
      </w:r>
      <w:r>
        <w:rPr>
          <w:szCs w:val="24"/>
        </w:rPr>
        <w:t xml:space="preserve"> OMRAN has three subsidiaries: (</w:t>
      </w:r>
      <w:proofErr w:type="spellStart"/>
      <w:r>
        <w:rPr>
          <w:szCs w:val="24"/>
        </w:rPr>
        <w:t>i</w:t>
      </w:r>
      <w:proofErr w:type="spellEnd"/>
      <w:r>
        <w:rPr>
          <w:szCs w:val="24"/>
        </w:rPr>
        <w:t>) the Oman Heritage Development Company (OHDC), which focuses on managing culture and heritage sites; (ii) the Oman Project Management</w:t>
      </w:r>
      <w:r>
        <w:rPr>
          <w:szCs w:val="24"/>
          <w:highlight w:val="blue"/>
        </w:rPr>
        <w:t xml:space="preserve"> &amp; </w:t>
      </w:r>
      <w:r>
        <w:rPr>
          <w:szCs w:val="24"/>
        </w:rPr>
        <w:t xml:space="preserve">Development Company (OPMDC), </w:t>
      </w:r>
      <w:r>
        <w:rPr>
          <w:szCs w:val="24"/>
        </w:rPr>
        <w:lastRenderedPageBreak/>
        <w:t>which specializes in developing and executing tourism projects; and (iii) the National Omani Hospitality Company (NOHC), which is the hotel management wing.</w:t>
      </w:r>
    </w:p>
    <w:p w14:paraId="7D81E63C" w14:textId="77777777" w:rsidR="00DE4516" w:rsidRDefault="00DE4516">
      <w:pPr>
        <w:pStyle w:val="TableTitle"/>
        <w:autoSpaceDE w:val="0"/>
        <w:autoSpaceDN w:val="0"/>
        <w:adjustRightInd w:val="0"/>
      </w:pPr>
      <w:r>
        <w:t>Table 4.11 Selected indicators of tourism, 2014-20</w:t>
      </w:r>
    </w:p>
    <w:tbl>
      <w:tblPr>
        <w:tblStyle w:val="WTOTable1"/>
        <w:tblW w:w="5000" w:type="pct"/>
        <w:tblLook w:val="05E0" w:firstRow="1" w:lastRow="1" w:firstColumn="1" w:lastColumn="1" w:noHBand="0" w:noVBand="1"/>
      </w:tblPr>
      <w:tblGrid>
        <w:gridCol w:w="3111"/>
        <w:gridCol w:w="843"/>
        <w:gridCol w:w="843"/>
        <w:gridCol w:w="843"/>
        <w:gridCol w:w="843"/>
        <w:gridCol w:w="845"/>
        <w:gridCol w:w="845"/>
        <w:gridCol w:w="843"/>
      </w:tblGrid>
      <w:tr w:rsidR="00DE4516" w:rsidRPr="007F015E" w14:paraId="527B54DA" w14:textId="77777777" w:rsidTr="00A86160">
        <w:trPr>
          <w:cnfStyle w:val="100000000000" w:firstRow="1" w:lastRow="0" w:firstColumn="0" w:lastColumn="0" w:oddVBand="0" w:evenVBand="0" w:oddHBand="0" w:evenHBand="0" w:firstRowFirstColumn="0" w:firstRowLastColumn="0" w:lastRowFirstColumn="0" w:lastRowLastColumn="0"/>
          <w:cantSplit/>
          <w:tblHeader/>
        </w:trPr>
        <w:tc>
          <w:tcPr>
            <w:tcW w:w="1634" w:type="pct"/>
            <w:tcBorders>
              <w:top w:val="single" w:sz="4" w:space="0" w:color="auto"/>
            </w:tcBorders>
            <w:noWrap/>
            <w:vAlign w:val="center"/>
            <w:hideMark/>
          </w:tcPr>
          <w:p w14:paraId="4158D005" w14:textId="77777777" w:rsidR="00DE4516" w:rsidRPr="007F015E" w:rsidRDefault="00DE4516" w:rsidP="00DE4516">
            <w:pPr>
              <w:pStyle w:val="TableHead"/>
              <w:autoSpaceDE w:val="0"/>
              <w:autoSpaceDN w:val="0"/>
              <w:adjustRightInd w:val="0"/>
              <w:rPr>
                <w:b/>
              </w:rPr>
            </w:pPr>
          </w:p>
        </w:tc>
        <w:tc>
          <w:tcPr>
            <w:tcW w:w="496" w:type="pct"/>
            <w:tcBorders>
              <w:top w:val="single" w:sz="4" w:space="0" w:color="auto"/>
            </w:tcBorders>
            <w:noWrap/>
            <w:vAlign w:val="center"/>
            <w:hideMark/>
          </w:tcPr>
          <w:p w14:paraId="0731308D"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2014</w:t>
            </w:r>
          </w:p>
        </w:tc>
        <w:tc>
          <w:tcPr>
            <w:tcW w:w="496" w:type="pct"/>
            <w:tcBorders>
              <w:top w:val="single" w:sz="4" w:space="0" w:color="auto"/>
            </w:tcBorders>
            <w:noWrap/>
            <w:vAlign w:val="center"/>
            <w:hideMark/>
          </w:tcPr>
          <w:p w14:paraId="052057CF"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2015</w:t>
            </w:r>
          </w:p>
        </w:tc>
        <w:tc>
          <w:tcPr>
            <w:tcW w:w="497" w:type="pct"/>
            <w:tcBorders>
              <w:top w:val="single" w:sz="4" w:space="0" w:color="auto"/>
            </w:tcBorders>
            <w:noWrap/>
            <w:vAlign w:val="center"/>
            <w:hideMark/>
          </w:tcPr>
          <w:p w14:paraId="44D557B9"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2016</w:t>
            </w:r>
          </w:p>
        </w:tc>
        <w:tc>
          <w:tcPr>
            <w:tcW w:w="497" w:type="pct"/>
            <w:tcBorders>
              <w:top w:val="single" w:sz="4" w:space="0" w:color="auto"/>
            </w:tcBorders>
            <w:noWrap/>
            <w:vAlign w:val="center"/>
            <w:hideMark/>
          </w:tcPr>
          <w:p w14:paraId="47931E89"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2017</w:t>
            </w:r>
          </w:p>
        </w:tc>
        <w:tc>
          <w:tcPr>
            <w:tcW w:w="497" w:type="pct"/>
            <w:tcBorders>
              <w:top w:val="single" w:sz="4" w:space="0" w:color="auto"/>
            </w:tcBorders>
            <w:noWrap/>
            <w:vAlign w:val="center"/>
            <w:hideMark/>
          </w:tcPr>
          <w:p w14:paraId="72074ECD"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2018</w:t>
            </w:r>
          </w:p>
        </w:tc>
        <w:tc>
          <w:tcPr>
            <w:tcW w:w="497" w:type="pct"/>
            <w:tcBorders>
              <w:top w:val="single" w:sz="4" w:space="0" w:color="auto"/>
            </w:tcBorders>
            <w:noWrap/>
            <w:vAlign w:val="center"/>
            <w:hideMark/>
          </w:tcPr>
          <w:p w14:paraId="1D66F0EE"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2019</w:t>
            </w:r>
          </w:p>
        </w:tc>
        <w:tc>
          <w:tcPr>
            <w:tcW w:w="387" w:type="pct"/>
            <w:tcBorders>
              <w:top w:val="single" w:sz="4" w:space="0" w:color="auto"/>
            </w:tcBorders>
            <w:noWrap/>
            <w:vAlign w:val="center"/>
            <w:hideMark/>
          </w:tcPr>
          <w:p w14:paraId="1135A804" w14:textId="77777777" w:rsidR="00DE4516" w:rsidRPr="007F015E" w:rsidRDefault="00DE4516" w:rsidP="00DE4516">
            <w:pPr>
              <w:pStyle w:val="TableHead"/>
              <w:autoSpaceDE w:val="0"/>
              <w:autoSpaceDN w:val="0"/>
              <w:adjustRightInd w:val="0"/>
              <w:jc w:val="right"/>
              <w:rPr>
                <w:rFonts w:cs="Calibri"/>
                <w:b/>
                <w:color w:val="FFFFFF" w:themeColor="background1"/>
                <w:sz w:val="15"/>
                <w:szCs w:val="15"/>
              </w:rPr>
            </w:pPr>
            <w:r w:rsidRPr="007F015E">
              <w:rPr>
                <w:b/>
              </w:rPr>
              <w:t>2020</w:t>
            </w:r>
          </w:p>
        </w:tc>
      </w:tr>
      <w:tr w:rsidR="00DE4516" w:rsidRPr="00A260F0" w14:paraId="72304F59" w14:textId="77777777" w:rsidTr="00A86160">
        <w:trPr>
          <w:cantSplit/>
        </w:trPr>
        <w:tc>
          <w:tcPr>
            <w:tcW w:w="1634" w:type="pct"/>
            <w:noWrap/>
            <w:vAlign w:val="center"/>
            <w:hideMark/>
          </w:tcPr>
          <w:p w14:paraId="60732043"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Total visitors ('000)</w:t>
            </w:r>
          </w:p>
        </w:tc>
        <w:tc>
          <w:tcPr>
            <w:tcW w:w="496" w:type="pct"/>
            <w:noWrap/>
            <w:vAlign w:val="center"/>
            <w:hideMark/>
          </w:tcPr>
          <w:p w14:paraId="3BA987DA"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2,225</w:t>
            </w:r>
          </w:p>
        </w:tc>
        <w:tc>
          <w:tcPr>
            <w:tcW w:w="496" w:type="pct"/>
            <w:noWrap/>
            <w:vAlign w:val="center"/>
            <w:hideMark/>
          </w:tcPr>
          <w:p w14:paraId="71CD840B"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2,634</w:t>
            </w:r>
          </w:p>
        </w:tc>
        <w:tc>
          <w:tcPr>
            <w:tcW w:w="497" w:type="pct"/>
            <w:noWrap/>
            <w:vAlign w:val="center"/>
            <w:hideMark/>
          </w:tcPr>
          <w:p w14:paraId="744F8FA1"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3,207</w:t>
            </w:r>
          </w:p>
        </w:tc>
        <w:tc>
          <w:tcPr>
            <w:tcW w:w="497" w:type="pct"/>
            <w:noWrap/>
            <w:vAlign w:val="center"/>
            <w:hideMark/>
          </w:tcPr>
          <w:p w14:paraId="2B461A96"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3,178</w:t>
            </w:r>
          </w:p>
        </w:tc>
        <w:tc>
          <w:tcPr>
            <w:tcW w:w="497" w:type="pct"/>
            <w:noWrap/>
            <w:vAlign w:val="center"/>
            <w:hideMark/>
          </w:tcPr>
          <w:p w14:paraId="3B76B326"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3,242</w:t>
            </w:r>
          </w:p>
        </w:tc>
        <w:tc>
          <w:tcPr>
            <w:tcW w:w="497" w:type="pct"/>
            <w:noWrap/>
            <w:vAlign w:val="center"/>
            <w:hideMark/>
          </w:tcPr>
          <w:p w14:paraId="53C39DA8"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3,506</w:t>
            </w:r>
          </w:p>
        </w:tc>
        <w:tc>
          <w:tcPr>
            <w:tcW w:w="387" w:type="pct"/>
            <w:noWrap/>
            <w:vAlign w:val="center"/>
            <w:hideMark/>
          </w:tcPr>
          <w:p w14:paraId="1284229B"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869</w:t>
            </w:r>
          </w:p>
        </w:tc>
      </w:tr>
      <w:tr w:rsidR="00DE4516" w:rsidRPr="00A260F0" w14:paraId="26C17CA7"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634" w:type="pct"/>
            <w:noWrap/>
            <w:vAlign w:val="center"/>
            <w:hideMark/>
          </w:tcPr>
          <w:p w14:paraId="42610EA1" w14:textId="77777777" w:rsidR="00DE4516" w:rsidRPr="00A46ADC" w:rsidRDefault="00DE4516" w:rsidP="00DE4516">
            <w:pPr>
              <w:pStyle w:val="TableBody"/>
              <w:tabs>
                <w:tab w:val="left" w:pos="547"/>
              </w:tabs>
              <w:autoSpaceDE w:val="0"/>
              <w:autoSpaceDN w:val="0"/>
              <w:adjustRightInd w:val="0"/>
              <w:jc w:val="both"/>
              <w:rPr>
                <w:rFonts w:cs="Calibri"/>
                <w:color w:val="000000"/>
                <w:sz w:val="15"/>
                <w:szCs w:val="15"/>
              </w:rPr>
            </w:pPr>
            <w:r w:rsidRPr="00A46ADC">
              <w:t>From:</w:t>
            </w:r>
            <w:r w:rsidRPr="00A46ADC">
              <w:tab/>
              <w:t>Asia ('000)</w:t>
            </w:r>
          </w:p>
        </w:tc>
        <w:tc>
          <w:tcPr>
            <w:tcW w:w="496" w:type="pct"/>
            <w:noWrap/>
            <w:vAlign w:val="center"/>
            <w:hideMark/>
          </w:tcPr>
          <w:p w14:paraId="207B15B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478.3</w:t>
            </w:r>
          </w:p>
        </w:tc>
        <w:tc>
          <w:tcPr>
            <w:tcW w:w="496" w:type="pct"/>
            <w:noWrap/>
            <w:vAlign w:val="center"/>
            <w:hideMark/>
          </w:tcPr>
          <w:p w14:paraId="2CFD2EE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577.7</w:t>
            </w:r>
          </w:p>
        </w:tc>
        <w:tc>
          <w:tcPr>
            <w:tcW w:w="497" w:type="pct"/>
            <w:noWrap/>
            <w:vAlign w:val="center"/>
            <w:hideMark/>
          </w:tcPr>
          <w:p w14:paraId="07FC2AF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650.9</w:t>
            </w:r>
          </w:p>
        </w:tc>
        <w:tc>
          <w:tcPr>
            <w:tcW w:w="497" w:type="pct"/>
            <w:noWrap/>
            <w:vAlign w:val="center"/>
            <w:hideMark/>
          </w:tcPr>
          <w:p w14:paraId="7008BBD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631.7</w:t>
            </w:r>
          </w:p>
        </w:tc>
        <w:tc>
          <w:tcPr>
            <w:tcW w:w="497" w:type="pct"/>
            <w:noWrap/>
            <w:vAlign w:val="center"/>
            <w:hideMark/>
          </w:tcPr>
          <w:p w14:paraId="1A1B01D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690.0</w:t>
            </w:r>
          </w:p>
        </w:tc>
        <w:tc>
          <w:tcPr>
            <w:tcW w:w="497" w:type="pct"/>
            <w:noWrap/>
            <w:vAlign w:val="center"/>
            <w:hideMark/>
          </w:tcPr>
          <w:p w14:paraId="1922941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870.1</w:t>
            </w:r>
          </w:p>
        </w:tc>
        <w:tc>
          <w:tcPr>
            <w:tcW w:w="387" w:type="pct"/>
            <w:noWrap/>
            <w:vAlign w:val="center"/>
            <w:hideMark/>
          </w:tcPr>
          <w:p w14:paraId="5E98CB7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064F3FB2" w14:textId="77777777" w:rsidTr="00A86160">
        <w:trPr>
          <w:cantSplit/>
        </w:trPr>
        <w:tc>
          <w:tcPr>
            <w:tcW w:w="1634" w:type="pct"/>
            <w:noWrap/>
            <w:vAlign w:val="center"/>
            <w:hideMark/>
          </w:tcPr>
          <w:p w14:paraId="67D7DAE6" w14:textId="77777777" w:rsidR="00DE4516" w:rsidRPr="00A46ADC" w:rsidRDefault="00DE4516" w:rsidP="00DE4516">
            <w:pPr>
              <w:pStyle w:val="TableBody"/>
              <w:tabs>
                <w:tab w:val="left" w:pos="547"/>
              </w:tabs>
              <w:autoSpaceDE w:val="0"/>
              <w:autoSpaceDN w:val="0"/>
              <w:adjustRightInd w:val="0"/>
              <w:jc w:val="both"/>
              <w:rPr>
                <w:rFonts w:cs="Calibri"/>
                <w:color w:val="000000"/>
                <w:sz w:val="15"/>
                <w:szCs w:val="15"/>
              </w:rPr>
            </w:pPr>
            <w:r w:rsidRPr="00A46ADC">
              <w:tab/>
              <w:t>Africa</w:t>
            </w:r>
          </w:p>
        </w:tc>
        <w:tc>
          <w:tcPr>
            <w:tcW w:w="496" w:type="pct"/>
            <w:noWrap/>
            <w:vAlign w:val="center"/>
            <w:hideMark/>
          </w:tcPr>
          <w:p w14:paraId="5EF5874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25,281</w:t>
            </w:r>
          </w:p>
        </w:tc>
        <w:tc>
          <w:tcPr>
            <w:tcW w:w="496" w:type="pct"/>
            <w:noWrap/>
            <w:vAlign w:val="center"/>
            <w:hideMark/>
          </w:tcPr>
          <w:p w14:paraId="0C5404A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26,891</w:t>
            </w:r>
          </w:p>
        </w:tc>
        <w:tc>
          <w:tcPr>
            <w:tcW w:w="497" w:type="pct"/>
            <w:noWrap/>
            <w:hideMark/>
          </w:tcPr>
          <w:p w14:paraId="0E42CA7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7" w:type="pct"/>
            <w:noWrap/>
            <w:hideMark/>
          </w:tcPr>
          <w:p w14:paraId="335EFF1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7" w:type="pct"/>
            <w:noWrap/>
            <w:hideMark/>
          </w:tcPr>
          <w:p w14:paraId="5E6DF65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7" w:type="pct"/>
            <w:noWrap/>
            <w:hideMark/>
          </w:tcPr>
          <w:p w14:paraId="3B905CA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387" w:type="pct"/>
            <w:noWrap/>
            <w:hideMark/>
          </w:tcPr>
          <w:p w14:paraId="2C3EF52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6789ACFE"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634" w:type="pct"/>
            <w:noWrap/>
            <w:vAlign w:val="center"/>
            <w:hideMark/>
          </w:tcPr>
          <w:p w14:paraId="294B4C6F" w14:textId="77777777" w:rsidR="00DE4516" w:rsidRPr="00A46ADC" w:rsidRDefault="00DE4516" w:rsidP="00DE4516">
            <w:pPr>
              <w:pStyle w:val="TableBody"/>
              <w:tabs>
                <w:tab w:val="left" w:pos="547"/>
              </w:tabs>
              <w:autoSpaceDE w:val="0"/>
              <w:autoSpaceDN w:val="0"/>
              <w:adjustRightInd w:val="0"/>
              <w:jc w:val="both"/>
              <w:rPr>
                <w:rFonts w:cs="Calibri"/>
                <w:color w:val="000000"/>
                <w:sz w:val="15"/>
                <w:szCs w:val="15"/>
              </w:rPr>
            </w:pPr>
            <w:r w:rsidRPr="00A46ADC">
              <w:tab/>
              <w:t>America</w:t>
            </w:r>
          </w:p>
        </w:tc>
        <w:tc>
          <w:tcPr>
            <w:tcW w:w="496" w:type="pct"/>
            <w:noWrap/>
            <w:vAlign w:val="center"/>
            <w:hideMark/>
          </w:tcPr>
          <w:p w14:paraId="48BFFDB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86,236</w:t>
            </w:r>
          </w:p>
        </w:tc>
        <w:tc>
          <w:tcPr>
            <w:tcW w:w="496" w:type="pct"/>
            <w:noWrap/>
            <w:vAlign w:val="center"/>
            <w:hideMark/>
          </w:tcPr>
          <w:p w14:paraId="0875229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93,566</w:t>
            </w:r>
          </w:p>
        </w:tc>
        <w:tc>
          <w:tcPr>
            <w:tcW w:w="497" w:type="pct"/>
            <w:noWrap/>
            <w:hideMark/>
          </w:tcPr>
          <w:p w14:paraId="10BC847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7" w:type="pct"/>
            <w:noWrap/>
            <w:hideMark/>
          </w:tcPr>
          <w:p w14:paraId="2B31ECD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7" w:type="pct"/>
            <w:noWrap/>
            <w:hideMark/>
          </w:tcPr>
          <w:p w14:paraId="3557F5B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7" w:type="pct"/>
            <w:noWrap/>
            <w:hideMark/>
          </w:tcPr>
          <w:p w14:paraId="0A7AE9E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387" w:type="pct"/>
            <w:noWrap/>
            <w:hideMark/>
          </w:tcPr>
          <w:p w14:paraId="286C8DD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516C2C6F" w14:textId="77777777" w:rsidTr="00A86160">
        <w:trPr>
          <w:cantSplit/>
        </w:trPr>
        <w:tc>
          <w:tcPr>
            <w:tcW w:w="1634" w:type="pct"/>
            <w:noWrap/>
            <w:vAlign w:val="center"/>
            <w:hideMark/>
          </w:tcPr>
          <w:p w14:paraId="27BE8835" w14:textId="77777777" w:rsidR="00DE4516" w:rsidRPr="00A46ADC" w:rsidRDefault="00DE4516" w:rsidP="00DE4516">
            <w:pPr>
              <w:pStyle w:val="TableBody"/>
              <w:tabs>
                <w:tab w:val="left" w:pos="547"/>
              </w:tabs>
              <w:autoSpaceDE w:val="0"/>
              <w:autoSpaceDN w:val="0"/>
              <w:adjustRightInd w:val="0"/>
              <w:jc w:val="both"/>
              <w:rPr>
                <w:rFonts w:cs="Calibri"/>
                <w:color w:val="000000"/>
                <w:sz w:val="15"/>
                <w:szCs w:val="15"/>
              </w:rPr>
            </w:pPr>
            <w:r w:rsidRPr="00A46ADC">
              <w:tab/>
              <w:t>Europe ('000)</w:t>
            </w:r>
          </w:p>
        </w:tc>
        <w:tc>
          <w:tcPr>
            <w:tcW w:w="496" w:type="pct"/>
            <w:noWrap/>
            <w:vAlign w:val="center"/>
            <w:hideMark/>
          </w:tcPr>
          <w:p w14:paraId="537C1D5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508.1</w:t>
            </w:r>
          </w:p>
        </w:tc>
        <w:tc>
          <w:tcPr>
            <w:tcW w:w="496" w:type="pct"/>
            <w:noWrap/>
            <w:vAlign w:val="center"/>
            <w:hideMark/>
          </w:tcPr>
          <w:p w14:paraId="5B7F56E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515.0</w:t>
            </w:r>
          </w:p>
        </w:tc>
        <w:tc>
          <w:tcPr>
            <w:tcW w:w="497" w:type="pct"/>
            <w:noWrap/>
            <w:vAlign w:val="center"/>
            <w:hideMark/>
          </w:tcPr>
          <w:p w14:paraId="3F356E6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584.3</w:t>
            </w:r>
          </w:p>
        </w:tc>
        <w:tc>
          <w:tcPr>
            <w:tcW w:w="497" w:type="pct"/>
            <w:noWrap/>
            <w:vAlign w:val="center"/>
            <w:hideMark/>
          </w:tcPr>
          <w:p w14:paraId="7FDA204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604.6</w:t>
            </w:r>
          </w:p>
        </w:tc>
        <w:tc>
          <w:tcPr>
            <w:tcW w:w="497" w:type="pct"/>
            <w:noWrap/>
            <w:vAlign w:val="center"/>
            <w:hideMark/>
          </w:tcPr>
          <w:p w14:paraId="6E14B44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616.2</w:t>
            </w:r>
          </w:p>
        </w:tc>
        <w:tc>
          <w:tcPr>
            <w:tcW w:w="497" w:type="pct"/>
            <w:noWrap/>
            <w:vAlign w:val="center"/>
            <w:hideMark/>
          </w:tcPr>
          <w:p w14:paraId="2B55176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726.5</w:t>
            </w:r>
          </w:p>
        </w:tc>
        <w:tc>
          <w:tcPr>
            <w:tcW w:w="387" w:type="pct"/>
            <w:noWrap/>
            <w:vAlign w:val="center"/>
            <w:hideMark/>
          </w:tcPr>
          <w:p w14:paraId="7A70B8B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150F837B"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634" w:type="pct"/>
            <w:noWrap/>
            <w:vAlign w:val="center"/>
            <w:hideMark/>
          </w:tcPr>
          <w:p w14:paraId="3DF18F3E" w14:textId="77777777" w:rsidR="00DE4516" w:rsidRPr="00A46ADC" w:rsidRDefault="00DE4516" w:rsidP="00DE4516">
            <w:pPr>
              <w:pStyle w:val="TableBody"/>
              <w:tabs>
                <w:tab w:val="left" w:pos="547"/>
              </w:tabs>
              <w:autoSpaceDE w:val="0"/>
              <w:autoSpaceDN w:val="0"/>
              <w:adjustRightInd w:val="0"/>
              <w:jc w:val="both"/>
              <w:rPr>
                <w:rFonts w:cs="Calibri"/>
                <w:color w:val="000000"/>
                <w:sz w:val="15"/>
                <w:szCs w:val="15"/>
              </w:rPr>
            </w:pPr>
            <w:r w:rsidRPr="00A46ADC">
              <w:tab/>
              <w:t>Oceania</w:t>
            </w:r>
          </w:p>
        </w:tc>
        <w:tc>
          <w:tcPr>
            <w:tcW w:w="496" w:type="pct"/>
            <w:noWrap/>
            <w:vAlign w:val="center"/>
            <w:hideMark/>
          </w:tcPr>
          <w:p w14:paraId="77110D1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17,229</w:t>
            </w:r>
          </w:p>
        </w:tc>
        <w:tc>
          <w:tcPr>
            <w:tcW w:w="496" w:type="pct"/>
            <w:noWrap/>
            <w:vAlign w:val="center"/>
            <w:hideMark/>
          </w:tcPr>
          <w:p w14:paraId="64304E2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17,752</w:t>
            </w:r>
          </w:p>
        </w:tc>
        <w:tc>
          <w:tcPr>
            <w:tcW w:w="497" w:type="pct"/>
            <w:noWrap/>
            <w:hideMark/>
          </w:tcPr>
          <w:p w14:paraId="2C33E2F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7" w:type="pct"/>
            <w:noWrap/>
            <w:hideMark/>
          </w:tcPr>
          <w:p w14:paraId="5D964C8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7" w:type="pct"/>
            <w:noWrap/>
            <w:hideMark/>
          </w:tcPr>
          <w:p w14:paraId="6A01F4F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7" w:type="pct"/>
            <w:noWrap/>
            <w:hideMark/>
          </w:tcPr>
          <w:p w14:paraId="681F641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387" w:type="pct"/>
            <w:noWrap/>
            <w:hideMark/>
          </w:tcPr>
          <w:p w14:paraId="1750E28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1DED2DC5" w14:textId="77777777" w:rsidTr="00A86160">
        <w:trPr>
          <w:cantSplit/>
        </w:trPr>
        <w:tc>
          <w:tcPr>
            <w:tcW w:w="1634" w:type="pct"/>
            <w:noWrap/>
            <w:vAlign w:val="center"/>
          </w:tcPr>
          <w:p w14:paraId="0F33B3C5" w14:textId="77777777" w:rsidR="00DE4516" w:rsidRPr="00A46ADC" w:rsidRDefault="00DE4516" w:rsidP="00DE4516">
            <w:pPr>
              <w:pStyle w:val="TableBody"/>
              <w:tabs>
                <w:tab w:val="left" w:pos="547"/>
              </w:tabs>
              <w:autoSpaceDE w:val="0"/>
              <w:autoSpaceDN w:val="0"/>
              <w:adjustRightInd w:val="0"/>
              <w:jc w:val="both"/>
              <w:rPr>
                <w:rFonts w:cs="Calibri"/>
                <w:color w:val="000000"/>
                <w:sz w:val="15"/>
                <w:szCs w:val="15"/>
              </w:rPr>
            </w:pPr>
            <w:r w:rsidRPr="00A46ADC">
              <w:t>For:</w:t>
            </w:r>
            <w:r w:rsidRPr="00A46ADC">
              <w:tab/>
              <w:t>Business ('000)</w:t>
            </w:r>
          </w:p>
        </w:tc>
        <w:tc>
          <w:tcPr>
            <w:tcW w:w="496" w:type="pct"/>
            <w:noWrap/>
            <w:vAlign w:val="center"/>
          </w:tcPr>
          <w:p w14:paraId="4D8434E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403.7</w:t>
            </w:r>
          </w:p>
        </w:tc>
        <w:tc>
          <w:tcPr>
            <w:tcW w:w="496" w:type="pct"/>
            <w:noWrap/>
            <w:vAlign w:val="center"/>
          </w:tcPr>
          <w:p w14:paraId="63ED6AF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483.8</w:t>
            </w:r>
          </w:p>
        </w:tc>
        <w:tc>
          <w:tcPr>
            <w:tcW w:w="497" w:type="pct"/>
            <w:noWrap/>
            <w:vAlign w:val="center"/>
          </w:tcPr>
          <w:p w14:paraId="262C52CE" w14:textId="77777777" w:rsidR="00DE4516" w:rsidRPr="00A46ADC" w:rsidRDefault="00DE4516" w:rsidP="00DE4516">
            <w:pPr>
              <w:pStyle w:val="TableBody"/>
              <w:autoSpaceDE w:val="0"/>
              <w:autoSpaceDN w:val="0"/>
              <w:adjustRightInd w:val="0"/>
              <w:jc w:val="right"/>
              <w:rPr>
                <w:rFonts w:cs="Calibri"/>
                <w:bCs/>
                <w:color w:val="000000"/>
                <w:sz w:val="15"/>
                <w:szCs w:val="15"/>
              </w:rPr>
            </w:pPr>
            <w:r w:rsidRPr="00A46ADC">
              <w:t>560.2</w:t>
            </w:r>
          </w:p>
        </w:tc>
        <w:tc>
          <w:tcPr>
            <w:tcW w:w="497" w:type="pct"/>
            <w:noWrap/>
            <w:vAlign w:val="center"/>
          </w:tcPr>
          <w:p w14:paraId="0D71659B" w14:textId="77777777" w:rsidR="00DE4516" w:rsidRPr="00A46ADC" w:rsidRDefault="00DE4516" w:rsidP="00DE4516">
            <w:pPr>
              <w:pStyle w:val="TableBody"/>
              <w:autoSpaceDE w:val="0"/>
              <w:autoSpaceDN w:val="0"/>
              <w:adjustRightInd w:val="0"/>
              <w:jc w:val="right"/>
              <w:rPr>
                <w:rFonts w:cs="Calibri"/>
                <w:bCs/>
                <w:color w:val="000000"/>
                <w:sz w:val="15"/>
                <w:szCs w:val="15"/>
              </w:rPr>
            </w:pPr>
            <w:r w:rsidRPr="00A46ADC">
              <w:t>547.2</w:t>
            </w:r>
          </w:p>
        </w:tc>
        <w:tc>
          <w:tcPr>
            <w:tcW w:w="497" w:type="pct"/>
            <w:noWrap/>
            <w:vAlign w:val="center"/>
          </w:tcPr>
          <w:p w14:paraId="5253AAB2" w14:textId="77777777" w:rsidR="00DE4516" w:rsidRPr="00A46ADC" w:rsidRDefault="00DE4516" w:rsidP="00DE4516">
            <w:pPr>
              <w:pStyle w:val="TableBody"/>
              <w:autoSpaceDE w:val="0"/>
              <w:autoSpaceDN w:val="0"/>
              <w:adjustRightInd w:val="0"/>
              <w:jc w:val="right"/>
              <w:rPr>
                <w:rFonts w:cs="Calibri"/>
                <w:bCs/>
                <w:color w:val="000000"/>
                <w:sz w:val="15"/>
                <w:szCs w:val="15"/>
              </w:rPr>
            </w:pPr>
            <w:r w:rsidRPr="00A46ADC">
              <w:t>349.6</w:t>
            </w:r>
          </w:p>
        </w:tc>
        <w:tc>
          <w:tcPr>
            <w:tcW w:w="497" w:type="pct"/>
            <w:noWrap/>
            <w:vAlign w:val="center"/>
          </w:tcPr>
          <w:p w14:paraId="6EC86220" w14:textId="77777777" w:rsidR="00DE4516" w:rsidRPr="00A46ADC" w:rsidRDefault="00DE4516" w:rsidP="00DE4516">
            <w:pPr>
              <w:pStyle w:val="TableBody"/>
              <w:autoSpaceDE w:val="0"/>
              <w:autoSpaceDN w:val="0"/>
              <w:adjustRightInd w:val="0"/>
              <w:jc w:val="right"/>
              <w:rPr>
                <w:rFonts w:cs="Calibri"/>
                <w:bCs/>
                <w:color w:val="000000"/>
                <w:sz w:val="15"/>
                <w:szCs w:val="15"/>
              </w:rPr>
            </w:pPr>
            <w:r w:rsidRPr="00A46ADC">
              <w:t>411.3</w:t>
            </w:r>
          </w:p>
        </w:tc>
        <w:tc>
          <w:tcPr>
            <w:tcW w:w="387" w:type="pct"/>
            <w:noWrap/>
          </w:tcPr>
          <w:p w14:paraId="1869624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29423D44"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634" w:type="pct"/>
            <w:noWrap/>
            <w:vAlign w:val="center"/>
          </w:tcPr>
          <w:p w14:paraId="2F019378" w14:textId="77777777" w:rsidR="00DE4516" w:rsidRPr="00A46ADC" w:rsidRDefault="00DE4516" w:rsidP="00DE4516">
            <w:pPr>
              <w:pStyle w:val="TableBody"/>
              <w:tabs>
                <w:tab w:val="left" w:pos="547"/>
              </w:tabs>
              <w:autoSpaceDE w:val="0"/>
              <w:autoSpaceDN w:val="0"/>
              <w:adjustRightInd w:val="0"/>
              <w:jc w:val="both"/>
              <w:rPr>
                <w:rFonts w:cs="Calibri"/>
                <w:color w:val="000000"/>
                <w:sz w:val="15"/>
                <w:szCs w:val="15"/>
              </w:rPr>
            </w:pPr>
            <w:r w:rsidRPr="00A46ADC">
              <w:tab/>
              <w:t>Leisure and recreation ('000)</w:t>
            </w:r>
          </w:p>
        </w:tc>
        <w:tc>
          <w:tcPr>
            <w:tcW w:w="496" w:type="pct"/>
            <w:noWrap/>
            <w:vAlign w:val="center"/>
          </w:tcPr>
          <w:p w14:paraId="6A831F3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803.7</w:t>
            </w:r>
          </w:p>
        </w:tc>
        <w:tc>
          <w:tcPr>
            <w:tcW w:w="496" w:type="pct"/>
            <w:noWrap/>
            <w:vAlign w:val="center"/>
          </w:tcPr>
          <w:p w14:paraId="4351326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895.6</w:t>
            </w:r>
          </w:p>
        </w:tc>
        <w:tc>
          <w:tcPr>
            <w:tcW w:w="497" w:type="pct"/>
            <w:noWrap/>
            <w:vAlign w:val="center"/>
          </w:tcPr>
          <w:p w14:paraId="1D08A1AC" w14:textId="77777777" w:rsidR="00DE4516" w:rsidRPr="00A46ADC" w:rsidRDefault="00DE4516" w:rsidP="00DE4516">
            <w:pPr>
              <w:pStyle w:val="TableBody"/>
              <w:autoSpaceDE w:val="0"/>
              <w:autoSpaceDN w:val="0"/>
              <w:adjustRightInd w:val="0"/>
              <w:jc w:val="right"/>
              <w:rPr>
                <w:rFonts w:cs="Calibri"/>
                <w:bCs/>
                <w:color w:val="000000"/>
                <w:sz w:val="15"/>
                <w:szCs w:val="15"/>
              </w:rPr>
            </w:pPr>
            <w:r w:rsidRPr="00A46ADC">
              <w:t>1,069.0</w:t>
            </w:r>
          </w:p>
        </w:tc>
        <w:tc>
          <w:tcPr>
            <w:tcW w:w="497" w:type="pct"/>
            <w:noWrap/>
            <w:vAlign w:val="center"/>
          </w:tcPr>
          <w:p w14:paraId="6F2EF2B0" w14:textId="77777777" w:rsidR="00DE4516" w:rsidRPr="00A46ADC" w:rsidRDefault="00DE4516" w:rsidP="00DE4516">
            <w:pPr>
              <w:pStyle w:val="TableBody"/>
              <w:autoSpaceDE w:val="0"/>
              <w:autoSpaceDN w:val="0"/>
              <w:adjustRightInd w:val="0"/>
              <w:jc w:val="right"/>
              <w:rPr>
                <w:rFonts w:cs="Calibri"/>
                <w:bCs/>
                <w:color w:val="000000"/>
                <w:sz w:val="15"/>
                <w:szCs w:val="15"/>
              </w:rPr>
            </w:pPr>
            <w:r w:rsidRPr="00A46ADC">
              <w:t>1,080.3</w:t>
            </w:r>
          </w:p>
        </w:tc>
        <w:tc>
          <w:tcPr>
            <w:tcW w:w="497" w:type="pct"/>
            <w:noWrap/>
            <w:vAlign w:val="center"/>
          </w:tcPr>
          <w:p w14:paraId="77213468" w14:textId="77777777" w:rsidR="00DE4516" w:rsidRPr="00A46ADC" w:rsidRDefault="00DE4516" w:rsidP="00DE4516">
            <w:pPr>
              <w:pStyle w:val="TableBody"/>
              <w:autoSpaceDE w:val="0"/>
              <w:autoSpaceDN w:val="0"/>
              <w:adjustRightInd w:val="0"/>
              <w:jc w:val="right"/>
              <w:rPr>
                <w:rFonts w:cs="Calibri"/>
                <w:bCs/>
                <w:color w:val="000000"/>
                <w:sz w:val="15"/>
                <w:szCs w:val="15"/>
              </w:rPr>
            </w:pPr>
            <w:r w:rsidRPr="00A46ADC">
              <w:t>1,489.8</w:t>
            </w:r>
          </w:p>
        </w:tc>
        <w:tc>
          <w:tcPr>
            <w:tcW w:w="497" w:type="pct"/>
            <w:noWrap/>
            <w:vAlign w:val="center"/>
          </w:tcPr>
          <w:p w14:paraId="4FE47E54" w14:textId="77777777" w:rsidR="00DE4516" w:rsidRPr="00A46ADC" w:rsidRDefault="00DE4516" w:rsidP="00DE4516">
            <w:pPr>
              <w:pStyle w:val="TableBody"/>
              <w:autoSpaceDE w:val="0"/>
              <w:autoSpaceDN w:val="0"/>
              <w:adjustRightInd w:val="0"/>
              <w:jc w:val="right"/>
              <w:rPr>
                <w:rFonts w:cs="Calibri"/>
                <w:bCs/>
                <w:color w:val="000000"/>
                <w:sz w:val="15"/>
                <w:szCs w:val="15"/>
              </w:rPr>
            </w:pPr>
            <w:r w:rsidRPr="00A46ADC">
              <w:t>1,626.6</w:t>
            </w:r>
          </w:p>
        </w:tc>
        <w:tc>
          <w:tcPr>
            <w:tcW w:w="387" w:type="pct"/>
            <w:noWrap/>
          </w:tcPr>
          <w:p w14:paraId="0BCF42C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2A442D6E" w14:textId="77777777" w:rsidTr="00A86160">
        <w:trPr>
          <w:cantSplit/>
        </w:trPr>
        <w:tc>
          <w:tcPr>
            <w:tcW w:w="1634" w:type="pct"/>
            <w:noWrap/>
            <w:vAlign w:val="center"/>
            <w:hideMark/>
          </w:tcPr>
          <w:p w14:paraId="6D35132C"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Total expenditure ('000 OMR)</w:t>
            </w:r>
          </w:p>
        </w:tc>
        <w:tc>
          <w:tcPr>
            <w:tcW w:w="496" w:type="pct"/>
            <w:noWrap/>
            <w:vAlign w:val="center"/>
            <w:hideMark/>
          </w:tcPr>
          <w:p w14:paraId="282D650A"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306.5</w:t>
            </w:r>
          </w:p>
        </w:tc>
        <w:tc>
          <w:tcPr>
            <w:tcW w:w="496" w:type="pct"/>
            <w:noWrap/>
            <w:vAlign w:val="center"/>
            <w:hideMark/>
          </w:tcPr>
          <w:p w14:paraId="7089F364"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364.8</w:t>
            </w:r>
          </w:p>
        </w:tc>
        <w:tc>
          <w:tcPr>
            <w:tcW w:w="497" w:type="pct"/>
            <w:noWrap/>
            <w:vAlign w:val="center"/>
            <w:hideMark/>
          </w:tcPr>
          <w:p w14:paraId="774B3D75"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427.3</w:t>
            </w:r>
          </w:p>
        </w:tc>
        <w:tc>
          <w:tcPr>
            <w:tcW w:w="497" w:type="pct"/>
            <w:noWrap/>
            <w:vAlign w:val="center"/>
            <w:hideMark/>
          </w:tcPr>
          <w:p w14:paraId="1C81B4B5"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532.3</w:t>
            </w:r>
          </w:p>
        </w:tc>
        <w:tc>
          <w:tcPr>
            <w:tcW w:w="497" w:type="pct"/>
            <w:noWrap/>
            <w:vAlign w:val="center"/>
            <w:hideMark/>
          </w:tcPr>
          <w:p w14:paraId="36FE3954"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679.2</w:t>
            </w:r>
          </w:p>
        </w:tc>
        <w:tc>
          <w:tcPr>
            <w:tcW w:w="497" w:type="pct"/>
            <w:noWrap/>
            <w:vAlign w:val="center"/>
            <w:hideMark/>
          </w:tcPr>
          <w:p w14:paraId="51EA207C"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684.7</w:t>
            </w:r>
          </w:p>
        </w:tc>
        <w:tc>
          <w:tcPr>
            <w:tcW w:w="387" w:type="pct"/>
            <w:noWrap/>
            <w:vAlign w:val="center"/>
            <w:hideMark/>
          </w:tcPr>
          <w:p w14:paraId="1DED0E24"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244.6</w:t>
            </w:r>
          </w:p>
        </w:tc>
      </w:tr>
      <w:tr w:rsidR="00DE4516" w:rsidRPr="00A260F0" w14:paraId="3BC664E2"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634" w:type="pct"/>
            <w:noWrap/>
            <w:vAlign w:val="center"/>
            <w:hideMark/>
          </w:tcPr>
          <w:p w14:paraId="148FB133"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Food</w:t>
            </w:r>
            <w:r w:rsidRPr="00A46ADC">
              <w:rPr>
                <w:highlight w:val="blue"/>
              </w:rPr>
              <w:t xml:space="preserve"> &amp; </w:t>
            </w:r>
            <w:r w:rsidRPr="00A46ADC">
              <w:t>beverages</w:t>
            </w:r>
          </w:p>
        </w:tc>
        <w:tc>
          <w:tcPr>
            <w:tcW w:w="496" w:type="pct"/>
            <w:noWrap/>
            <w:vAlign w:val="center"/>
            <w:hideMark/>
          </w:tcPr>
          <w:p w14:paraId="678DBC0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46.6</w:t>
            </w:r>
          </w:p>
        </w:tc>
        <w:tc>
          <w:tcPr>
            <w:tcW w:w="496" w:type="pct"/>
            <w:noWrap/>
            <w:vAlign w:val="center"/>
            <w:hideMark/>
          </w:tcPr>
          <w:p w14:paraId="4372615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55.4</w:t>
            </w:r>
          </w:p>
        </w:tc>
        <w:tc>
          <w:tcPr>
            <w:tcW w:w="497" w:type="pct"/>
            <w:noWrap/>
            <w:vAlign w:val="center"/>
            <w:hideMark/>
          </w:tcPr>
          <w:p w14:paraId="160CD41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64.7</w:t>
            </w:r>
          </w:p>
        </w:tc>
        <w:tc>
          <w:tcPr>
            <w:tcW w:w="497" w:type="pct"/>
            <w:noWrap/>
            <w:vAlign w:val="center"/>
            <w:hideMark/>
          </w:tcPr>
          <w:p w14:paraId="05316AD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80.2</w:t>
            </w:r>
          </w:p>
        </w:tc>
        <w:tc>
          <w:tcPr>
            <w:tcW w:w="497" w:type="pct"/>
            <w:noWrap/>
            <w:vAlign w:val="center"/>
            <w:hideMark/>
          </w:tcPr>
          <w:p w14:paraId="53DDB1C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100.0</w:t>
            </w:r>
          </w:p>
        </w:tc>
        <w:tc>
          <w:tcPr>
            <w:tcW w:w="497" w:type="pct"/>
            <w:noWrap/>
            <w:vAlign w:val="center"/>
            <w:hideMark/>
          </w:tcPr>
          <w:p w14:paraId="7AFAAF3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92.3</w:t>
            </w:r>
          </w:p>
        </w:tc>
        <w:tc>
          <w:tcPr>
            <w:tcW w:w="387" w:type="pct"/>
            <w:noWrap/>
            <w:vAlign w:val="center"/>
            <w:hideMark/>
          </w:tcPr>
          <w:p w14:paraId="7E2064C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34.2</w:t>
            </w:r>
          </w:p>
        </w:tc>
      </w:tr>
      <w:tr w:rsidR="00DE4516" w:rsidRPr="00A260F0" w14:paraId="10B461E6" w14:textId="77777777" w:rsidTr="00A86160">
        <w:trPr>
          <w:cantSplit/>
        </w:trPr>
        <w:tc>
          <w:tcPr>
            <w:tcW w:w="1634" w:type="pct"/>
            <w:noWrap/>
            <w:vAlign w:val="center"/>
            <w:hideMark/>
          </w:tcPr>
          <w:p w14:paraId="4518F610"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Accommodation</w:t>
            </w:r>
          </w:p>
        </w:tc>
        <w:tc>
          <w:tcPr>
            <w:tcW w:w="496" w:type="pct"/>
            <w:noWrap/>
            <w:vAlign w:val="center"/>
            <w:hideMark/>
          </w:tcPr>
          <w:p w14:paraId="69A493F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115.0</w:t>
            </w:r>
          </w:p>
        </w:tc>
        <w:tc>
          <w:tcPr>
            <w:tcW w:w="496" w:type="pct"/>
            <w:noWrap/>
            <w:vAlign w:val="center"/>
            <w:hideMark/>
          </w:tcPr>
          <w:p w14:paraId="69CE120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134.0</w:t>
            </w:r>
          </w:p>
        </w:tc>
        <w:tc>
          <w:tcPr>
            <w:tcW w:w="497" w:type="pct"/>
            <w:noWrap/>
            <w:vAlign w:val="center"/>
            <w:hideMark/>
          </w:tcPr>
          <w:p w14:paraId="2196441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153.1</w:t>
            </w:r>
          </w:p>
        </w:tc>
        <w:tc>
          <w:tcPr>
            <w:tcW w:w="497" w:type="pct"/>
            <w:noWrap/>
            <w:vAlign w:val="center"/>
            <w:hideMark/>
          </w:tcPr>
          <w:p w14:paraId="1CBF5DB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183.8</w:t>
            </w:r>
          </w:p>
        </w:tc>
        <w:tc>
          <w:tcPr>
            <w:tcW w:w="497" w:type="pct"/>
            <w:noWrap/>
            <w:vAlign w:val="center"/>
            <w:hideMark/>
          </w:tcPr>
          <w:p w14:paraId="747AAE6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212.5</w:t>
            </w:r>
          </w:p>
        </w:tc>
        <w:tc>
          <w:tcPr>
            <w:tcW w:w="497" w:type="pct"/>
            <w:noWrap/>
            <w:vAlign w:val="center"/>
            <w:hideMark/>
          </w:tcPr>
          <w:p w14:paraId="2182D5A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205.8</w:t>
            </w:r>
          </w:p>
        </w:tc>
        <w:tc>
          <w:tcPr>
            <w:tcW w:w="387" w:type="pct"/>
            <w:noWrap/>
            <w:vAlign w:val="center"/>
            <w:hideMark/>
          </w:tcPr>
          <w:p w14:paraId="334C49B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0C44FB20"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634" w:type="pct"/>
            <w:noWrap/>
            <w:vAlign w:val="center"/>
          </w:tcPr>
          <w:p w14:paraId="731C706B"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Total rooms</w:t>
            </w:r>
          </w:p>
        </w:tc>
        <w:tc>
          <w:tcPr>
            <w:tcW w:w="496" w:type="pct"/>
            <w:noWrap/>
            <w:vAlign w:val="center"/>
          </w:tcPr>
          <w:p w14:paraId="2511BE1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c>
          <w:tcPr>
            <w:tcW w:w="496" w:type="pct"/>
            <w:noWrap/>
            <w:vAlign w:val="center"/>
          </w:tcPr>
          <w:p w14:paraId="34B6770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16,691</w:t>
            </w:r>
          </w:p>
        </w:tc>
        <w:tc>
          <w:tcPr>
            <w:tcW w:w="497" w:type="pct"/>
            <w:noWrap/>
            <w:vAlign w:val="center"/>
          </w:tcPr>
          <w:p w14:paraId="57025A3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18,420</w:t>
            </w:r>
          </w:p>
        </w:tc>
        <w:tc>
          <w:tcPr>
            <w:tcW w:w="497" w:type="pct"/>
            <w:noWrap/>
            <w:vAlign w:val="center"/>
          </w:tcPr>
          <w:p w14:paraId="104B825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19,520</w:t>
            </w:r>
          </w:p>
        </w:tc>
        <w:tc>
          <w:tcPr>
            <w:tcW w:w="497" w:type="pct"/>
            <w:noWrap/>
            <w:vAlign w:val="center"/>
          </w:tcPr>
          <w:p w14:paraId="3BD40A5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22,182</w:t>
            </w:r>
          </w:p>
        </w:tc>
        <w:tc>
          <w:tcPr>
            <w:tcW w:w="497" w:type="pct"/>
            <w:noWrap/>
            <w:vAlign w:val="center"/>
          </w:tcPr>
          <w:p w14:paraId="509D711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25,139</w:t>
            </w:r>
          </w:p>
        </w:tc>
        <w:tc>
          <w:tcPr>
            <w:tcW w:w="387" w:type="pct"/>
            <w:noWrap/>
          </w:tcPr>
          <w:p w14:paraId="43075B4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08A90C89" w14:textId="77777777" w:rsidTr="00A86160">
        <w:trPr>
          <w:cantSplit/>
        </w:trPr>
        <w:tc>
          <w:tcPr>
            <w:tcW w:w="1634" w:type="pct"/>
            <w:noWrap/>
            <w:vAlign w:val="center"/>
          </w:tcPr>
          <w:p w14:paraId="4D62AFAC"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Room occupancy ratio (%)</w:t>
            </w:r>
          </w:p>
        </w:tc>
        <w:tc>
          <w:tcPr>
            <w:tcW w:w="496" w:type="pct"/>
            <w:noWrap/>
            <w:vAlign w:val="center"/>
          </w:tcPr>
          <w:p w14:paraId="5DFA4A66"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60.7</w:t>
            </w:r>
          </w:p>
        </w:tc>
        <w:tc>
          <w:tcPr>
            <w:tcW w:w="496" w:type="pct"/>
            <w:noWrap/>
            <w:vAlign w:val="center"/>
          </w:tcPr>
          <w:p w14:paraId="660520FD"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60.3</w:t>
            </w:r>
          </w:p>
        </w:tc>
        <w:tc>
          <w:tcPr>
            <w:tcW w:w="497" w:type="pct"/>
            <w:noWrap/>
            <w:vAlign w:val="center"/>
          </w:tcPr>
          <w:p w14:paraId="6DCF865D"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57.2</w:t>
            </w:r>
          </w:p>
        </w:tc>
        <w:tc>
          <w:tcPr>
            <w:tcW w:w="497" w:type="pct"/>
            <w:noWrap/>
            <w:vAlign w:val="center"/>
          </w:tcPr>
          <w:p w14:paraId="4D6292AC"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58.2</w:t>
            </w:r>
          </w:p>
        </w:tc>
        <w:tc>
          <w:tcPr>
            <w:tcW w:w="497" w:type="pct"/>
            <w:noWrap/>
            <w:vAlign w:val="center"/>
          </w:tcPr>
          <w:p w14:paraId="59A1B81C"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61.5</w:t>
            </w:r>
          </w:p>
        </w:tc>
        <w:tc>
          <w:tcPr>
            <w:tcW w:w="497" w:type="pct"/>
            <w:noWrap/>
            <w:vAlign w:val="center"/>
          </w:tcPr>
          <w:p w14:paraId="2C20EC08"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54.4</w:t>
            </w:r>
          </w:p>
        </w:tc>
        <w:tc>
          <w:tcPr>
            <w:tcW w:w="387" w:type="pct"/>
            <w:noWrap/>
          </w:tcPr>
          <w:p w14:paraId="060BAAE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06463A88"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634" w:type="pct"/>
            <w:noWrap/>
            <w:vAlign w:val="center"/>
          </w:tcPr>
          <w:p w14:paraId="58528D5B"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Value added ('000 OMR)</w:t>
            </w:r>
          </w:p>
        </w:tc>
        <w:tc>
          <w:tcPr>
            <w:tcW w:w="496" w:type="pct"/>
            <w:noWrap/>
            <w:vAlign w:val="center"/>
          </w:tcPr>
          <w:p w14:paraId="7205AEA0"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690.2</w:t>
            </w:r>
          </w:p>
        </w:tc>
        <w:tc>
          <w:tcPr>
            <w:tcW w:w="496" w:type="pct"/>
            <w:noWrap/>
            <w:vAlign w:val="center"/>
          </w:tcPr>
          <w:p w14:paraId="5F0936C5"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733.3</w:t>
            </w:r>
          </w:p>
        </w:tc>
        <w:tc>
          <w:tcPr>
            <w:tcW w:w="497" w:type="pct"/>
            <w:noWrap/>
            <w:vAlign w:val="center"/>
          </w:tcPr>
          <w:p w14:paraId="7F870D23"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682.6</w:t>
            </w:r>
          </w:p>
        </w:tc>
        <w:tc>
          <w:tcPr>
            <w:tcW w:w="497" w:type="pct"/>
            <w:noWrap/>
            <w:vAlign w:val="center"/>
          </w:tcPr>
          <w:p w14:paraId="7B0FF54B"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738.4</w:t>
            </w:r>
          </w:p>
        </w:tc>
        <w:tc>
          <w:tcPr>
            <w:tcW w:w="497" w:type="pct"/>
            <w:noWrap/>
            <w:vAlign w:val="center"/>
          </w:tcPr>
          <w:p w14:paraId="2E422892"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689.5</w:t>
            </w:r>
          </w:p>
        </w:tc>
        <w:tc>
          <w:tcPr>
            <w:tcW w:w="497" w:type="pct"/>
            <w:noWrap/>
            <w:vAlign w:val="center"/>
          </w:tcPr>
          <w:p w14:paraId="3B1B394A"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717.9</w:t>
            </w:r>
          </w:p>
        </w:tc>
        <w:tc>
          <w:tcPr>
            <w:tcW w:w="387" w:type="pct"/>
            <w:noWrap/>
          </w:tcPr>
          <w:p w14:paraId="1E7193F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2B4AD571" w14:textId="77777777" w:rsidTr="00A86160">
        <w:trPr>
          <w:cantSplit/>
        </w:trPr>
        <w:tc>
          <w:tcPr>
            <w:tcW w:w="1634" w:type="pct"/>
            <w:noWrap/>
            <w:vAlign w:val="center"/>
          </w:tcPr>
          <w:p w14:paraId="4F40380A"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Sectoral share in GDP (%)</w:t>
            </w:r>
          </w:p>
        </w:tc>
        <w:tc>
          <w:tcPr>
            <w:tcW w:w="496" w:type="pct"/>
            <w:noWrap/>
            <w:vAlign w:val="center"/>
          </w:tcPr>
          <w:p w14:paraId="6DB2C028"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2.2</w:t>
            </w:r>
          </w:p>
        </w:tc>
        <w:tc>
          <w:tcPr>
            <w:tcW w:w="496" w:type="pct"/>
            <w:noWrap/>
            <w:vAlign w:val="center"/>
          </w:tcPr>
          <w:p w14:paraId="7D82A747"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2.8</w:t>
            </w:r>
          </w:p>
        </w:tc>
        <w:tc>
          <w:tcPr>
            <w:tcW w:w="497" w:type="pct"/>
            <w:noWrap/>
            <w:vAlign w:val="center"/>
          </w:tcPr>
          <w:p w14:paraId="18584C9A"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2.7</w:t>
            </w:r>
          </w:p>
        </w:tc>
        <w:tc>
          <w:tcPr>
            <w:tcW w:w="497" w:type="pct"/>
            <w:noWrap/>
            <w:vAlign w:val="center"/>
          </w:tcPr>
          <w:p w14:paraId="0E7F6286"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2.7</w:t>
            </w:r>
          </w:p>
        </w:tc>
        <w:tc>
          <w:tcPr>
            <w:tcW w:w="497" w:type="pct"/>
            <w:noWrap/>
            <w:vAlign w:val="center"/>
          </w:tcPr>
          <w:p w14:paraId="47F37975"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2.6</w:t>
            </w:r>
          </w:p>
        </w:tc>
        <w:tc>
          <w:tcPr>
            <w:tcW w:w="497" w:type="pct"/>
            <w:noWrap/>
            <w:vAlign w:val="center"/>
          </w:tcPr>
          <w:p w14:paraId="628761FB"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2.5</w:t>
            </w:r>
          </w:p>
        </w:tc>
        <w:tc>
          <w:tcPr>
            <w:tcW w:w="387" w:type="pct"/>
            <w:noWrap/>
          </w:tcPr>
          <w:p w14:paraId="7EC6CA4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w:t>
            </w:r>
          </w:p>
        </w:tc>
      </w:tr>
      <w:tr w:rsidR="00DE4516" w:rsidRPr="00A260F0" w14:paraId="2FB05C2D"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634" w:type="pct"/>
            <w:noWrap/>
            <w:vAlign w:val="center"/>
          </w:tcPr>
          <w:p w14:paraId="70EB2D2F" w14:textId="77777777" w:rsidR="00DE4516" w:rsidRPr="00A46ADC" w:rsidRDefault="00DE4516" w:rsidP="00DE4516">
            <w:pPr>
              <w:pStyle w:val="TableBody"/>
              <w:autoSpaceDE w:val="0"/>
              <w:autoSpaceDN w:val="0"/>
              <w:adjustRightInd w:val="0"/>
              <w:jc w:val="both"/>
              <w:rPr>
                <w:rFonts w:cs="Calibri"/>
                <w:b/>
                <w:bCs/>
                <w:color w:val="000000"/>
                <w:sz w:val="15"/>
                <w:szCs w:val="15"/>
              </w:rPr>
            </w:pPr>
            <w:r w:rsidRPr="00A46ADC">
              <w:rPr>
                <w:b/>
              </w:rPr>
              <w:t>Total employees</w:t>
            </w:r>
          </w:p>
        </w:tc>
        <w:tc>
          <w:tcPr>
            <w:tcW w:w="496" w:type="pct"/>
            <w:noWrap/>
            <w:vAlign w:val="center"/>
          </w:tcPr>
          <w:p w14:paraId="09315BD0"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10,763</w:t>
            </w:r>
          </w:p>
        </w:tc>
        <w:tc>
          <w:tcPr>
            <w:tcW w:w="496" w:type="pct"/>
            <w:noWrap/>
            <w:vAlign w:val="center"/>
          </w:tcPr>
          <w:p w14:paraId="459BF83A"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11,054</w:t>
            </w:r>
          </w:p>
        </w:tc>
        <w:tc>
          <w:tcPr>
            <w:tcW w:w="497" w:type="pct"/>
            <w:noWrap/>
            <w:vAlign w:val="center"/>
          </w:tcPr>
          <w:p w14:paraId="0B8EB5B8"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12,380</w:t>
            </w:r>
          </w:p>
        </w:tc>
        <w:tc>
          <w:tcPr>
            <w:tcW w:w="497" w:type="pct"/>
            <w:noWrap/>
            <w:vAlign w:val="center"/>
          </w:tcPr>
          <w:p w14:paraId="7CDE15DA"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14,050</w:t>
            </w:r>
          </w:p>
        </w:tc>
        <w:tc>
          <w:tcPr>
            <w:tcW w:w="497" w:type="pct"/>
            <w:noWrap/>
            <w:vAlign w:val="center"/>
          </w:tcPr>
          <w:p w14:paraId="6EF94D5F"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18,627</w:t>
            </w:r>
          </w:p>
        </w:tc>
        <w:tc>
          <w:tcPr>
            <w:tcW w:w="497" w:type="pct"/>
            <w:noWrap/>
            <w:vAlign w:val="center"/>
          </w:tcPr>
          <w:p w14:paraId="6D1A150B"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20,056</w:t>
            </w:r>
          </w:p>
        </w:tc>
        <w:tc>
          <w:tcPr>
            <w:tcW w:w="387" w:type="pct"/>
            <w:noWrap/>
          </w:tcPr>
          <w:p w14:paraId="1CA6379E"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12,432</w:t>
            </w:r>
          </w:p>
        </w:tc>
      </w:tr>
      <w:tr w:rsidR="00DE4516" w:rsidRPr="00A260F0" w14:paraId="661DCCD7" w14:textId="77777777" w:rsidTr="00A86160">
        <w:trPr>
          <w:cantSplit/>
        </w:trPr>
        <w:tc>
          <w:tcPr>
            <w:tcW w:w="1634" w:type="pct"/>
            <w:noWrap/>
            <w:vAlign w:val="center"/>
          </w:tcPr>
          <w:p w14:paraId="1BCCF188"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Omanis</w:t>
            </w:r>
          </w:p>
        </w:tc>
        <w:tc>
          <w:tcPr>
            <w:tcW w:w="496" w:type="pct"/>
            <w:noWrap/>
            <w:vAlign w:val="center"/>
          </w:tcPr>
          <w:p w14:paraId="205AB75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3,381</w:t>
            </w:r>
          </w:p>
        </w:tc>
        <w:tc>
          <w:tcPr>
            <w:tcW w:w="496" w:type="pct"/>
            <w:noWrap/>
            <w:vAlign w:val="center"/>
          </w:tcPr>
          <w:p w14:paraId="533747C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3,244</w:t>
            </w:r>
          </w:p>
        </w:tc>
        <w:tc>
          <w:tcPr>
            <w:tcW w:w="497" w:type="pct"/>
            <w:noWrap/>
            <w:vAlign w:val="center"/>
          </w:tcPr>
          <w:p w14:paraId="0AC9CE0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3,621</w:t>
            </w:r>
          </w:p>
        </w:tc>
        <w:tc>
          <w:tcPr>
            <w:tcW w:w="497" w:type="pct"/>
            <w:noWrap/>
            <w:vAlign w:val="center"/>
          </w:tcPr>
          <w:p w14:paraId="7AF28F0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3,999</w:t>
            </w:r>
          </w:p>
        </w:tc>
        <w:tc>
          <w:tcPr>
            <w:tcW w:w="497" w:type="pct"/>
            <w:noWrap/>
            <w:vAlign w:val="center"/>
          </w:tcPr>
          <w:p w14:paraId="466501B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5,754</w:t>
            </w:r>
          </w:p>
        </w:tc>
        <w:tc>
          <w:tcPr>
            <w:tcW w:w="497" w:type="pct"/>
            <w:noWrap/>
            <w:vAlign w:val="center"/>
          </w:tcPr>
          <w:p w14:paraId="2C008A8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6,364</w:t>
            </w:r>
          </w:p>
        </w:tc>
        <w:tc>
          <w:tcPr>
            <w:tcW w:w="387" w:type="pct"/>
            <w:noWrap/>
          </w:tcPr>
          <w:p w14:paraId="2BD0035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4,206</w:t>
            </w:r>
          </w:p>
        </w:tc>
      </w:tr>
      <w:tr w:rsidR="00DE4516" w:rsidRPr="00A260F0" w14:paraId="7A8F8F2E" w14:textId="77777777" w:rsidTr="00A86160">
        <w:trPr>
          <w:cnfStyle w:val="000000010000" w:firstRow="0" w:lastRow="0" w:firstColumn="0" w:lastColumn="0" w:oddVBand="0" w:evenVBand="0" w:oddHBand="0" w:evenHBand="1" w:firstRowFirstColumn="0" w:firstRowLastColumn="0" w:lastRowFirstColumn="0" w:lastRowLastColumn="0"/>
          <w:cantSplit/>
        </w:trPr>
        <w:tc>
          <w:tcPr>
            <w:tcW w:w="1634" w:type="pct"/>
            <w:tcBorders>
              <w:bottom w:val="single" w:sz="4" w:space="0" w:color="auto"/>
            </w:tcBorders>
            <w:noWrap/>
            <w:vAlign w:val="center"/>
          </w:tcPr>
          <w:p w14:paraId="20484DF1"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Non</w:t>
            </w:r>
            <w:r w:rsidRPr="00A46ADC">
              <w:noBreakHyphen/>
              <w:t>Omanis</w:t>
            </w:r>
          </w:p>
        </w:tc>
        <w:tc>
          <w:tcPr>
            <w:tcW w:w="496" w:type="pct"/>
            <w:tcBorders>
              <w:bottom w:val="single" w:sz="4" w:space="0" w:color="auto"/>
            </w:tcBorders>
            <w:noWrap/>
            <w:vAlign w:val="center"/>
          </w:tcPr>
          <w:p w14:paraId="10E2D75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7,382</w:t>
            </w:r>
          </w:p>
        </w:tc>
        <w:tc>
          <w:tcPr>
            <w:tcW w:w="496" w:type="pct"/>
            <w:tcBorders>
              <w:bottom w:val="single" w:sz="4" w:space="0" w:color="auto"/>
            </w:tcBorders>
            <w:noWrap/>
            <w:vAlign w:val="center"/>
          </w:tcPr>
          <w:p w14:paraId="696CE93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7,809</w:t>
            </w:r>
          </w:p>
        </w:tc>
        <w:tc>
          <w:tcPr>
            <w:tcW w:w="497" w:type="pct"/>
            <w:tcBorders>
              <w:bottom w:val="single" w:sz="4" w:space="0" w:color="auto"/>
            </w:tcBorders>
            <w:noWrap/>
            <w:vAlign w:val="center"/>
          </w:tcPr>
          <w:p w14:paraId="123AF7E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8,759</w:t>
            </w:r>
          </w:p>
        </w:tc>
        <w:tc>
          <w:tcPr>
            <w:tcW w:w="497" w:type="pct"/>
            <w:tcBorders>
              <w:bottom w:val="single" w:sz="4" w:space="0" w:color="auto"/>
            </w:tcBorders>
            <w:noWrap/>
            <w:vAlign w:val="center"/>
          </w:tcPr>
          <w:p w14:paraId="7B4569D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10,051</w:t>
            </w:r>
          </w:p>
        </w:tc>
        <w:tc>
          <w:tcPr>
            <w:tcW w:w="497" w:type="pct"/>
            <w:tcBorders>
              <w:bottom w:val="single" w:sz="4" w:space="0" w:color="auto"/>
            </w:tcBorders>
            <w:noWrap/>
            <w:vAlign w:val="center"/>
          </w:tcPr>
          <w:p w14:paraId="30F9CF1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12,873</w:t>
            </w:r>
          </w:p>
        </w:tc>
        <w:tc>
          <w:tcPr>
            <w:tcW w:w="497" w:type="pct"/>
            <w:tcBorders>
              <w:bottom w:val="single" w:sz="4" w:space="0" w:color="auto"/>
            </w:tcBorders>
            <w:noWrap/>
            <w:vAlign w:val="center"/>
          </w:tcPr>
          <w:p w14:paraId="7A8AA6E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13,692</w:t>
            </w:r>
          </w:p>
        </w:tc>
        <w:tc>
          <w:tcPr>
            <w:tcW w:w="387" w:type="pct"/>
            <w:tcBorders>
              <w:bottom w:val="single" w:sz="4" w:space="0" w:color="auto"/>
            </w:tcBorders>
            <w:noWrap/>
          </w:tcPr>
          <w:p w14:paraId="3431EE4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8,226</w:t>
            </w:r>
          </w:p>
        </w:tc>
      </w:tr>
    </w:tbl>
    <w:p w14:paraId="4CD1263C" w14:textId="58940A4E" w:rsidR="00DE4516" w:rsidRDefault="00DE4516">
      <w:pPr>
        <w:pStyle w:val="TableNote"/>
        <w:autoSpaceDE w:val="0"/>
        <w:autoSpaceDN w:val="0"/>
        <w:adjustRightInd w:val="0"/>
        <w:contextualSpacing w:val="0"/>
      </w:pPr>
      <w:r>
        <w:t>..</w:t>
      </w:r>
      <w:r>
        <w:tab/>
        <w:t>Not available.</w:t>
      </w:r>
    </w:p>
    <w:p w14:paraId="0EB4B287" w14:textId="77777777" w:rsidR="00DE4516" w:rsidRDefault="00DE4516">
      <w:pPr>
        <w:pStyle w:val="TableSource"/>
        <w:autoSpaceDE w:val="0"/>
        <w:autoSpaceDN w:val="0"/>
        <w:adjustRightInd w:val="0"/>
        <w:rPr>
          <w:szCs w:val="24"/>
        </w:rPr>
      </w:pPr>
      <w:r>
        <w:rPr>
          <w:szCs w:val="24"/>
        </w:rPr>
        <w:t>Source:</w:t>
      </w:r>
      <w:r>
        <w:rPr>
          <w:szCs w:val="24"/>
        </w:rPr>
        <w:tab/>
        <w:t xml:space="preserve">National Centre for Statistics and Information, </w:t>
      </w:r>
      <w:r>
        <w:rPr>
          <w:i/>
          <w:szCs w:val="24"/>
        </w:rPr>
        <w:t>Tourism</w:t>
      </w:r>
      <w:r>
        <w:rPr>
          <w:szCs w:val="24"/>
        </w:rPr>
        <w:t xml:space="preserve">. Viewed at: </w:t>
      </w:r>
      <w:hyperlink r:id="rId31" w:history="1">
        <w:r w:rsidRPr="00D5600E">
          <w:rPr>
            <w:color w:val="0000FF"/>
            <w:szCs w:val="24"/>
            <w:u w:val="single"/>
          </w:rPr>
          <w:t>https://data.gov.om/dedblxg/tourism</w:t>
        </w:r>
      </w:hyperlink>
      <w:r>
        <w:rPr>
          <w:szCs w:val="24"/>
        </w:rPr>
        <w:t xml:space="preserve">; and </w:t>
      </w:r>
      <w:r>
        <w:rPr>
          <w:i/>
          <w:szCs w:val="24"/>
        </w:rPr>
        <w:t xml:space="preserve">Statistical </w:t>
      </w:r>
      <w:proofErr w:type="gramStart"/>
      <w:r>
        <w:rPr>
          <w:i/>
          <w:szCs w:val="24"/>
        </w:rPr>
        <w:t>Year Book</w:t>
      </w:r>
      <w:proofErr w:type="gramEnd"/>
      <w:r>
        <w:rPr>
          <w:i/>
          <w:szCs w:val="24"/>
        </w:rPr>
        <w:t xml:space="preserve"> 2021</w:t>
      </w:r>
      <w:r>
        <w:rPr>
          <w:szCs w:val="24"/>
        </w:rPr>
        <w:t>.</w:t>
      </w:r>
    </w:p>
    <w:p w14:paraId="453199A5" w14:textId="77777777" w:rsidR="00DE4516" w:rsidRDefault="00DE4516">
      <w:pPr>
        <w:pStyle w:val="BodyText0"/>
        <w:autoSpaceDE w:val="0"/>
        <w:autoSpaceDN w:val="0"/>
        <w:adjustRightInd w:val="0"/>
        <w:rPr>
          <w:szCs w:val="24"/>
        </w:rPr>
      </w:pPr>
      <w:r>
        <w:rPr>
          <w:szCs w:val="24"/>
        </w:rPr>
        <w:t>Foreign investment restrictions remain in place. Foreign nationals (individuals and companies) are not allowed to own real estate unless the property falls under Integrated Tourism Complexes (ITCs) regulations. The ITCs are specially designated areas within which non</w:t>
      </w:r>
      <w:r>
        <w:rPr>
          <w:szCs w:val="24"/>
        </w:rPr>
        <w:noBreakHyphen/>
        <w:t>Omani nationals may buy property; in the ITCs, villas and apartments are for sale freehold for up to 50 years, with 2-year residence permits offered to the buyer and their dependants. As of end-2020, there were five ITCs in the Sultanate.</w:t>
      </w:r>
    </w:p>
    <w:p w14:paraId="1AE0160D" w14:textId="77777777" w:rsidR="00DE4516" w:rsidRDefault="00DE4516">
      <w:pPr>
        <w:pStyle w:val="BodyText0"/>
        <w:autoSpaceDE w:val="0"/>
        <w:autoSpaceDN w:val="0"/>
        <w:adjustRightInd w:val="0"/>
        <w:rPr>
          <w:szCs w:val="24"/>
        </w:rPr>
      </w:pPr>
      <w:r>
        <w:rPr>
          <w:szCs w:val="24"/>
        </w:rPr>
        <w:t>Foreign capital participation in the tourism sector is capped at 70% of total equity. Foreign capital is mainly seen in operators such as tourism organizers, travel agencies, recreation site/facility management, and restaurants and catering services. It appears that eligible tourism operators may apply for the tourism loan offered by the ODB, which is a policy loan with preferential conditions.</w:t>
      </w:r>
      <w:r w:rsidRPr="00DE4516">
        <w:rPr>
          <w:rStyle w:val="FootnoteReference"/>
        </w:rPr>
        <w:footnoteReference w:id="277"/>
      </w:r>
    </w:p>
    <w:p w14:paraId="21BAB2A9" w14:textId="77777777" w:rsidR="00DE4516" w:rsidRDefault="00DE4516">
      <w:pPr>
        <w:pStyle w:val="BodyText0"/>
        <w:autoSpaceDE w:val="0"/>
        <w:autoSpaceDN w:val="0"/>
        <w:adjustRightInd w:val="0"/>
        <w:rPr>
          <w:szCs w:val="24"/>
        </w:rPr>
      </w:pPr>
      <w:r>
        <w:rPr>
          <w:szCs w:val="24"/>
        </w:rPr>
        <w:lastRenderedPageBreak/>
        <w:t>Licences of tourist guides are usually reserved for Omani nationals; however, temporary licences may be granted to non</w:t>
      </w:r>
      <w:r>
        <w:rPr>
          <w:szCs w:val="24"/>
        </w:rPr>
        <w:noBreakHyphen/>
        <w:t>Omanis in high seasons, subject to passing an exam, if they provide services in languages other than Arabic and English.</w:t>
      </w:r>
    </w:p>
    <w:p w14:paraId="1264D13E" w14:textId="77777777" w:rsidR="00DE4516" w:rsidRDefault="00DE4516">
      <w:pPr>
        <w:pStyle w:val="BodyText0"/>
        <w:autoSpaceDE w:val="0"/>
        <w:autoSpaceDN w:val="0"/>
        <w:adjustRightInd w:val="0"/>
        <w:rPr>
          <w:szCs w:val="24"/>
        </w:rPr>
      </w:pPr>
      <w:r>
        <w:rPr>
          <w:szCs w:val="24"/>
        </w:rPr>
        <w:t>Due to the COVID</w:t>
      </w:r>
      <w:r>
        <w:rPr>
          <w:szCs w:val="24"/>
        </w:rPr>
        <w:noBreakHyphen/>
        <w:t xml:space="preserve">19 pandemic, the tourism sector was hit hard. </w:t>
      </w:r>
      <w:proofErr w:type="gramStart"/>
      <w:r>
        <w:rPr>
          <w:szCs w:val="24"/>
        </w:rPr>
        <w:t>According</w:t>
      </w:r>
      <w:proofErr w:type="gramEnd"/>
      <w:r>
        <w:rPr>
          <w:szCs w:val="24"/>
        </w:rPr>
        <w:t xml:space="preserve"> the authorities, the lost revenue in the sector was estimated to reach OMR 2.6 billion in 2020. To mitigate the impact, the authorities exempted tourism establishments from tourism tax and municipality tax for two years (2020-21).</w:t>
      </w:r>
    </w:p>
    <w:p w14:paraId="40BBF4D1" w14:textId="77777777" w:rsidR="00DE4516" w:rsidRDefault="00DE4516">
      <w:pPr>
        <w:autoSpaceDE w:val="0"/>
        <w:autoSpaceDN w:val="0"/>
        <w:adjustRightInd w:val="0"/>
        <w:rPr>
          <w:rFonts w:ascii="Times New Roman" w:hAnsi="Times New Roman"/>
          <w:sz w:val="24"/>
          <w:szCs w:val="24"/>
        </w:rPr>
        <w:sectPr w:rsidR="00DE4516">
          <w:footerReference w:type="default" r:id="rId32"/>
          <w:footnotePr>
            <w:numRestart w:val="eachSect"/>
          </w:footnotePr>
          <w:pgSz w:w="11906" w:h="16838" w:code="9"/>
          <w:pgMar w:top="1701" w:right="1440" w:bottom="1440" w:left="1440" w:header="720" w:footer="720" w:gutter="0"/>
          <w:cols w:space="720"/>
          <w:docGrid w:linePitch="360"/>
        </w:sectPr>
      </w:pPr>
    </w:p>
    <w:p w14:paraId="05ABBFBC" w14:textId="77777777" w:rsidR="00DE4516" w:rsidRDefault="00DE4516">
      <w:pPr>
        <w:pStyle w:val="Heading10"/>
        <w:autoSpaceDE w:val="0"/>
        <w:autoSpaceDN w:val="0"/>
        <w:adjustRightInd w:val="0"/>
        <w:rPr>
          <w:szCs w:val="24"/>
        </w:rPr>
      </w:pPr>
      <w:r>
        <w:rPr>
          <w:szCs w:val="24"/>
        </w:rPr>
        <w:lastRenderedPageBreak/>
        <w:t>APPENDIX TABLES</w:t>
      </w:r>
    </w:p>
    <w:p w14:paraId="28E73F8D" w14:textId="77777777" w:rsidR="00DE4516" w:rsidRDefault="00DE4516">
      <w:pPr>
        <w:pStyle w:val="TableTitle"/>
        <w:autoSpaceDE w:val="0"/>
        <w:autoSpaceDN w:val="0"/>
        <w:adjustRightInd w:val="0"/>
      </w:pPr>
      <w:r>
        <w:t>Table A1.1 Merchandise exports (including re-exports) by HS section and major HS chapter/subheading, 2014-20</w:t>
      </w:r>
    </w:p>
    <w:tbl>
      <w:tblPr>
        <w:tblStyle w:val="WTOTable1"/>
        <w:tblW w:w="0" w:type="auto"/>
        <w:tblLayout w:type="fixed"/>
        <w:tblLook w:val="05E0" w:firstRow="1" w:lastRow="1" w:firstColumn="1" w:lastColumn="1" w:noHBand="0" w:noVBand="1"/>
      </w:tblPr>
      <w:tblGrid>
        <w:gridCol w:w="4374"/>
        <w:gridCol w:w="663"/>
        <w:gridCol w:w="663"/>
        <w:gridCol w:w="663"/>
        <w:gridCol w:w="663"/>
        <w:gridCol w:w="663"/>
        <w:gridCol w:w="663"/>
        <w:gridCol w:w="664"/>
      </w:tblGrid>
      <w:tr w:rsidR="007F015E" w:rsidRPr="007F015E" w14:paraId="41CFACC9" w14:textId="77777777" w:rsidTr="002F793E">
        <w:trPr>
          <w:cnfStyle w:val="100000000000" w:firstRow="1" w:lastRow="0" w:firstColumn="0" w:lastColumn="0" w:oddVBand="0" w:evenVBand="0" w:oddHBand="0" w:evenHBand="0" w:firstRowFirstColumn="0" w:firstRowLastColumn="0" w:lastRowFirstColumn="0" w:lastRowLastColumn="0"/>
          <w:cantSplit/>
        </w:trPr>
        <w:tc>
          <w:tcPr>
            <w:tcW w:w="4374" w:type="dxa"/>
            <w:tcBorders>
              <w:top w:val="single" w:sz="4" w:space="0" w:color="auto"/>
            </w:tcBorders>
            <w:noWrap/>
            <w:vAlign w:val="center"/>
            <w:hideMark/>
          </w:tcPr>
          <w:p w14:paraId="599A5F09" w14:textId="77777777" w:rsidR="00DE4516" w:rsidRPr="007F015E" w:rsidRDefault="00DE4516" w:rsidP="00DE4516">
            <w:pPr>
              <w:pStyle w:val="TableHead"/>
              <w:autoSpaceDE w:val="0"/>
              <w:autoSpaceDN w:val="0"/>
              <w:adjustRightInd w:val="0"/>
              <w:jc w:val="both"/>
              <w:rPr>
                <w:rFonts w:cs="Calibri"/>
                <w:b/>
                <w:color w:val="FFFFFF" w:themeColor="background1"/>
                <w:sz w:val="15"/>
                <w:szCs w:val="15"/>
              </w:rPr>
            </w:pPr>
            <w:r w:rsidRPr="007F015E">
              <w:rPr>
                <w:b/>
              </w:rPr>
              <w:t>HS section/chapter/subheading</w:t>
            </w:r>
          </w:p>
        </w:tc>
        <w:tc>
          <w:tcPr>
            <w:tcW w:w="663" w:type="dxa"/>
            <w:tcBorders>
              <w:top w:val="single" w:sz="4" w:space="0" w:color="auto"/>
            </w:tcBorders>
            <w:noWrap/>
            <w:vAlign w:val="center"/>
            <w:hideMark/>
          </w:tcPr>
          <w:p w14:paraId="123CC0C0" w14:textId="77777777" w:rsidR="00DE4516" w:rsidRPr="007F015E" w:rsidRDefault="00DE4516" w:rsidP="00DE4516">
            <w:pPr>
              <w:pStyle w:val="TableHead"/>
              <w:autoSpaceDE w:val="0"/>
              <w:autoSpaceDN w:val="0"/>
              <w:adjustRightInd w:val="0"/>
              <w:rPr>
                <w:rFonts w:cs="Calibri"/>
                <w:b/>
                <w:color w:val="FFFFFF" w:themeColor="background1"/>
                <w:sz w:val="15"/>
                <w:szCs w:val="15"/>
              </w:rPr>
            </w:pPr>
            <w:r w:rsidRPr="007F015E">
              <w:rPr>
                <w:b/>
              </w:rPr>
              <w:t>2014</w:t>
            </w:r>
          </w:p>
        </w:tc>
        <w:tc>
          <w:tcPr>
            <w:tcW w:w="663" w:type="dxa"/>
            <w:tcBorders>
              <w:top w:val="single" w:sz="4" w:space="0" w:color="auto"/>
            </w:tcBorders>
            <w:noWrap/>
            <w:vAlign w:val="center"/>
            <w:hideMark/>
          </w:tcPr>
          <w:p w14:paraId="3FBB4F7B" w14:textId="77777777" w:rsidR="00DE4516" w:rsidRPr="007F015E" w:rsidRDefault="00DE4516" w:rsidP="00DE4516">
            <w:pPr>
              <w:pStyle w:val="TableHead"/>
              <w:autoSpaceDE w:val="0"/>
              <w:autoSpaceDN w:val="0"/>
              <w:adjustRightInd w:val="0"/>
              <w:rPr>
                <w:rFonts w:cs="Calibri"/>
                <w:b/>
                <w:color w:val="FFFFFF" w:themeColor="background1"/>
                <w:sz w:val="15"/>
                <w:szCs w:val="15"/>
              </w:rPr>
            </w:pPr>
            <w:r w:rsidRPr="007F015E">
              <w:rPr>
                <w:b/>
              </w:rPr>
              <w:t>2015</w:t>
            </w:r>
          </w:p>
        </w:tc>
        <w:tc>
          <w:tcPr>
            <w:tcW w:w="663" w:type="dxa"/>
            <w:tcBorders>
              <w:top w:val="single" w:sz="4" w:space="0" w:color="auto"/>
            </w:tcBorders>
            <w:noWrap/>
            <w:vAlign w:val="center"/>
            <w:hideMark/>
          </w:tcPr>
          <w:p w14:paraId="0FE4F156" w14:textId="77777777" w:rsidR="00DE4516" w:rsidRPr="007F015E" w:rsidRDefault="00DE4516" w:rsidP="00DE4516">
            <w:pPr>
              <w:pStyle w:val="TableHead"/>
              <w:autoSpaceDE w:val="0"/>
              <w:autoSpaceDN w:val="0"/>
              <w:adjustRightInd w:val="0"/>
              <w:rPr>
                <w:rFonts w:cs="Calibri"/>
                <w:b/>
                <w:color w:val="FFFFFF" w:themeColor="background1"/>
                <w:sz w:val="15"/>
                <w:szCs w:val="15"/>
              </w:rPr>
            </w:pPr>
            <w:r w:rsidRPr="007F015E">
              <w:rPr>
                <w:b/>
              </w:rPr>
              <w:t>2016</w:t>
            </w:r>
          </w:p>
        </w:tc>
        <w:tc>
          <w:tcPr>
            <w:tcW w:w="663" w:type="dxa"/>
            <w:tcBorders>
              <w:top w:val="single" w:sz="4" w:space="0" w:color="auto"/>
            </w:tcBorders>
            <w:noWrap/>
            <w:vAlign w:val="center"/>
            <w:hideMark/>
          </w:tcPr>
          <w:p w14:paraId="5D0B26F0" w14:textId="77777777" w:rsidR="00DE4516" w:rsidRPr="007F015E" w:rsidRDefault="00DE4516" w:rsidP="00DE4516">
            <w:pPr>
              <w:pStyle w:val="TableHead"/>
              <w:autoSpaceDE w:val="0"/>
              <w:autoSpaceDN w:val="0"/>
              <w:adjustRightInd w:val="0"/>
              <w:rPr>
                <w:rFonts w:cs="Calibri"/>
                <w:b/>
                <w:color w:val="FFFFFF" w:themeColor="background1"/>
                <w:sz w:val="15"/>
                <w:szCs w:val="15"/>
              </w:rPr>
            </w:pPr>
            <w:r w:rsidRPr="007F015E">
              <w:rPr>
                <w:b/>
              </w:rPr>
              <w:t>2017</w:t>
            </w:r>
          </w:p>
        </w:tc>
        <w:tc>
          <w:tcPr>
            <w:tcW w:w="663" w:type="dxa"/>
            <w:tcBorders>
              <w:top w:val="single" w:sz="4" w:space="0" w:color="auto"/>
            </w:tcBorders>
            <w:noWrap/>
            <w:vAlign w:val="center"/>
            <w:hideMark/>
          </w:tcPr>
          <w:p w14:paraId="0FE1B5F5" w14:textId="77777777" w:rsidR="00DE4516" w:rsidRPr="007F015E" w:rsidRDefault="00DE4516" w:rsidP="00DE4516">
            <w:pPr>
              <w:pStyle w:val="TableHead"/>
              <w:autoSpaceDE w:val="0"/>
              <w:autoSpaceDN w:val="0"/>
              <w:adjustRightInd w:val="0"/>
              <w:rPr>
                <w:rFonts w:cs="Calibri"/>
                <w:b/>
                <w:color w:val="FFFFFF" w:themeColor="background1"/>
                <w:sz w:val="15"/>
                <w:szCs w:val="15"/>
              </w:rPr>
            </w:pPr>
            <w:r w:rsidRPr="007F015E">
              <w:rPr>
                <w:b/>
              </w:rPr>
              <w:t>2018</w:t>
            </w:r>
          </w:p>
        </w:tc>
        <w:tc>
          <w:tcPr>
            <w:tcW w:w="663" w:type="dxa"/>
            <w:tcBorders>
              <w:top w:val="single" w:sz="4" w:space="0" w:color="auto"/>
            </w:tcBorders>
            <w:noWrap/>
            <w:vAlign w:val="center"/>
            <w:hideMark/>
          </w:tcPr>
          <w:p w14:paraId="610E39A4" w14:textId="77777777" w:rsidR="00DE4516" w:rsidRPr="007F015E" w:rsidRDefault="00DE4516" w:rsidP="00DE4516">
            <w:pPr>
              <w:pStyle w:val="TableHead"/>
              <w:autoSpaceDE w:val="0"/>
              <w:autoSpaceDN w:val="0"/>
              <w:adjustRightInd w:val="0"/>
              <w:rPr>
                <w:rFonts w:cs="Calibri"/>
                <w:b/>
                <w:color w:val="FFFFFF" w:themeColor="background1"/>
                <w:sz w:val="15"/>
                <w:szCs w:val="15"/>
              </w:rPr>
            </w:pPr>
            <w:r w:rsidRPr="007F015E">
              <w:rPr>
                <w:b/>
              </w:rPr>
              <w:t>2019</w:t>
            </w:r>
          </w:p>
        </w:tc>
        <w:tc>
          <w:tcPr>
            <w:tcW w:w="664" w:type="dxa"/>
            <w:tcBorders>
              <w:top w:val="single" w:sz="4" w:space="0" w:color="auto"/>
            </w:tcBorders>
            <w:noWrap/>
            <w:vAlign w:val="center"/>
            <w:hideMark/>
          </w:tcPr>
          <w:p w14:paraId="79C626E9" w14:textId="77777777" w:rsidR="00DE4516" w:rsidRPr="007F015E" w:rsidRDefault="00DE4516" w:rsidP="00DE4516">
            <w:pPr>
              <w:pStyle w:val="TableHead"/>
              <w:autoSpaceDE w:val="0"/>
              <w:autoSpaceDN w:val="0"/>
              <w:adjustRightInd w:val="0"/>
              <w:rPr>
                <w:rFonts w:cs="Calibri"/>
                <w:b/>
                <w:color w:val="FFFFFF" w:themeColor="background1"/>
                <w:sz w:val="15"/>
                <w:szCs w:val="15"/>
              </w:rPr>
            </w:pPr>
            <w:r w:rsidRPr="007F015E">
              <w:rPr>
                <w:b/>
              </w:rPr>
              <w:t>2020</w:t>
            </w:r>
          </w:p>
        </w:tc>
      </w:tr>
      <w:tr w:rsidR="007F015E" w:rsidRPr="00045A4A" w14:paraId="2EE0818F" w14:textId="77777777" w:rsidTr="002F793E">
        <w:trPr>
          <w:cantSplit/>
        </w:trPr>
        <w:tc>
          <w:tcPr>
            <w:tcW w:w="4374" w:type="dxa"/>
            <w:noWrap/>
            <w:vAlign w:val="center"/>
            <w:hideMark/>
          </w:tcPr>
          <w:p w14:paraId="57246379" w14:textId="77777777" w:rsidR="00DE4516" w:rsidRPr="00A46ADC" w:rsidRDefault="00DE4516" w:rsidP="00DE4516">
            <w:pPr>
              <w:pStyle w:val="TableBody"/>
              <w:autoSpaceDE w:val="0"/>
              <w:autoSpaceDN w:val="0"/>
              <w:adjustRightInd w:val="0"/>
              <w:jc w:val="both"/>
              <w:rPr>
                <w:rFonts w:cs="Calibri"/>
                <w:b/>
                <w:bCs/>
                <w:sz w:val="15"/>
                <w:szCs w:val="15"/>
              </w:rPr>
            </w:pPr>
            <w:r w:rsidRPr="00A46ADC">
              <w:rPr>
                <w:b/>
              </w:rPr>
              <w:t>Total exports (USD billion)</w:t>
            </w:r>
          </w:p>
        </w:tc>
        <w:tc>
          <w:tcPr>
            <w:tcW w:w="663" w:type="dxa"/>
            <w:noWrap/>
            <w:vAlign w:val="center"/>
            <w:hideMark/>
          </w:tcPr>
          <w:p w14:paraId="2A090B99"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53.2</w:t>
            </w:r>
          </w:p>
        </w:tc>
        <w:tc>
          <w:tcPr>
            <w:tcW w:w="663" w:type="dxa"/>
            <w:noWrap/>
            <w:vAlign w:val="center"/>
            <w:hideMark/>
          </w:tcPr>
          <w:p w14:paraId="380EC2FA"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34.9</w:t>
            </w:r>
          </w:p>
        </w:tc>
        <w:tc>
          <w:tcPr>
            <w:tcW w:w="663" w:type="dxa"/>
            <w:noWrap/>
            <w:vAlign w:val="center"/>
            <w:hideMark/>
          </w:tcPr>
          <w:p w14:paraId="295AB4DB"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27.5</w:t>
            </w:r>
          </w:p>
        </w:tc>
        <w:tc>
          <w:tcPr>
            <w:tcW w:w="663" w:type="dxa"/>
            <w:noWrap/>
            <w:vAlign w:val="center"/>
            <w:hideMark/>
          </w:tcPr>
          <w:p w14:paraId="17D90CB4"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32.9</w:t>
            </w:r>
          </w:p>
        </w:tc>
        <w:tc>
          <w:tcPr>
            <w:tcW w:w="663" w:type="dxa"/>
            <w:noWrap/>
            <w:vAlign w:val="center"/>
            <w:hideMark/>
          </w:tcPr>
          <w:p w14:paraId="7CC91261"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41.7</w:t>
            </w:r>
          </w:p>
        </w:tc>
        <w:tc>
          <w:tcPr>
            <w:tcW w:w="663" w:type="dxa"/>
            <w:noWrap/>
            <w:vAlign w:val="center"/>
            <w:hideMark/>
          </w:tcPr>
          <w:p w14:paraId="48D30DE5"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38.7</w:t>
            </w:r>
          </w:p>
        </w:tc>
        <w:tc>
          <w:tcPr>
            <w:tcW w:w="664" w:type="dxa"/>
            <w:noWrap/>
            <w:vAlign w:val="center"/>
            <w:hideMark/>
          </w:tcPr>
          <w:p w14:paraId="63C8F15E"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30.5</w:t>
            </w:r>
          </w:p>
        </w:tc>
      </w:tr>
      <w:tr w:rsidR="00DE4516" w:rsidRPr="00045A4A" w14:paraId="4BEB710F"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75D71FB1" w14:textId="77777777" w:rsidR="00DE4516" w:rsidRPr="00A46ADC" w:rsidRDefault="00DE4516" w:rsidP="00DE4516">
            <w:pPr>
              <w:pStyle w:val="TableBody"/>
              <w:autoSpaceDE w:val="0"/>
              <w:autoSpaceDN w:val="0"/>
              <w:adjustRightInd w:val="0"/>
              <w:jc w:val="right"/>
            </w:pPr>
          </w:p>
        </w:tc>
        <w:tc>
          <w:tcPr>
            <w:tcW w:w="4642" w:type="dxa"/>
            <w:gridSpan w:val="7"/>
            <w:noWrap/>
            <w:vAlign w:val="center"/>
            <w:hideMark/>
          </w:tcPr>
          <w:p w14:paraId="58E7B3D9" w14:textId="77777777" w:rsidR="00DE4516" w:rsidRPr="00A46ADC" w:rsidRDefault="00DE4516" w:rsidP="00DE4516">
            <w:pPr>
              <w:pStyle w:val="TableBody"/>
              <w:autoSpaceDE w:val="0"/>
              <w:autoSpaceDN w:val="0"/>
              <w:adjustRightInd w:val="0"/>
              <w:jc w:val="center"/>
              <w:rPr>
                <w:rFonts w:cs="Calibri"/>
                <w:color w:val="000000"/>
                <w:sz w:val="15"/>
                <w:szCs w:val="15"/>
              </w:rPr>
            </w:pPr>
            <w:r w:rsidRPr="00A46ADC">
              <w:t>(% of total)</w:t>
            </w:r>
          </w:p>
        </w:tc>
      </w:tr>
      <w:tr w:rsidR="007F015E" w:rsidRPr="00045A4A" w14:paraId="40EB2254" w14:textId="77777777" w:rsidTr="002F793E">
        <w:trPr>
          <w:cantSplit/>
        </w:trPr>
        <w:tc>
          <w:tcPr>
            <w:tcW w:w="4374" w:type="dxa"/>
            <w:noWrap/>
            <w:vAlign w:val="center"/>
            <w:hideMark/>
          </w:tcPr>
          <w:p w14:paraId="225D3580"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01 Live animals and products</w:t>
            </w:r>
          </w:p>
        </w:tc>
        <w:tc>
          <w:tcPr>
            <w:tcW w:w="663" w:type="dxa"/>
            <w:noWrap/>
            <w:vAlign w:val="center"/>
            <w:hideMark/>
          </w:tcPr>
          <w:p w14:paraId="6CDA3C4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w:t>
            </w:r>
          </w:p>
        </w:tc>
        <w:tc>
          <w:tcPr>
            <w:tcW w:w="663" w:type="dxa"/>
            <w:noWrap/>
            <w:vAlign w:val="center"/>
            <w:hideMark/>
          </w:tcPr>
          <w:p w14:paraId="0B4836C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663" w:type="dxa"/>
            <w:noWrap/>
            <w:vAlign w:val="center"/>
            <w:hideMark/>
          </w:tcPr>
          <w:p w14:paraId="6C6A643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w:t>
            </w:r>
          </w:p>
        </w:tc>
        <w:tc>
          <w:tcPr>
            <w:tcW w:w="663" w:type="dxa"/>
            <w:noWrap/>
            <w:vAlign w:val="center"/>
            <w:hideMark/>
          </w:tcPr>
          <w:p w14:paraId="48931F0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1.4</w:t>
            </w:r>
          </w:p>
        </w:tc>
        <w:tc>
          <w:tcPr>
            <w:tcW w:w="663" w:type="dxa"/>
            <w:noWrap/>
            <w:vAlign w:val="center"/>
            <w:hideMark/>
          </w:tcPr>
          <w:p w14:paraId="4F19CDA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663" w:type="dxa"/>
            <w:noWrap/>
            <w:vAlign w:val="center"/>
            <w:hideMark/>
          </w:tcPr>
          <w:p w14:paraId="2BF4049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664" w:type="dxa"/>
            <w:noWrap/>
            <w:vAlign w:val="center"/>
            <w:hideMark/>
          </w:tcPr>
          <w:p w14:paraId="4B601AA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r>
      <w:tr w:rsidR="007F015E" w:rsidRPr="00045A4A" w14:paraId="68063876"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1790CA0F"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02 Vegetable products</w:t>
            </w:r>
          </w:p>
        </w:tc>
        <w:tc>
          <w:tcPr>
            <w:tcW w:w="663" w:type="dxa"/>
            <w:noWrap/>
            <w:vAlign w:val="center"/>
            <w:hideMark/>
          </w:tcPr>
          <w:p w14:paraId="28A4574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43B3F5C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0.5</w:t>
            </w:r>
          </w:p>
        </w:tc>
        <w:tc>
          <w:tcPr>
            <w:tcW w:w="663" w:type="dxa"/>
            <w:noWrap/>
            <w:vAlign w:val="center"/>
            <w:hideMark/>
          </w:tcPr>
          <w:p w14:paraId="69E8069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0.7</w:t>
            </w:r>
          </w:p>
        </w:tc>
        <w:tc>
          <w:tcPr>
            <w:tcW w:w="663" w:type="dxa"/>
            <w:noWrap/>
            <w:vAlign w:val="center"/>
            <w:hideMark/>
          </w:tcPr>
          <w:p w14:paraId="0550C28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0.6</w:t>
            </w:r>
          </w:p>
        </w:tc>
        <w:tc>
          <w:tcPr>
            <w:tcW w:w="663" w:type="dxa"/>
            <w:noWrap/>
            <w:vAlign w:val="center"/>
            <w:hideMark/>
          </w:tcPr>
          <w:p w14:paraId="064313A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0.5</w:t>
            </w:r>
          </w:p>
        </w:tc>
        <w:tc>
          <w:tcPr>
            <w:tcW w:w="663" w:type="dxa"/>
            <w:noWrap/>
            <w:vAlign w:val="center"/>
            <w:hideMark/>
          </w:tcPr>
          <w:p w14:paraId="5654BA8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0.6</w:t>
            </w:r>
          </w:p>
        </w:tc>
        <w:tc>
          <w:tcPr>
            <w:tcW w:w="664" w:type="dxa"/>
            <w:noWrap/>
            <w:vAlign w:val="center"/>
            <w:hideMark/>
          </w:tcPr>
          <w:p w14:paraId="0B84282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0.8</w:t>
            </w:r>
          </w:p>
        </w:tc>
      </w:tr>
      <w:tr w:rsidR="007F015E" w:rsidRPr="00045A4A" w14:paraId="34775626" w14:textId="77777777" w:rsidTr="002F793E">
        <w:trPr>
          <w:cantSplit/>
        </w:trPr>
        <w:tc>
          <w:tcPr>
            <w:tcW w:w="4374" w:type="dxa"/>
            <w:noWrap/>
            <w:vAlign w:val="center"/>
            <w:hideMark/>
          </w:tcPr>
          <w:p w14:paraId="51B0F935"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03 Fats and oils</w:t>
            </w:r>
          </w:p>
        </w:tc>
        <w:tc>
          <w:tcPr>
            <w:tcW w:w="663" w:type="dxa"/>
            <w:noWrap/>
            <w:vAlign w:val="center"/>
            <w:hideMark/>
          </w:tcPr>
          <w:p w14:paraId="0D55472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c>
          <w:tcPr>
            <w:tcW w:w="663" w:type="dxa"/>
            <w:noWrap/>
            <w:vAlign w:val="center"/>
            <w:hideMark/>
          </w:tcPr>
          <w:p w14:paraId="1B96DE3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0.6</w:t>
            </w:r>
          </w:p>
        </w:tc>
        <w:tc>
          <w:tcPr>
            <w:tcW w:w="663" w:type="dxa"/>
            <w:noWrap/>
            <w:vAlign w:val="center"/>
            <w:hideMark/>
          </w:tcPr>
          <w:p w14:paraId="05D8797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0.7</w:t>
            </w:r>
          </w:p>
        </w:tc>
        <w:tc>
          <w:tcPr>
            <w:tcW w:w="663" w:type="dxa"/>
            <w:noWrap/>
            <w:vAlign w:val="center"/>
            <w:hideMark/>
          </w:tcPr>
          <w:p w14:paraId="5CB7AF2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0.6</w:t>
            </w:r>
          </w:p>
        </w:tc>
        <w:tc>
          <w:tcPr>
            <w:tcW w:w="663" w:type="dxa"/>
            <w:noWrap/>
            <w:vAlign w:val="center"/>
            <w:hideMark/>
          </w:tcPr>
          <w:p w14:paraId="0DC65EF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c>
          <w:tcPr>
            <w:tcW w:w="663" w:type="dxa"/>
            <w:noWrap/>
            <w:vAlign w:val="center"/>
            <w:hideMark/>
          </w:tcPr>
          <w:p w14:paraId="0E367C6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c>
          <w:tcPr>
            <w:tcW w:w="664" w:type="dxa"/>
            <w:noWrap/>
            <w:vAlign w:val="center"/>
            <w:hideMark/>
          </w:tcPr>
          <w:p w14:paraId="5B50591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0.6</w:t>
            </w:r>
          </w:p>
        </w:tc>
      </w:tr>
      <w:tr w:rsidR="007F015E" w:rsidRPr="00045A4A" w14:paraId="76E4AA5A"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6130B483"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 xml:space="preserve">04 Prepared food, </w:t>
            </w:r>
            <w:proofErr w:type="gramStart"/>
            <w:r w:rsidRPr="00A46ADC">
              <w:t>beverages</w:t>
            </w:r>
            <w:proofErr w:type="gramEnd"/>
            <w:r w:rsidRPr="00A46ADC">
              <w:t xml:space="preserve"> and tobacco</w:t>
            </w:r>
          </w:p>
        </w:tc>
        <w:tc>
          <w:tcPr>
            <w:tcW w:w="663" w:type="dxa"/>
            <w:noWrap/>
            <w:vAlign w:val="center"/>
            <w:hideMark/>
          </w:tcPr>
          <w:p w14:paraId="2489F51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0.9</w:t>
            </w:r>
          </w:p>
        </w:tc>
        <w:tc>
          <w:tcPr>
            <w:tcW w:w="663" w:type="dxa"/>
            <w:noWrap/>
            <w:vAlign w:val="center"/>
            <w:hideMark/>
          </w:tcPr>
          <w:p w14:paraId="5B8C0B4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663" w:type="dxa"/>
            <w:noWrap/>
            <w:vAlign w:val="center"/>
            <w:hideMark/>
          </w:tcPr>
          <w:p w14:paraId="2698BAA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663" w:type="dxa"/>
            <w:noWrap/>
            <w:vAlign w:val="center"/>
            <w:hideMark/>
          </w:tcPr>
          <w:p w14:paraId="4C3D135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c>
          <w:tcPr>
            <w:tcW w:w="663" w:type="dxa"/>
            <w:noWrap/>
            <w:vAlign w:val="center"/>
            <w:hideMark/>
          </w:tcPr>
          <w:p w14:paraId="5E1C1B2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w:t>
            </w:r>
          </w:p>
        </w:tc>
        <w:tc>
          <w:tcPr>
            <w:tcW w:w="663" w:type="dxa"/>
            <w:noWrap/>
            <w:vAlign w:val="center"/>
            <w:hideMark/>
          </w:tcPr>
          <w:p w14:paraId="774A1DC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w:t>
            </w:r>
          </w:p>
        </w:tc>
        <w:tc>
          <w:tcPr>
            <w:tcW w:w="664" w:type="dxa"/>
            <w:noWrap/>
            <w:vAlign w:val="center"/>
            <w:hideMark/>
          </w:tcPr>
          <w:p w14:paraId="716626A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w:t>
            </w:r>
          </w:p>
        </w:tc>
      </w:tr>
      <w:tr w:rsidR="007F015E" w:rsidRPr="00045A4A" w14:paraId="7D5F1A3F" w14:textId="77777777" w:rsidTr="002F793E">
        <w:trPr>
          <w:cantSplit/>
        </w:trPr>
        <w:tc>
          <w:tcPr>
            <w:tcW w:w="4374" w:type="dxa"/>
            <w:noWrap/>
            <w:vAlign w:val="center"/>
            <w:hideMark/>
          </w:tcPr>
          <w:p w14:paraId="3D6843FE"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05 Mineral products</w:t>
            </w:r>
          </w:p>
        </w:tc>
        <w:tc>
          <w:tcPr>
            <w:tcW w:w="663" w:type="dxa"/>
            <w:noWrap/>
            <w:vAlign w:val="center"/>
            <w:hideMark/>
          </w:tcPr>
          <w:p w14:paraId="6405468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74.1</w:t>
            </w:r>
          </w:p>
        </w:tc>
        <w:tc>
          <w:tcPr>
            <w:tcW w:w="663" w:type="dxa"/>
            <w:noWrap/>
            <w:vAlign w:val="center"/>
            <w:hideMark/>
          </w:tcPr>
          <w:p w14:paraId="396EBDE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66.9</w:t>
            </w:r>
          </w:p>
        </w:tc>
        <w:tc>
          <w:tcPr>
            <w:tcW w:w="663" w:type="dxa"/>
            <w:noWrap/>
            <w:vAlign w:val="center"/>
            <w:hideMark/>
          </w:tcPr>
          <w:p w14:paraId="6877DDC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68.7</w:t>
            </w:r>
          </w:p>
        </w:tc>
        <w:tc>
          <w:tcPr>
            <w:tcW w:w="663" w:type="dxa"/>
            <w:noWrap/>
            <w:vAlign w:val="center"/>
            <w:hideMark/>
          </w:tcPr>
          <w:p w14:paraId="5983B7C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70.5</w:t>
            </w:r>
          </w:p>
        </w:tc>
        <w:tc>
          <w:tcPr>
            <w:tcW w:w="663" w:type="dxa"/>
            <w:noWrap/>
            <w:vAlign w:val="center"/>
            <w:hideMark/>
          </w:tcPr>
          <w:p w14:paraId="2D2DB4F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72.3</w:t>
            </w:r>
          </w:p>
        </w:tc>
        <w:tc>
          <w:tcPr>
            <w:tcW w:w="663" w:type="dxa"/>
            <w:noWrap/>
            <w:vAlign w:val="center"/>
            <w:hideMark/>
          </w:tcPr>
          <w:p w14:paraId="4D835A1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71.5</w:t>
            </w:r>
          </w:p>
        </w:tc>
        <w:tc>
          <w:tcPr>
            <w:tcW w:w="664" w:type="dxa"/>
            <w:noWrap/>
            <w:vAlign w:val="center"/>
            <w:hideMark/>
          </w:tcPr>
          <w:p w14:paraId="4324FF3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63.6</w:t>
            </w:r>
          </w:p>
        </w:tc>
      </w:tr>
      <w:tr w:rsidR="007F015E" w:rsidRPr="00045A4A" w14:paraId="2FB0A53A"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447ED11B"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27 Mineral fuels</w:t>
            </w:r>
          </w:p>
        </w:tc>
        <w:tc>
          <w:tcPr>
            <w:tcW w:w="663" w:type="dxa"/>
            <w:noWrap/>
            <w:vAlign w:val="center"/>
            <w:hideMark/>
          </w:tcPr>
          <w:p w14:paraId="5028DA2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72.4</w:t>
            </w:r>
          </w:p>
        </w:tc>
        <w:tc>
          <w:tcPr>
            <w:tcW w:w="663" w:type="dxa"/>
            <w:noWrap/>
            <w:vAlign w:val="center"/>
            <w:hideMark/>
          </w:tcPr>
          <w:p w14:paraId="4A456F0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65.2</w:t>
            </w:r>
          </w:p>
        </w:tc>
        <w:tc>
          <w:tcPr>
            <w:tcW w:w="663" w:type="dxa"/>
            <w:noWrap/>
            <w:vAlign w:val="center"/>
            <w:hideMark/>
          </w:tcPr>
          <w:p w14:paraId="64C1DC4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67.5</w:t>
            </w:r>
          </w:p>
        </w:tc>
        <w:tc>
          <w:tcPr>
            <w:tcW w:w="663" w:type="dxa"/>
            <w:noWrap/>
            <w:vAlign w:val="center"/>
            <w:hideMark/>
          </w:tcPr>
          <w:p w14:paraId="7C2C5D1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66.8</w:t>
            </w:r>
          </w:p>
        </w:tc>
        <w:tc>
          <w:tcPr>
            <w:tcW w:w="663" w:type="dxa"/>
            <w:noWrap/>
            <w:vAlign w:val="center"/>
            <w:hideMark/>
          </w:tcPr>
          <w:p w14:paraId="4CFD331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69.4</w:t>
            </w:r>
          </w:p>
        </w:tc>
        <w:tc>
          <w:tcPr>
            <w:tcW w:w="663" w:type="dxa"/>
            <w:noWrap/>
            <w:vAlign w:val="center"/>
            <w:hideMark/>
          </w:tcPr>
          <w:p w14:paraId="289F036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69.3</w:t>
            </w:r>
          </w:p>
        </w:tc>
        <w:tc>
          <w:tcPr>
            <w:tcW w:w="664" w:type="dxa"/>
            <w:noWrap/>
            <w:vAlign w:val="center"/>
            <w:hideMark/>
          </w:tcPr>
          <w:p w14:paraId="775269C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60.3</w:t>
            </w:r>
          </w:p>
        </w:tc>
      </w:tr>
      <w:tr w:rsidR="007F015E" w:rsidRPr="00045A4A" w14:paraId="50643394" w14:textId="77777777" w:rsidTr="002F793E">
        <w:trPr>
          <w:cantSplit/>
        </w:trPr>
        <w:tc>
          <w:tcPr>
            <w:tcW w:w="4374" w:type="dxa"/>
            <w:noWrap/>
            <w:vAlign w:val="center"/>
            <w:hideMark/>
          </w:tcPr>
          <w:p w14:paraId="26BF62E3" w14:textId="77777777" w:rsidR="00DE4516" w:rsidRPr="00A46ADC" w:rsidRDefault="00DE4516" w:rsidP="00DE4516">
            <w:pPr>
              <w:pStyle w:val="TableBody"/>
              <w:tabs>
                <w:tab w:val="left" w:pos="519"/>
              </w:tabs>
              <w:autoSpaceDE w:val="0"/>
              <w:autoSpaceDN w:val="0"/>
              <w:adjustRightInd w:val="0"/>
              <w:ind w:left="519"/>
              <w:jc w:val="both"/>
              <w:rPr>
                <w:rFonts w:cs="Calibri"/>
                <w:color w:val="000000"/>
                <w:sz w:val="15"/>
                <w:szCs w:val="15"/>
              </w:rPr>
            </w:pPr>
            <w:r w:rsidRPr="00A46ADC">
              <w:t>HS 2709 Petroleum oils, crude</w:t>
            </w:r>
          </w:p>
        </w:tc>
        <w:tc>
          <w:tcPr>
            <w:tcW w:w="663" w:type="dxa"/>
            <w:noWrap/>
            <w:vAlign w:val="center"/>
            <w:hideMark/>
          </w:tcPr>
          <w:p w14:paraId="1741568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65.5</w:t>
            </w:r>
          </w:p>
        </w:tc>
        <w:tc>
          <w:tcPr>
            <w:tcW w:w="663" w:type="dxa"/>
            <w:noWrap/>
            <w:vAlign w:val="center"/>
            <w:hideMark/>
          </w:tcPr>
          <w:p w14:paraId="40A0B45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58.4</w:t>
            </w:r>
          </w:p>
        </w:tc>
        <w:tc>
          <w:tcPr>
            <w:tcW w:w="663" w:type="dxa"/>
            <w:noWrap/>
            <w:vAlign w:val="center"/>
            <w:hideMark/>
          </w:tcPr>
          <w:p w14:paraId="70330B6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57.9</w:t>
            </w:r>
          </w:p>
        </w:tc>
        <w:tc>
          <w:tcPr>
            <w:tcW w:w="663" w:type="dxa"/>
            <w:noWrap/>
            <w:vAlign w:val="center"/>
            <w:hideMark/>
          </w:tcPr>
          <w:p w14:paraId="714A39A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58.3</w:t>
            </w:r>
          </w:p>
        </w:tc>
        <w:tc>
          <w:tcPr>
            <w:tcW w:w="663" w:type="dxa"/>
            <w:noWrap/>
            <w:vAlign w:val="center"/>
            <w:hideMark/>
          </w:tcPr>
          <w:p w14:paraId="47937D0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65.4</w:t>
            </w:r>
          </w:p>
        </w:tc>
        <w:tc>
          <w:tcPr>
            <w:tcW w:w="663" w:type="dxa"/>
            <w:noWrap/>
            <w:vAlign w:val="center"/>
            <w:hideMark/>
          </w:tcPr>
          <w:p w14:paraId="00309E5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68.5</w:t>
            </w:r>
          </w:p>
        </w:tc>
        <w:tc>
          <w:tcPr>
            <w:tcW w:w="664" w:type="dxa"/>
            <w:noWrap/>
            <w:vAlign w:val="center"/>
            <w:hideMark/>
          </w:tcPr>
          <w:p w14:paraId="6437EBF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59.7</w:t>
            </w:r>
          </w:p>
        </w:tc>
      </w:tr>
      <w:tr w:rsidR="007F015E" w:rsidRPr="00045A4A" w14:paraId="7A09B880"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2F1B9C9E"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06 Chemicals and products thereof</w:t>
            </w:r>
          </w:p>
        </w:tc>
        <w:tc>
          <w:tcPr>
            <w:tcW w:w="663" w:type="dxa"/>
            <w:noWrap/>
            <w:vAlign w:val="center"/>
            <w:hideMark/>
          </w:tcPr>
          <w:p w14:paraId="515429C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5.2</w:t>
            </w:r>
          </w:p>
        </w:tc>
        <w:tc>
          <w:tcPr>
            <w:tcW w:w="663" w:type="dxa"/>
            <w:noWrap/>
            <w:vAlign w:val="center"/>
            <w:hideMark/>
          </w:tcPr>
          <w:p w14:paraId="24D44D2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5.8</w:t>
            </w:r>
          </w:p>
        </w:tc>
        <w:tc>
          <w:tcPr>
            <w:tcW w:w="663" w:type="dxa"/>
            <w:noWrap/>
            <w:vAlign w:val="center"/>
            <w:hideMark/>
          </w:tcPr>
          <w:p w14:paraId="7F9FB28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5.7</w:t>
            </w:r>
          </w:p>
        </w:tc>
        <w:tc>
          <w:tcPr>
            <w:tcW w:w="663" w:type="dxa"/>
            <w:noWrap/>
            <w:vAlign w:val="center"/>
            <w:hideMark/>
          </w:tcPr>
          <w:p w14:paraId="2C916A3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6.9</w:t>
            </w:r>
          </w:p>
        </w:tc>
        <w:tc>
          <w:tcPr>
            <w:tcW w:w="663" w:type="dxa"/>
            <w:noWrap/>
            <w:vAlign w:val="center"/>
            <w:hideMark/>
          </w:tcPr>
          <w:p w14:paraId="61A5AE2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5.7</w:t>
            </w:r>
          </w:p>
        </w:tc>
        <w:tc>
          <w:tcPr>
            <w:tcW w:w="663" w:type="dxa"/>
            <w:noWrap/>
            <w:vAlign w:val="center"/>
            <w:hideMark/>
          </w:tcPr>
          <w:p w14:paraId="2C17020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6.1</w:t>
            </w:r>
          </w:p>
        </w:tc>
        <w:tc>
          <w:tcPr>
            <w:tcW w:w="664" w:type="dxa"/>
            <w:noWrap/>
            <w:vAlign w:val="center"/>
            <w:hideMark/>
          </w:tcPr>
          <w:p w14:paraId="09B4D98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5.7</w:t>
            </w:r>
          </w:p>
        </w:tc>
      </w:tr>
      <w:tr w:rsidR="007F015E" w:rsidRPr="00045A4A" w14:paraId="6C4FC765" w14:textId="77777777" w:rsidTr="002F793E">
        <w:trPr>
          <w:cantSplit/>
        </w:trPr>
        <w:tc>
          <w:tcPr>
            <w:tcW w:w="4374" w:type="dxa"/>
            <w:noWrap/>
            <w:vAlign w:val="center"/>
            <w:hideMark/>
          </w:tcPr>
          <w:p w14:paraId="61F809FF"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31 Fertilisers</w:t>
            </w:r>
          </w:p>
        </w:tc>
        <w:tc>
          <w:tcPr>
            <w:tcW w:w="663" w:type="dxa"/>
            <w:noWrap/>
            <w:vAlign w:val="center"/>
            <w:hideMark/>
          </w:tcPr>
          <w:p w14:paraId="03A4737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1.2</w:t>
            </w:r>
          </w:p>
        </w:tc>
        <w:tc>
          <w:tcPr>
            <w:tcW w:w="663" w:type="dxa"/>
            <w:noWrap/>
            <w:vAlign w:val="center"/>
            <w:hideMark/>
          </w:tcPr>
          <w:p w14:paraId="56EDC74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w:t>
            </w:r>
          </w:p>
        </w:tc>
        <w:tc>
          <w:tcPr>
            <w:tcW w:w="663" w:type="dxa"/>
            <w:noWrap/>
            <w:vAlign w:val="center"/>
            <w:hideMark/>
          </w:tcPr>
          <w:p w14:paraId="7B022FE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663" w:type="dxa"/>
            <w:noWrap/>
            <w:vAlign w:val="center"/>
            <w:hideMark/>
          </w:tcPr>
          <w:p w14:paraId="1DF5881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663" w:type="dxa"/>
            <w:noWrap/>
            <w:vAlign w:val="center"/>
            <w:hideMark/>
          </w:tcPr>
          <w:p w14:paraId="6F72B0E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663" w:type="dxa"/>
            <w:noWrap/>
            <w:vAlign w:val="center"/>
            <w:hideMark/>
          </w:tcPr>
          <w:p w14:paraId="1DF9398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w:t>
            </w:r>
          </w:p>
        </w:tc>
        <w:tc>
          <w:tcPr>
            <w:tcW w:w="664" w:type="dxa"/>
            <w:noWrap/>
            <w:vAlign w:val="center"/>
            <w:hideMark/>
          </w:tcPr>
          <w:p w14:paraId="7D20BF1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2.7</w:t>
            </w:r>
          </w:p>
        </w:tc>
      </w:tr>
      <w:tr w:rsidR="007F015E" w:rsidRPr="00045A4A" w14:paraId="306FDD89"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4BA15937"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29 Organic chemicals</w:t>
            </w:r>
          </w:p>
        </w:tc>
        <w:tc>
          <w:tcPr>
            <w:tcW w:w="663" w:type="dxa"/>
            <w:noWrap/>
            <w:vAlign w:val="center"/>
            <w:hideMark/>
          </w:tcPr>
          <w:p w14:paraId="07E85FA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3.5</w:t>
            </w:r>
          </w:p>
        </w:tc>
        <w:tc>
          <w:tcPr>
            <w:tcW w:w="663" w:type="dxa"/>
            <w:noWrap/>
            <w:vAlign w:val="center"/>
            <w:hideMark/>
          </w:tcPr>
          <w:p w14:paraId="78A99CB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3.2</w:t>
            </w:r>
          </w:p>
        </w:tc>
        <w:tc>
          <w:tcPr>
            <w:tcW w:w="663" w:type="dxa"/>
            <w:noWrap/>
            <w:vAlign w:val="center"/>
            <w:hideMark/>
          </w:tcPr>
          <w:p w14:paraId="1DEE3B0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3.2</w:t>
            </w:r>
          </w:p>
        </w:tc>
        <w:tc>
          <w:tcPr>
            <w:tcW w:w="663" w:type="dxa"/>
            <w:noWrap/>
            <w:vAlign w:val="center"/>
            <w:hideMark/>
          </w:tcPr>
          <w:p w14:paraId="575A481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3.9</w:t>
            </w:r>
          </w:p>
        </w:tc>
        <w:tc>
          <w:tcPr>
            <w:tcW w:w="663" w:type="dxa"/>
            <w:noWrap/>
            <w:vAlign w:val="center"/>
            <w:hideMark/>
          </w:tcPr>
          <w:p w14:paraId="3D8C731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3.1</w:t>
            </w:r>
          </w:p>
        </w:tc>
        <w:tc>
          <w:tcPr>
            <w:tcW w:w="663" w:type="dxa"/>
            <w:noWrap/>
            <w:vAlign w:val="center"/>
            <w:hideMark/>
          </w:tcPr>
          <w:p w14:paraId="502755C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3.3</w:t>
            </w:r>
          </w:p>
        </w:tc>
        <w:tc>
          <w:tcPr>
            <w:tcW w:w="664" w:type="dxa"/>
            <w:noWrap/>
            <w:vAlign w:val="center"/>
            <w:hideMark/>
          </w:tcPr>
          <w:p w14:paraId="10127DC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w:t>
            </w:r>
          </w:p>
        </w:tc>
      </w:tr>
      <w:tr w:rsidR="007F015E" w:rsidRPr="00045A4A" w14:paraId="5DAD53BD" w14:textId="77777777" w:rsidTr="002F793E">
        <w:trPr>
          <w:cantSplit/>
        </w:trPr>
        <w:tc>
          <w:tcPr>
            <w:tcW w:w="4374" w:type="dxa"/>
            <w:noWrap/>
            <w:vAlign w:val="center"/>
            <w:hideMark/>
          </w:tcPr>
          <w:p w14:paraId="4E92AAFC"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07 Plastics and rubber</w:t>
            </w:r>
          </w:p>
        </w:tc>
        <w:tc>
          <w:tcPr>
            <w:tcW w:w="663" w:type="dxa"/>
            <w:noWrap/>
            <w:vAlign w:val="center"/>
            <w:hideMark/>
          </w:tcPr>
          <w:p w14:paraId="6BB653B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663" w:type="dxa"/>
            <w:noWrap/>
            <w:vAlign w:val="center"/>
            <w:hideMark/>
          </w:tcPr>
          <w:p w14:paraId="4CB5BED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w:t>
            </w:r>
          </w:p>
        </w:tc>
        <w:tc>
          <w:tcPr>
            <w:tcW w:w="663" w:type="dxa"/>
            <w:noWrap/>
            <w:vAlign w:val="center"/>
            <w:hideMark/>
          </w:tcPr>
          <w:p w14:paraId="736601C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663" w:type="dxa"/>
            <w:noWrap/>
            <w:vAlign w:val="center"/>
            <w:hideMark/>
          </w:tcPr>
          <w:p w14:paraId="2B6050A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663" w:type="dxa"/>
            <w:noWrap/>
            <w:vAlign w:val="center"/>
            <w:hideMark/>
          </w:tcPr>
          <w:p w14:paraId="290299E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663" w:type="dxa"/>
            <w:noWrap/>
            <w:vAlign w:val="center"/>
            <w:hideMark/>
          </w:tcPr>
          <w:p w14:paraId="63D6926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664" w:type="dxa"/>
            <w:noWrap/>
            <w:vAlign w:val="center"/>
            <w:hideMark/>
          </w:tcPr>
          <w:p w14:paraId="39BB335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r>
      <w:tr w:rsidR="007F015E" w:rsidRPr="00045A4A" w14:paraId="3C3DFA4B"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5D727045"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 xml:space="preserve">08 Raw hides and skins; leather, </w:t>
            </w:r>
            <w:proofErr w:type="spellStart"/>
            <w:r w:rsidRPr="00A46ADC">
              <w:t>furskins</w:t>
            </w:r>
            <w:proofErr w:type="spellEnd"/>
            <w:r w:rsidRPr="00A46ADC">
              <w:t xml:space="preserve"> and articles thereof</w:t>
            </w:r>
          </w:p>
        </w:tc>
        <w:tc>
          <w:tcPr>
            <w:tcW w:w="663" w:type="dxa"/>
            <w:noWrap/>
            <w:vAlign w:val="center"/>
            <w:hideMark/>
          </w:tcPr>
          <w:p w14:paraId="0A49F58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525C726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3F9D2AF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0B8607E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2FE99E9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30756B0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4" w:type="dxa"/>
            <w:noWrap/>
            <w:vAlign w:val="center"/>
            <w:hideMark/>
          </w:tcPr>
          <w:p w14:paraId="2398E96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r>
      <w:tr w:rsidR="007F015E" w:rsidRPr="00045A4A" w14:paraId="09ADCF60" w14:textId="77777777" w:rsidTr="002F793E">
        <w:trPr>
          <w:cantSplit/>
        </w:trPr>
        <w:tc>
          <w:tcPr>
            <w:tcW w:w="4374" w:type="dxa"/>
            <w:noWrap/>
            <w:vAlign w:val="center"/>
            <w:hideMark/>
          </w:tcPr>
          <w:p w14:paraId="30B7D0BC"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09 Wood, cork, straw</w:t>
            </w:r>
          </w:p>
        </w:tc>
        <w:tc>
          <w:tcPr>
            <w:tcW w:w="663" w:type="dxa"/>
            <w:noWrap/>
            <w:vAlign w:val="center"/>
            <w:hideMark/>
          </w:tcPr>
          <w:p w14:paraId="16CF8CB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33555EA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6D1E272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38D008B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1FEBF5E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3A4678F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4" w:type="dxa"/>
            <w:noWrap/>
            <w:vAlign w:val="center"/>
            <w:hideMark/>
          </w:tcPr>
          <w:p w14:paraId="3C9A61F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r>
      <w:tr w:rsidR="007F015E" w:rsidRPr="00045A4A" w14:paraId="3B6D25A5"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6BF94CA5"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10 Pulp of wood; paper and paperboard</w:t>
            </w:r>
          </w:p>
        </w:tc>
        <w:tc>
          <w:tcPr>
            <w:tcW w:w="663" w:type="dxa"/>
            <w:noWrap/>
            <w:vAlign w:val="center"/>
            <w:hideMark/>
          </w:tcPr>
          <w:p w14:paraId="55FE4DA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17F6C9E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71AB830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663" w:type="dxa"/>
            <w:noWrap/>
            <w:vAlign w:val="center"/>
            <w:hideMark/>
          </w:tcPr>
          <w:p w14:paraId="5BCE3F3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125B15B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663" w:type="dxa"/>
            <w:noWrap/>
            <w:vAlign w:val="center"/>
            <w:hideMark/>
          </w:tcPr>
          <w:p w14:paraId="4B5BE77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664" w:type="dxa"/>
            <w:noWrap/>
            <w:vAlign w:val="center"/>
            <w:hideMark/>
          </w:tcPr>
          <w:p w14:paraId="1FCAA01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r>
      <w:tr w:rsidR="007F015E" w:rsidRPr="00045A4A" w14:paraId="2DF4B5E2" w14:textId="77777777" w:rsidTr="002F793E">
        <w:trPr>
          <w:cantSplit/>
        </w:trPr>
        <w:tc>
          <w:tcPr>
            <w:tcW w:w="4374" w:type="dxa"/>
            <w:noWrap/>
            <w:vAlign w:val="center"/>
            <w:hideMark/>
          </w:tcPr>
          <w:p w14:paraId="6549EBC1"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11 Textiles and textile articles</w:t>
            </w:r>
          </w:p>
        </w:tc>
        <w:tc>
          <w:tcPr>
            <w:tcW w:w="663" w:type="dxa"/>
            <w:noWrap/>
            <w:vAlign w:val="center"/>
            <w:hideMark/>
          </w:tcPr>
          <w:p w14:paraId="5FE6298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1BD3CE6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27A2EFC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30D5B0B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10E9F76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7AC54C2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4" w:type="dxa"/>
            <w:noWrap/>
            <w:vAlign w:val="center"/>
            <w:hideMark/>
          </w:tcPr>
          <w:p w14:paraId="7E08AD7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r>
      <w:tr w:rsidR="007F015E" w:rsidRPr="00045A4A" w14:paraId="4A6A59DE"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1FF2635D"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 xml:space="preserve">12 Footwear, headgear, etc.  </w:t>
            </w:r>
          </w:p>
        </w:tc>
        <w:tc>
          <w:tcPr>
            <w:tcW w:w="663" w:type="dxa"/>
            <w:noWrap/>
            <w:vAlign w:val="center"/>
            <w:hideMark/>
          </w:tcPr>
          <w:p w14:paraId="30DAAC7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50174E9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292EA5E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7D9FB82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7369A30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36A17B7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4" w:type="dxa"/>
            <w:noWrap/>
            <w:vAlign w:val="center"/>
            <w:hideMark/>
          </w:tcPr>
          <w:p w14:paraId="6C09AE2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r>
      <w:tr w:rsidR="007F015E" w:rsidRPr="00045A4A" w14:paraId="5C1A37E8" w14:textId="77777777" w:rsidTr="002F793E">
        <w:trPr>
          <w:cantSplit/>
        </w:trPr>
        <w:tc>
          <w:tcPr>
            <w:tcW w:w="4374" w:type="dxa"/>
            <w:noWrap/>
            <w:vAlign w:val="center"/>
            <w:hideMark/>
          </w:tcPr>
          <w:p w14:paraId="6D067BE1"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13 Articles of stone, plaster, cement</w:t>
            </w:r>
          </w:p>
        </w:tc>
        <w:tc>
          <w:tcPr>
            <w:tcW w:w="663" w:type="dxa"/>
            <w:noWrap/>
            <w:vAlign w:val="center"/>
            <w:hideMark/>
          </w:tcPr>
          <w:p w14:paraId="2CCB459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0.5</w:t>
            </w:r>
          </w:p>
        </w:tc>
        <w:tc>
          <w:tcPr>
            <w:tcW w:w="663" w:type="dxa"/>
            <w:noWrap/>
            <w:vAlign w:val="center"/>
            <w:hideMark/>
          </w:tcPr>
          <w:p w14:paraId="0D39D6E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0.8</w:t>
            </w:r>
          </w:p>
        </w:tc>
        <w:tc>
          <w:tcPr>
            <w:tcW w:w="663" w:type="dxa"/>
            <w:noWrap/>
            <w:vAlign w:val="center"/>
            <w:hideMark/>
          </w:tcPr>
          <w:p w14:paraId="7EF6FB7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0.8</w:t>
            </w:r>
          </w:p>
        </w:tc>
        <w:tc>
          <w:tcPr>
            <w:tcW w:w="663" w:type="dxa"/>
            <w:noWrap/>
            <w:vAlign w:val="center"/>
            <w:hideMark/>
          </w:tcPr>
          <w:p w14:paraId="641AEFD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0.7</w:t>
            </w:r>
          </w:p>
        </w:tc>
        <w:tc>
          <w:tcPr>
            <w:tcW w:w="663" w:type="dxa"/>
            <w:noWrap/>
            <w:vAlign w:val="center"/>
            <w:hideMark/>
          </w:tcPr>
          <w:p w14:paraId="787091B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0.6</w:t>
            </w:r>
          </w:p>
        </w:tc>
        <w:tc>
          <w:tcPr>
            <w:tcW w:w="663" w:type="dxa"/>
            <w:noWrap/>
            <w:vAlign w:val="center"/>
            <w:hideMark/>
          </w:tcPr>
          <w:p w14:paraId="11937F5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0.5</w:t>
            </w:r>
          </w:p>
        </w:tc>
        <w:tc>
          <w:tcPr>
            <w:tcW w:w="664" w:type="dxa"/>
            <w:noWrap/>
            <w:vAlign w:val="center"/>
            <w:hideMark/>
          </w:tcPr>
          <w:p w14:paraId="6289D0C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0.7</w:t>
            </w:r>
          </w:p>
        </w:tc>
      </w:tr>
      <w:tr w:rsidR="007F015E" w:rsidRPr="00045A4A" w14:paraId="1B33E22F"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74DF972B"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14 Precious stones and metals, pearls</w:t>
            </w:r>
          </w:p>
        </w:tc>
        <w:tc>
          <w:tcPr>
            <w:tcW w:w="663" w:type="dxa"/>
            <w:noWrap/>
            <w:vAlign w:val="center"/>
            <w:hideMark/>
          </w:tcPr>
          <w:p w14:paraId="40B74F4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5369E80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20F84BF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7085EA6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c>
          <w:tcPr>
            <w:tcW w:w="663" w:type="dxa"/>
            <w:noWrap/>
            <w:vAlign w:val="center"/>
            <w:hideMark/>
          </w:tcPr>
          <w:p w14:paraId="5C7EAF2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663" w:type="dxa"/>
            <w:noWrap/>
            <w:vAlign w:val="center"/>
            <w:hideMark/>
          </w:tcPr>
          <w:p w14:paraId="0311A84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0.6</w:t>
            </w:r>
          </w:p>
        </w:tc>
        <w:tc>
          <w:tcPr>
            <w:tcW w:w="664" w:type="dxa"/>
            <w:noWrap/>
            <w:vAlign w:val="center"/>
            <w:hideMark/>
          </w:tcPr>
          <w:p w14:paraId="5770BDF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0.8</w:t>
            </w:r>
          </w:p>
        </w:tc>
      </w:tr>
      <w:tr w:rsidR="007F015E" w:rsidRPr="00045A4A" w14:paraId="4419E2D9" w14:textId="77777777" w:rsidTr="002F793E">
        <w:trPr>
          <w:cantSplit/>
        </w:trPr>
        <w:tc>
          <w:tcPr>
            <w:tcW w:w="4374" w:type="dxa"/>
            <w:noWrap/>
            <w:vAlign w:val="center"/>
            <w:hideMark/>
          </w:tcPr>
          <w:p w14:paraId="3078D375"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15 Base metals and articles thereof</w:t>
            </w:r>
          </w:p>
        </w:tc>
        <w:tc>
          <w:tcPr>
            <w:tcW w:w="663" w:type="dxa"/>
            <w:noWrap/>
            <w:vAlign w:val="center"/>
            <w:hideMark/>
          </w:tcPr>
          <w:p w14:paraId="2654F3B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3.9</w:t>
            </w:r>
          </w:p>
        </w:tc>
        <w:tc>
          <w:tcPr>
            <w:tcW w:w="663" w:type="dxa"/>
            <w:noWrap/>
            <w:vAlign w:val="center"/>
            <w:hideMark/>
          </w:tcPr>
          <w:p w14:paraId="24158C0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5.1</w:t>
            </w:r>
          </w:p>
        </w:tc>
        <w:tc>
          <w:tcPr>
            <w:tcW w:w="663" w:type="dxa"/>
            <w:noWrap/>
            <w:vAlign w:val="center"/>
            <w:hideMark/>
          </w:tcPr>
          <w:p w14:paraId="69A9509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5.1</w:t>
            </w:r>
          </w:p>
        </w:tc>
        <w:tc>
          <w:tcPr>
            <w:tcW w:w="663" w:type="dxa"/>
            <w:noWrap/>
            <w:vAlign w:val="center"/>
            <w:hideMark/>
          </w:tcPr>
          <w:p w14:paraId="1F849FB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5.3</w:t>
            </w:r>
          </w:p>
        </w:tc>
        <w:tc>
          <w:tcPr>
            <w:tcW w:w="663" w:type="dxa"/>
            <w:noWrap/>
            <w:vAlign w:val="center"/>
            <w:hideMark/>
          </w:tcPr>
          <w:p w14:paraId="3DF035E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6.6</w:t>
            </w:r>
          </w:p>
        </w:tc>
        <w:tc>
          <w:tcPr>
            <w:tcW w:w="663" w:type="dxa"/>
            <w:noWrap/>
            <w:vAlign w:val="center"/>
            <w:hideMark/>
          </w:tcPr>
          <w:p w14:paraId="4350B38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6.1</w:t>
            </w:r>
          </w:p>
        </w:tc>
        <w:tc>
          <w:tcPr>
            <w:tcW w:w="664" w:type="dxa"/>
            <w:noWrap/>
            <w:vAlign w:val="center"/>
            <w:hideMark/>
          </w:tcPr>
          <w:p w14:paraId="0A03853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8.1</w:t>
            </w:r>
          </w:p>
        </w:tc>
      </w:tr>
      <w:tr w:rsidR="007F015E" w:rsidRPr="00045A4A" w14:paraId="033CE014"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30207932"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72 Iron and steel</w:t>
            </w:r>
          </w:p>
        </w:tc>
        <w:tc>
          <w:tcPr>
            <w:tcW w:w="663" w:type="dxa"/>
            <w:noWrap/>
            <w:vAlign w:val="center"/>
            <w:hideMark/>
          </w:tcPr>
          <w:p w14:paraId="68D64F4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w:t>
            </w:r>
          </w:p>
        </w:tc>
        <w:tc>
          <w:tcPr>
            <w:tcW w:w="663" w:type="dxa"/>
            <w:noWrap/>
            <w:vAlign w:val="center"/>
            <w:hideMark/>
          </w:tcPr>
          <w:p w14:paraId="00AB2D2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663" w:type="dxa"/>
            <w:noWrap/>
            <w:vAlign w:val="center"/>
            <w:hideMark/>
          </w:tcPr>
          <w:p w14:paraId="41F0286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w:t>
            </w:r>
          </w:p>
        </w:tc>
        <w:tc>
          <w:tcPr>
            <w:tcW w:w="663" w:type="dxa"/>
            <w:noWrap/>
            <w:vAlign w:val="center"/>
            <w:hideMark/>
          </w:tcPr>
          <w:p w14:paraId="3549EAB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w:t>
            </w:r>
          </w:p>
        </w:tc>
        <w:tc>
          <w:tcPr>
            <w:tcW w:w="663" w:type="dxa"/>
            <w:noWrap/>
            <w:vAlign w:val="center"/>
            <w:hideMark/>
          </w:tcPr>
          <w:p w14:paraId="6FBDDC0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3.1</w:t>
            </w:r>
          </w:p>
        </w:tc>
        <w:tc>
          <w:tcPr>
            <w:tcW w:w="663" w:type="dxa"/>
            <w:noWrap/>
            <w:vAlign w:val="center"/>
            <w:hideMark/>
          </w:tcPr>
          <w:p w14:paraId="61AF9E5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2.6</w:t>
            </w:r>
          </w:p>
        </w:tc>
        <w:tc>
          <w:tcPr>
            <w:tcW w:w="664" w:type="dxa"/>
            <w:noWrap/>
            <w:vAlign w:val="center"/>
            <w:hideMark/>
          </w:tcPr>
          <w:p w14:paraId="295A2B5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3.5</w:t>
            </w:r>
          </w:p>
        </w:tc>
      </w:tr>
      <w:tr w:rsidR="007F015E" w:rsidRPr="00045A4A" w14:paraId="2B534B8C" w14:textId="77777777" w:rsidTr="002F793E">
        <w:trPr>
          <w:cantSplit/>
        </w:trPr>
        <w:tc>
          <w:tcPr>
            <w:tcW w:w="4374" w:type="dxa"/>
            <w:noWrap/>
            <w:vAlign w:val="center"/>
            <w:hideMark/>
          </w:tcPr>
          <w:p w14:paraId="516D1956"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76 Aluminium and articles thereof</w:t>
            </w:r>
          </w:p>
        </w:tc>
        <w:tc>
          <w:tcPr>
            <w:tcW w:w="663" w:type="dxa"/>
            <w:noWrap/>
            <w:vAlign w:val="center"/>
            <w:hideMark/>
          </w:tcPr>
          <w:p w14:paraId="6171C95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663" w:type="dxa"/>
            <w:noWrap/>
            <w:vAlign w:val="center"/>
            <w:hideMark/>
          </w:tcPr>
          <w:p w14:paraId="6545076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w:t>
            </w:r>
          </w:p>
        </w:tc>
        <w:tc>
          <w:tcPr>
            <w:tcW w:w="663" w:type="dxa"/>
            <w:noWrap/>
            <w:vAlign w:val="center"/>
            <w:hideMark/>
          </w:tcPr>
          <w:p w14:paraId="243B137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w:t>
            </w:r>
          </w:p>
        </w:tc>
        <w:tc>
          <w:tcPr>
            <w:tcW w:w="663" w:type="dxa"/>
            <w:noWrap/>
            <w:vAlign w:val="center"/>
            <w:hideMark/>
          </w:tcPr>
          <w:p w14:paraId="096612B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663" w:type="dxa"/>
            <w:noWrap/>
            <w:vAlign w:val="center"/>
            <w:hideMark/>
          </w:tcPr>
          <w:p w14:paraId="2BE904E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c>
          <w:tcPr>
            <w:tcW w:w="663" w:type="dxa"/>
            <w:noWrap/>
            <w:vAlign w:val="center"/>
            <w:hideMark/>
          </w:tcPr>
          <w:p w14:paraId="256E90A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w:t>
            </w:r>
          </w:p>
        </w:tc>
        <w:tc>
          <w:tcPr>
            <w:tcW w:w="664" w:type="dxa"/>
            <w:noWrap/>
            <w:vAlign w:val="center"/>
            <w:hideMark/>
          </w:tcPr>
          <w:p w14:paraId="1DB1068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2.9</w:t>
            </w:r>
          </w:p>
        </w:tc>
      </w:tr>
      <w:tr w:rsidR="007F015E" w:rsidRPr="00045A4A" w14:paraId="26FA7303"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3585F4AE"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16 Machinery, electrical equipment</w:t>
            </w:r>
          </w:p>
        </w:tc>
        <w:tc>
          <w:tcPr>
            <w:tcW w:w="663" w:type="dxa"/>
            <w:noWrap/>
            <w:vAlign w:val="center"/>
            <w:hideMark/>
          </w:tcPr>
          <w:p w14:paraId="6F08813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663" w:type="dxa"/>
            <w:noWrap/>
            <w:vAlign w:val="center"/>
            <w:hideMark/>
          </w:tcPr>
          <w:p w14:paraId="3452ECA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w:t>
            </w:r>
          </w:p>
        </w:tc>
        <w:tc>
          <w:tcPr>
            <w:tcW w:w="663" w:type="dxa"/>
            <w:noWrap/>
            <w:vAlign w:val="center"/>
            <w:hideMark/>
          </w:tcPr>
          <w:p w14:paraId="6C4EC23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2.7</w:t>
            </w:r>
          </w:p>
        </w:tc>
        <w:tc>
          <w:tcPr>
            <w:tcW w:w="663" w:type="dxa"/>
            <w:noWrap/>
            <w:vAlign w:val="center"/>
            <w:hideMark/>
          </w:tcPr>
          <w:p w14:paraId="247DFDF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3.1</w:t>
            </w:r>
          </w:p>
        </w:tc>
        <w:tc>
          <w:tcPr>
            <w:tcW w:w="663" w:type="dxa"/>
            <w:noWrap/>
            <w:vAlign w:val="center"/>
            <w:hideMark/>
          </w:tcPr>
          <w:p w14:paraId="1083DC7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3.0</w:t>
            </w:r>
          </w:p>
        </w:tc>
        <w:tc>
          <w:tcPr>
            <w:tcW w:w="663" w:type="dxa"/>
            <w:noWrap/>
            <w:vAlign w:val="center"/>
            <w:hideMark/>
          </w:tcPr>
          <w:p w14:paraId="2DAEB4B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3.0</w:t>
            </w:r>
          </w:p>
        </w:tc>
        <w:tc>
          <w:tcPr>
            <w:tcW w:w="664" w:type="dxa"/>
            <w:noWrap/>
            <w:vAlign w:val="center"/>
            <w:hideMark/>
          </w:tcPr>
          <w:p w14:paraId="22580D1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4.1</w:t>
            </w:r>
          </w:p>
        </w:tc>
      </w:tr>
      <w:tr w:rsidR="007F015E" w:rsidRPr="00045A4A" w14:paraId="307C9ABF" w14:textId="77777777" w:rsidTr="002F793E">
        <w:trPr>
          <w:cantSplit/>
        </w:trPr>
        <w:tc>
          <w:tcPr>
            <w:tcW w:w="4374" w:type="dxa"/>
            <w:noWrap/>
            <w:vAlign w:val="center"/>
            <w:hideMark/>
          </w:tcPr>
          <w:p w14:paraId="711AFD26" w14:textId="77777777" w:rsidR="00DE4516" w:rsidRPr="00A46ADC" w:rsidRDefault="00DE4516" w:rsidP="00DE4516">
            <w:pPr>
              <w:pStyle w:val="TableBody"/>
              <w:autoSpaceDE w:val="0"/>
              <w:autoSpaceDN w:val="0"/>
              <w:adjustRightInd w:val="0"/>
              <w:ind w:left="238"/>
              <w:jc w:val="both"/>
              <w:rPr>
                <w:rFonts w:cs="Calibri"/>
                <w:color w:val="000000"/>
                <w:sz w:val="15"/>
                <w:szCs w:val="15"/>
              </w:rPr>
            </w:pPr>
            <w:r w:rsidRPr="00A46ADC">
              <w:t>HS 84 Machinery and mechanical appliances; parts thereof</w:t>
            </w:r>
          </w:p>
        </w:tc>
        <w:tc>
          <w:tcPr>
            <w:tcW w:w="663" w:type="dxa"/>
            <w:noWrap/>
            <w:vAlign w:val="center"/>
            <w:hideMark/>
          </w:tcPr>
          <w:p w14:paraId="336E8A7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0.7</w:t>
            </w:r>
          </w:p>
        </w:tc>
        <w:tc>
          <w:tcPr>
            <w:tcW w:w="663" w:type="dxa"/>
            <w:noWrap/>
            <w:vAlign w:val="center"/>
            <w:hideMark/>
          </w:tcPr>
          <w:p w14:paraId="32C22A2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0.5</w:t>
            </w:r>
          </w:p>
        </w:tc>
        <w:tc>
          <w:tcPr>
            <w:tcW w:w="663" w:type="dxa"/>
            <w:noWrap/>
            <w:vAlign w:val="center"/>
            <w:hideMark/>
          </w:tcPr>
          <w:p w14:paraId="5DD7115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1.2</w:t>
            </w:r>
          </w:p>
        </w:tc>
        <w:tc>
          <w:tcPr>
            <w:tcW w:w="663" w:type="dxa"/>
            <w:noWrap/>
            <w:vAlign w:val="center"/>
            <w:hideMark/>
          </w:tcPr>
          <w:p w14:paraId="1EC1699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w:t>
            </w:r>
          </w:p>
        </w:tc>
        <w:tc>
          <w:tcPr>
            <w:tcW w:w="663" w:type="dxa"/>
            <w:noWrap/>
            <w:vAlign w:val="center"/>
            <w:hideMark/>
          </w:tcPr>
          <w:p w14:paraId="7CFD5D2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1.4</w:t>
            </w:r>
          </w:p>
        </w:tc>
        <w:tc>
          <w:tcPr>
            <w:tcW w:w="663" w:type="dxa"/>
            <w:noWrap/>
            <w:vAlign w:val="center"/>
            <w:hideMark/>
          </w:tcPr>
          <w:p w14:paraId="1EECDA4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664" w:type="dxa"/>
            <w:noWrap/>
            <w:vAlign w:val="center"/>
            <w:hideMark/>
          </w:tcPr>
          <w:p w14:paraId="7F7E6F3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r>
      <w:tr w:rsidR="007F015E" w:rsidRPr="00045A4A" w14:paraId="5B47B860"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37495340"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17 Transport equipment</w:t>
            </w:r>
          </w:p>
        </w:tc>
        <w:tc>
          <w:tcPr>
            <w:tcW w:w="663" w:type="dxa"/>
            <w:noWrap/>
            <w:vAlign w:val="center"/>
            <w:hideMark/>
          </w:tcPr>
          <w:p w14:paraId="130B8B2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9.3</w:t>
            </w:r>
          </w:p>
        </w:tc>
        <w:tc>
          <w:tcPr>
            <w:tcW w:w="663" w:type="dxa"/>
            <w:noWrap/>
            <w:vAlign w:val="center"/>
            <w:hideMark/>
          </w:tcPr>
          <w:p w14:paraId="3CE5326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12.2</w:t>
            </w:r>
          </w:p>
        </w:tc>
        <w:tc>
          <w:tcPr>
            <w:tcW w:w="663" w:type="dxa"/>
            <w:noWrap/>
            <w:vAlign w:val="center"/>
            <w:hideMark/>
          </w:tcPr>
          <w:p w14:paraId="3FCB62D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9.4</w:t>
            </w:r>
          </w:p>
        </w:tc>
        <w:tc>
          <w:tcPr>
            <w:tcW w:w="663" w:type="dxa"/>
            <w:noWrap/>
            <w:vAlign w:val="center"/>
            <w:hideMark/>
          </w:tcPr>
          <w:p w14:paraId="789BF8F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4.7</w:t>
            </w:r>
          </w:p>
        </w:tc>
        <w:tc>
          <w:tcPr>
            <w:tcW w:w="663" w:type="dxa"/>
            <w:noWrap/>
            <w:vAlign w:val="center"/>
            <w:hideMark/>
          </w:tcPr>
          <w:p w14:paraId="12AB2FA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3.8</w:t>
            </w:r>
          </w:p>
        </w:tc>
        <w:tc>
          <w:tcPr>
            <w:tcW w:w="663" w:type="dxa"/>
            <w:noWrap/>
            <w:vAlign w:val="center"/>
            <w:hideMark/>
          </w:tcPr>
          <w:p w14:paraId="4C4F6FA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4.3</w:t>
            </w:r>
          </w:p>
        </w:tc>
        <w:tc>
          <w:tcPr>
            <w:tcW w:w="664" w:type="dxa"/>
            <w:noWrap/>
            <w:vAlign w:val="center"/>
            <w:hideMark/>
          </w:tcPr>
          <w:p w14:paraId="1E7A778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7.4</w:t>
            </w:r>
          </w:p>
        </w:tc>
      </w:tr>
      <w:tr w:rsidR="007F015E" w:rsidRPr="00045A4A" w14:paraId="0EB69D64" w14:textId="77777777" w:rsidTr="002F793E">
        <w:trPr>
          <w:cantSplit/>
        </w:trPr>
        <w:tc>
          <w:tcPr>
            <w:tcW w:w="4374" w:type="dxa"/>
            <w:noWrap/>
            <w:vAlign w:val="center"/>
            <w:hideMark/>
          </w:tcPr>
          <w:p w14:paraId="69792845"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 xml:space="preserve">HS 89 Ships, </w:t>
            </w:r>
            <w:proofErr w:type="gramStart"/>
            <w:r w:rsidRPr="00A46ADC">
              <w:t>boats</w:t>
            </w:r>
            <w:proofErr w:type="gramEnd"/>
            <w:r w:rsidRPr="00A46ADC">
              <w:t xml:space="preserve"> and floating structures</w:t>
            </w:r>
          </w:p>
        </w:tc>
        <w:tc>
          <w:tcPr>
            <w:tcW w:w="663" w:type="dxa"/>
            <w:noWrap/>
            <w:vAlign w:val="center"/>
            <w:hideMark/>
          </w:tcPr>
          <w:p w14:paraId="680AC06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7F83E10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015C601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4FDF6C7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49519CE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0.9</w:t>
            </w:r>
          </w:p>
        </w:tc>
        <w:tc>
          <w:tcPr>
            <w:tcW w:w="663" w:type="dxa"/>
            <w:noWrap/>
            <w:vAlign w:val="center"/>
            <w:hideMark/>
          </w:tcPr>
          <w:p w14:paraId="5AFC1BC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664" w:type="dxa"/>
            <w:noWrap/>
            <w:vAlign w:val="center"/>
            <w:hideMark/>
          </w:tcPr>
          <w:p w14:paraId="14C2C2C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4.1</w:t>
            </w:r>
          </w:p>
        </w:tc>
      </w:tr>
      <w:tr w:rsidR="007F015E" w:rsidRPr="00045A4A" w14:paraId="493973CE"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0EC0C40C"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lastRenderedPageBreak/>
              <w:t>HS 87 Vehicles</w:t>
            </w:r>
          </w:p>
        </w:tc>
        <w:tc>
          <w:tcPr>
            <w:tcW w:w="663" w:type="dxa"/>
            <w:noWrap/>
            <w:vAlign w:val="center"/>
            <w:hideMark/>
          </w:tcPr>
          <w:p w14:paraId="142DB51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8.9</w:t>
            </w:r>
          </w:p>
        </w:tc>
        <w:tc>
          <w:tcPr>
            <w:tcW w:w="663" w:type="dxa"/>
            <w:noWrap/>
            <w:vAlign w:val="center"/>
            <w:hideMark/>
          </w:tcPr>
          <w:p w14:paraId="3889C83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12.0</w:t>
            </w:r>
          </w:p>
        </w:tc>
        <w:tc>
          <w:tcPr>
            <w:tcW w:w="663" w:type="dxa"/>
            <w:noWrap/>
            <w:vAlign w:val="center"/>
            <w:hideMark/>
          </w:tcPr>
          <w:p w14:paraId="18D2C60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8.8</w:t>
            </w:r>
          </w:p>
        </w:tc>
        <w:tc>
          <w:tcPr>
            <w:tcW w:w="663" w:type="dxa"/>
            <w:noWrap/>
            <w:vAlign w:val="center"/>
            <w:hideMark/>
          </w:tcPr>
          <w:p w14:paraId="6904423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4.2</w:t>
            </w:r>
          </w:p>
        </w:tc>
        <w:tc>
          <w:tcPr>
            <w:tcW w:w="663" w:type="dxa"/>
            <w:noWrap/>
            <w:vAlign w:val="center"/>
            <w:hideMark/>
          </w:tcPr>
          <w:p w14:paraId="636D87A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2.4</w:t>
            </w:r>
          </w:p>
        </w:tc>
        <w:tc>
          <w:tcPr>
            <w:tcW w:w="663" w:type="dxa"/>
            <w:noWrap/>
            <w:vAlign w:val="center"/>
            <w:hideMark/>
          </w:tcPr>
          <w:p w14:paraId="7BFB0B8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c>
          <w:tcPr>
            <w:tcW w:w="664" w:type="dxa"/>
            <w:noWrap/>
            <w:vAlign w:val="center"/>
            <w:hideMark/>
          </w:tcPr>
          <w:p w14:paraId="68F63AC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2.8</w:t>
            </w:r>
          </w:p>
        </w:tc>
      </w:tr>
      <w:tr w:rsidR="007F015E" w:rsidRPr="00045A4A" w14:paraId="220AA414" w14:textId="77777777" w:rsidTr="002F793E">
        <w:trPr>
          <w:cantSplit/>
        </w:trPr>
        <w:tc>
          <w:tcPr>
            <w:tcW w:w="4374" w:type="dxa"/>
            <w:noWrap/>
            <w:vAlign w:val="center"/>
            <w:hideMark/>
          </w:tcPr>
          <w:p w14:paraId="3C1C7051"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18 Precision instruments</w:t>
            </w:r>
          </w:p>
        </w:tc>
        <w:tc>
          <w:tcPr>
            <w:tcW w:w="663" w:type="dxa"/>
            <w:noWrap/>
            <w:vAlign w:val="center"/>
            <w:hideMark/>
          </w:tcPr>
          <w:p w14:paraId="2A0D9C0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6727B91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663" w:type="dxa"/>
            <w:noWrap/>
            <w:vAlign w:val="center"/>
            <w:hideMark/>
          </w:tcPr>
          <w:p w14:paraId="79F5A86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noWrap/>
            <w:vAlign w:val="center"/>
            <w:hideMark/>
          </w:tcPr>
          <w:p w14:paraId="604AAF4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2C33A07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c>
          <w:tcPr>
            <w:tcW w:w="663" w:type="dxa"/>
            <w:noWrap/>
            <w:vAlign w:val="center"/>
            <w:hideMark/>
          </w:tcPr>
          <w:p w14:paraId="53A0F03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c>
          <w:tcPr>
            <w:tcW w:w="664" w:type="dxa"/>
            <w:noWrap/>
            <w:vAlign w:val="center"/>
            <w:hideMark/>
          </w:tcPr>
          <w:p w14:paraId="602C642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0.5</w:t>
            </w:r>
          </w:p>
        </w:tc>
      </w:tr>
      <w:tr w:rsidR="007F015E" w:rsidRPr="00045A4A" w14:paraId="6D0D3C62"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0D45556E"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19 Arms and ammunition</w:t>
            </w:r>
          </w:p>
        </w:tc>
        <w:tc>
          <w:tcPr>
            <w:tcW w:w="663" w:type="dxa"/>
            <w:noWrap/>
            <w:vAlign w:val="center"/>
            <w:hideMark/>
          </w:tcPr>
          <w:p w14:paraId="37EB1F5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521E709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74D3750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6F3E662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47E134A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25AD4F0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4" w:type="dxa"/>
            <w:noWrap/>
            <w:vAlign w:val="center"/>
            <w:hideMark/>
          </w:tcPr>
          <w:p w14:paraId="04BD4BA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r>
      <w:tr w:rsidR="007F015E" w:rsidRPr="00045A4A" w14:paraId="22D08609" w14:textId="77777777" w:rsidTr="002F793E">
        <w:trPr>
          <w:cantSplit/>
        </w:trPr>
        <w:tc>
          <w:tcPr>
            <w:tcW w:w="4374" w:type="dxa"/>
            <w:noWrap/>
            <w:vAlign w:val="center"/>
            <w:hideMark/>
          </w:tcPr>
          <w:p w14:paraId="2FD26434"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20 Miscellaneous manufactured articles</w:t>
            </w:r>
          </w:p>
        </w:tc>
        <w:tc>
          <w:tcPr>
            <w:tcW w:w="663" w:type="dxa"/>
            <w:noWrap/>
            <w:vAlign w:val="center"/>
            <w:hideMark/>
          </w:tcPr>
          <w:p w14:paraId="355AE83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663" w:type="dxa"/>
            <w:noWrap/>
            <w:vAlign w:val="center"/>
            <w:hideMark/>
          </w:tcPr>
          <w:p w14:paraId="7B8C8C0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663" w:type="dxa"/>
            <w:noWrap/>
            <w:vAlign w:val="center"/>
            <w:hideMark/>
          </w:tcPr>
          <w:p w14:paraId="59E5E6C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663" w:type="dxa"/>
            <w:noWrap/>
            <w:vAlign w:val="center"/>
            <w:hideMark/>
          </w:tcPr>
          <w:p w14:paraId="63D242B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1456670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3" w:type="dxa"/>
            <w:noWrap/>
            <w:vAlign w:val="center"/>
            <w:hideMark/>
          </w:tcPr>
          <w:p w14:paraId="51BC789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664" w:type="dxa"/>
            <w:noWrap/>
            <w:vAlign w:val="center"/>
            <w:hideMark/>
          </w:tcPr>
          <w:p w14:paraId="466B70B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r>
      <w:tr w:rsidR="007F015E" w:rsidRPr="00045A4A" w14:paraId="53FCBAD2"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4374" w:type="dxa"/>
            <w:noWrap/>
            <w:vAlign w:val="center"/>
            <w:hideMark/>
          </w:tcPr>
          <w:p w14:paraId="34B2C16A"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 xml:space="preserve">21 Works of art, collectors' </w:t>
            </w:r>
            <w:proofErr w:type="gramStart"/>
            <w:r w:rsidRPr="00A46ADC">
              <w:t>pieces</w:t>
            </w:r>
            <w:proofErr w:type="gramEnd"/>
            <w:r w:rsidRPr="00A46ADC">
              <w:t xml:space="preserve"> and antiques</w:t>
            </w:r>
          </w:p>
        </w:tc>
        <w:tc>
          <w:tcPr>
            <w:tcW w:w="663" w:type="dxa"/>
            <w:noWrap/>
            <w:vAlign w:val="center"/>
            <w:hideMark/>
          </w:tcPr>
          <w:p w14:paraId="48B2D78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1004001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0484FB6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7CAC7D7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00565E8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noWrap/>
            <w:vAlign w:val="center"/>
            <w:hideMark/>
          </w:tcPr>
          <w:p w14:paraId="0C7442B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4" w:type="dxa"/>
            <w:noWrap/>
            <w:vAlign w:val="center"/>
            <w:hideMark/>
          </w:tcPr>
          <w:p w14:paraId="63306E1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r>
      <w:tr w:rsidR="007F015E" w:rsidRPr="00045A4A" w14:paraId="3DF3FCC4" w14:textId="77777777" w:rsidTr="002F793E">
        <w:trPr>
          <w:cantSplit/>
        </w:trPr>
        <w:tc>
          <w:tcPr>
            <w:tcW w:w="4374" w:type="dxa"/>
            <w:tcBorders>
              <w:bottom w:val="single" w:sz="4" w:space="0" w:color="auto"/>
            </w:tcBorders>
            <w:noWrap/>
            <w:vAlign w:val="center"/>
            <w:hideMark/>
          </w:tcPr>
          <w:p w14:paraId="2197DD9D"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Other</w:t>
            </w:r>
          </w:p>
        </w:tc>
        <w:tc>
          <w:tcPr>
            <w:tcW w:w="663" w:type="dxa"/>
            <w:tcBorders>
              <w:bottom w:val="single" w:sz="4" w:space="0" w:color="auto"/>
            </w:tcBorders>
            <w:noWrap/>
            <w:vAlign w:val="center"/>
            <w:hideMark/>
          </w:tcPr>
          <w:p w14:paraId="5A1D82E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663" w:type="dxa"/>
            <w:tcBorders>
              <w:bottom w:val="single" w:sz="4" w:space="0" w:color="auto"/>
            </w:tcBorders>
            <w:noWrap/>
            <w:vAlign w:val="center"/>
            <w:hideMark/>
          </w:tcPr>
          <w:p w14:paraId="39340B4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tcBorders>
              <w:bottom w:val="single" w:sz="4" w:space="0" w:color="auto"/>
            </w:tcBorders>
            <w:noWrap/>
            <w:vAlign w:val="center"/>
            <w:hideMark/>
          </w:tcPr>
          <w:p w14:paraId="1CA2369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tcBorders>
              <w:bottom w:val="single" w:sz="4" w:space="0" w:color="auto"/>
            </w:tcBorders>
            <w:noWrap/>
            <w:vAlign w:val="center"/>
            <w:hideMark/>
          </w:tcPr>
          <w:p w14:paraId="1615A38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tcBorders>
              <w:bottom w:val="single" w:sz="4" w:space="0" w:color="auto"/>
            </w:tcBorders>
            <w:noWrap/>
            <w:vAlign w:val="center"/>
            <w:hideMark/>
          </w:tcPr>
          <w:p w14:paraId="572FA6B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3" w:type="dxa"/>
            <w:tcBorders>
              <w:bottom w:val="single" w:sz="4" w:space="0" w:color="auto"/>
            </w:tcBorders>
            <w:noWrap/>
            <w:vAlign w:val="center"/>
            <w:hideMark/>
          </w:tcPr>
          <w:p w14:paraId="5A1AD20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664" w:type="dxa"/>
            <w:tcBorders>
              <w:bottom w:val="single" w:sz="4" w:space="0" w:color="auto"/>
            </w:tcBorders>
            <w:noWrap/>
            <w:vAlign w:val="center"/>
            <w:hideMark/>
          </w:tcPr>
          <w:p w14:paraId="51F84EC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r>
    </w:tbl>
    <w:p w14:paraId="099FEFD7" w14:textId="300030E5" w:rsidR="00DE4516" w:rsidRDefault="00DE4516">
      <w:pPr>
        <w:pStyle w:val="TableSource"/>
        <w:autoSpaceDE w:val="0"/>
        <w:autoSpaceDN w:val="0"/>
        <w:adjustRightInd w:val="0"/>
        <w:rPr>
          <w:szCs w:val="24"/>
        </w:rPr>
      </w:pPr>
      <w:r>
        <w:rPr>
          <w:szCs w:val="24"/>
        </w:rPr>
        <w:t>Source:</w:t>
      </w:r>
      <w:r>
        <w:rPr>
          <w:szCs w:val="24"/>
        </w:rPr>
        <w:tab/>
        <w:t>Information provided by the authorities.</w:t>
      </w:r>
    </w:p>
    <w:p w14:paraId="57C0CC84" w14:textId="77777777" w:rsidR="00DE4516" w:rsidRDefault="00DE4516">
      <w:pPr>
        <w:pStyle w:val="TableTitle"/>
        <w:autoSpaceDE w:val="0"/>
        <w:autoSpaceDN w:val="0"/>
        <w:adjustRightInd w:val="0"/>
      </w:pPr>
      <w:r>
        <w:t>Table A1.2 Merchandise imports by major HS section, 2014-20</w:t>
      </w:r>
    </w:p>
    <w:tbl>
      <w:tblPr>
        <w:tblStyle w:val="WTOTable1"/>
        <w:tblW w:w="0" w:type="auto"/>
        <w:tblLayout w:type="fixed"/>
        <w:tblLook w:val="05E0" w:firstRow="1" w:lastRow="1" w:firstColumn="1" w:lastColumn="1" w:noHBand="0" w:noVBand="1"/>
      </w:tblPr>
      <w:tblGrid>
        <w:gridCol w:w="3648"/>
        <w:gridCol w:w="766"/>
        <w:gridCol w:w="767"/>
        <w:gridCol w:w="767"/>
        <w:gridCol w:w="767"/>
        <w:gridCol w:w="767"/>
        <w:gridCol w:w="767"/>
        <w:gridCol w:w="767"/>
      </w:tblGrid>
      <w:tr w:rsidR="007F015E" w:rsidRPr="007F015E" w14:paraId="765F9017" w14:textId="77777777" w:rsidTr="002F793E">
        <w:trPr>
          <w:cnfStyle w:val="100000000000" w:firstRow="1" w:lastRow="0" w:firstColumn="0" w:lastColumn="0" w:oddVBand="0" w:evenVBand="0" w:oddHBand="0" w:evenHBand="0" w:firstRowFirstColumn="0" w:firstRowLastColumn="0" w:lastRowFirstColumn="0" w:lastRowLastColumn="0"/>
          <w:cantSplit/>
        </w:trPr>
        <w:tc>
          <w:tcPr>
            <w:tcW w:w="3648" w:type="dxa"/>
            <w:tcBorders>
              <w:top w:val="single" w:sz="4" w:space="0" w:color="auto"/>
            </w:tcBorders>
            <w:noWrap/>
            <w:vAlign w:val="center"/>
            <w:hideMark/>
          </w:tcPr>
          <w:p w14:paraId="42322087" w14:textId="77777777" w:rsidR="00DE4516" w:rsidRPr="007F015E" w:rsidRDefault="00DE4516" w:rsidP="00DE4516">
            <w:pPr>
              <w:pStyle w:val="TableHead"/>
              <w:autoSpaceDE w:val="0"/>
              <w:autoSpaceDN w:val="0"/>
              <w:adjustRightInd w:val="0"/>
              <w:jc w:val="both"/>
              <w:rPr>
                <w:rFonts w:cs="Calibri"/>
                <w:b/>
                <w:sz w:val="15"/>
                <w:szCs w:val="15"/>
              </w:rPr>
            </w:pPr>
            <w:r w:rsidRPr="007F015E">
              <w:rPr>
                <w:b/>
              </w:rPr>
              <w:t>HS section/chapter/subheading</w:t>
            </w:r>
          </w:p>
        </w:tc>
        <w:tc>
          <w:tcPr>
            <w:tcW w:w="766" w:type="dxa"/>
            <w:tcBorders>
              <w:top w:val="single" w:sz="4" w:space="0" w:color="auto"/>
            </w:tcBorders>
            <w:noWrap/>
            <w:vAlign w:val="center"/>
            <w:hideMark/>
          </w:tcPr>
          <w:p w14:paraId="1816A23A" w14:textId="77777777" w:rsidR="00DE4516" w:rsidRPr="007F015E" w:rsidRDefault="00DE4516" w:rsidP="00DE4516">
            <w:pPr>
              <w:pStyle w:val="TableHead"/>
              <w:autoSpaceDE w:val="0"/>
              <w:autoSpaceDN w:val="0"/>
              <w:adjustRightInd w:val="0"/>
              <w:jc w:val="right"/>
              <w:rPr>
                <w:rFonts w:cs="Calibri"/>
                <w:b/>
                <w:sz w:val="15"/>
                <w:szCs w:val="15"/>
              </w:rPr>
            </w:pPr>
            <w:r w:rsidRPr="007F015E">
              <w:rPr>
                <w:b/>
              </w:rPr>
              <w:t>2014</w:t>
            </w:r>
          </w:p>
        </w:tc>
        <w:tc>
          <w:tcPr>
            <w:tcW w:w="767" w:type="dxa"/>
            <w:tcBorders>
              <w:top w:val="single" w:sz="4" w:space="0" w:color="auto"/>
            </w:tcBorders>
            <w:noWrap/>
            <w:vAlign w:val="center"/>
            <w:hideMark/>
          </w:tcPr>
          <w:p w14:paraId="375A53FA" w14:textId="77777777" w:rsidR="00DE4516" w:rsidRPr="007F015E" w:rsidRDefault="00DE4516" w:rsidP="00DE4516">
            <w:pPr>
              <w:pStyle w:val="TableHead"/>
              <w:autoSpaceDE w:val="0"/>
              <w:autoSpaceDN w:val="0"/>
              <w:adjustRightInd w:val="0"/>
              <w:jc w:val="right"/>
              <w:rPr>
                <w:rFonts w:cs="Calibri"/>
                <w:b/>
                <w:sz w:val="15"/>
                <w:szCs w:val="15"/>
              </w:rPr>
            </w:pPr>
            <w:r w:rsidRPr="007F015E">
              <w:rPr>
                <w:b/>
              </w:rPr>
              <w:t>2015</w:t>
            </w:r>
          </w:p>
        </w:tc>
        <w:tc>
          <w:tcPr>
            <w:tcW w:w="767" w:type="dxa"/>
            <w:tcBorders>
              <w:top w:val="single" w:sz="4" w:space="0" w:color="auto"/>
            </w:tcBorders>
            <w:noWrap/>
            <w:vAlign w:val="center"/>
            <w:hideMark/>
          </w:tcPr>
          <w:p w14:paraId="1F546D8C" w14:textId="77777777" w:rsidR="00DE4516" w:rsidRPr="007F015E" w:rsidRDefault="00DE4516" w:rsidP="00DE4516">
            <w:pPr>
              <w:pStyle w:val="TableHead"/>
              <w:autoSpaceDE w:val="0"/>
              <w:autoSpaceDN w:val="0"/>
              <w:adjustRightInd w:val="0"/>
              <w:jc w:val="right"/>
              <w:rPr>
                <w:rFonts w:cs="Calibri"/>
                <w:b/>
                <w:sz w:val="15"/>
                <w:szCs w:val="15"/>
              </w:rPr>
            </w:pPr>
            <w:r w:rsidRPr="007F015E">
              <w:rPr>
                <w:b/>
              </w:rPr>
              <w:t>2016</w:t>
            </w:r>
          </w:p>
        </w:tc>
        <w:tc>
          <w:tcPr>
            <w:tcW w:w="767" w:type="dxa"/>
            <w:tcBorders>
              <w:top w:val="single" w:sz="4" w:space="0" w:color="auto"/>
            </w:tcBorders>
            <w:noWrap/>
            <w:vAlign w:val="center"/>
            <w:hideMark/>
          </w:tcPr>
          <w:p w14:paraId="04FB5187" w14:textId="77777777" w:rsidR="00DE4516" w:rsidRPr="007F015E" w:rsidRDefault="00DE4516" w:rsidP="00DE4516">
            <w:pPr>
              <w:pStyle w:val="TableHead"/>
              <w:autoSpaceDE w:val="0"/>
              <w:autoSpaceDN w:val="0"/>
              <w:adjustRightInd w:val="0"/>
              <w:jc w:val="right"/>
              <w:rPr>
                <w:rFonts w:cs="Calibri"/>
                <w:b/>
                <w:sz w:val="15"/>
                <w:szCs w:val="15"/>
              </w:rPr>
            </w:pPr>
            <w:r w:rsidRPr="007F015E">
              <w:rPr>
                <w:b/>
              </w:rPr>
              <w:t>2017</w:t>
            </w:r>
          </w:p>
        </w:tc>
        <w:tc>
          <w:tcPr>
            <w:tcW w:w="767" w:type="dxa"/>
            <w:tcBorders>
              <w:top w:val="single" w:sz="4" w:space="0" w:color="auto"/>
            </w:tcBorders>
            <w:noWrap/>
            <w:vAlign w:val="center"/>
            <w:hideMark/>
          </w:tcPr>
          <w:p w14:paraId="38736E54" w14:textId="77777777" w:rsidR="00DE4516" w:rsidRPr="007F015E" w:rsidRDefault="00DE4516" w:rsidP="00DE4516">
            <w:pPr>
              <w:pStyle w:val="TableHead"/>
              <w:autoSpaceDE w:val="0"/>
              <w:autoSpaceDN w:val="0"/>
              <w:adjustRightInd w:val="0"/>
              <w:jc w:val="right"/>
              <w:rPr>
                <w:rFonts w:cs="Calibri"/>
                <w:b/>
                <w:sz w:val="15"/>
                <w:szCs w:val="15"/>
              </w:rPr>
            </w:pPr>
            <w:r w:rsidRPr="007F015E">
              <w:rPr>
                <w:b/>
              </w:rPr>
              <w:t>2018</w:t>
            </w:r>
          </w:p>
        </w:tc>
        <w:tc>
          <w:tcPr>
            <w:tcW w:w="767" w:type="dxa"/>
            <w:tcBorders>
              <w:top w:val="single" w:sz="4" w:space="0" w:color="auto"/>
            </w:tcBorders>
            <w:noWrap/>
            <w:vAlign w:val="center"/>
            <w:hideMark/>
          </w:tcPr>
          <w:p w14:paraId="3F5C4E87" w14:textId="77777777" w:rsidR="00DE4516" w:rsidRPr="007F015E" w:rsidRDefault="00DE4516" w:rsidP="00DE4516">
            <w:pPr>
              <w:pStyle w:val="TableHead"/>
              <w:autoSpaceDE w:val="0"/>
              <w:autoSpaceDN w:val="0"/>
              <w:adjustRightInd w:val="0"/>
              <w:jc w:val="right"/>
              <w:rPr>
                <w:rFonts w:cs="Calibri"/>
                <w:b/>
                <w:sz w:val="15"/>
                <w:szCs w:val="15"/>
              </w:rPr>
            </w:pPr>
            <w:r w:rsidRPr="007F015E">
              <w:rPr>
                <w:b/>
              </w:rPr>
              <w:t>2019</w:t>
            </w:r>
          </w:p>
        </w:tc>
        <w:tc>
          <w:tcPr>
            <w:tcW w:w="767" w:type="dxa"/>
            <w:tcBorders>
              <w:top w:val="single" w:sz="4" w:space="0" w:color="auto"/>
            </w:tcBorders>
            <w:noWrap/>
            <w:vAlign w:val="center"/>
            <w:hideMark/>
          </w:tcPr>
          <w:p w14:paraId="533D6BDB" w14:textId="77777777" w:rsidR="00DE4516" w:rsidRPr="007F015E" w:rsidRDefault="00DE4516" w:rsidP="00DE4516">
            <w:pPr>
              <w:pStyle w:val="TableHead"/>
              <w:autoSpaceDE w:val="0"/>
              <w:autoSpaceDN w:val="0"/>
              <w:adjustRightInd w:val="0"/>
              <w:jc w:val="right"/>
              <w:rPr>
                <w:rFonts w:cs="Calibri"/>
                <w:b/>
                <w:sz w:val="15"/>
                <w:szCs w:val="15"/>
              </w:rPr>
            </w:pPr>
            <w:r w:rsidRPr="007F015E">
              <w:rPr>
                <w:b/>
              </w:rPr>
              <w:t>2020</w:t>
            </w:r>
          </w:p>
        </w:tc>
      </w:tr>
      <w:tr w:rsidR="007F015E" w:rsidRPr="00045A4A" w14:paraId="65338688" w14:textId="77777777" w:rsidTr="002F793E">
        <w:trPr>
          <w:cantSplit/>
        </w:trPr>
        <w:tc>
          <w:tcPr>
            <w:tcW w:w="3648" w:type="dxa"/>
            <w:noWrap/>
            <w:vAlign w:val="center"/>
            <w:hideMark/>
          </w:tcPr>
          <w:p w14:paraId="4B27B2E6" w14:textId="77777777" w:rsidR="00DE4516" w:rsidRPr="00A46ADC" w:rsidRDefault="00DE4516" w:rsidP="00DE4516">
            <w:pPr>
              <w:pStyle w:val="TableBody"/>
              <w:autoSpaceDE w:val="0"/>
              <w:autoSpaceDN w:val="0"/>
              <w:adjustRightInd w:val="0"/>
              <w:jc w:val="both"/>
              <w:rPr>
                <w:rFonts w:cs="Calibri"/>
                <w:b/>
                <w:bCs/>
                <w:sz w:val="15"/>
                <w:szCs w:val="15"/>
              </w:rPr>
            </w:pPr>
            <w:r w:rsidRPr="00A46ADC">
              <w:rPr>
                <w:b/>
              </w:rPr>
              <w:t>Total imports (USD billion)</w:t>
            </w:r>
          </w:p>
        </w:tc>
        <w:tc>
          <w:tcPr>
            <w:tcW w:w="766" w:type="dxa"/>
            <w:noWrap/>
            <w:vAlign w:val="center"/>
            <w:hideMark/>
          </w:tcPr>
          <w:p w14:paraId="4D06F4CD"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29.3</w:t>
            </w:r>
          </w:p>
        </w:tc>
        <w:tc>
          <w:tcPr>
            <w:tcW w:w="767" w:type="dxa"/>
            <w:noWrap/>
            <w:vAlign w:val="center"/>
            <w:hideMark/>
          </w:tcPr>
          <w:p w14:paraId="1EEA2EBF"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29.0</w:t>
            </w:r>
          </w:p>
        </w:tc>
        <w:tc>
          <w:tcPr>
            <w:tcW w:w="767" w:type="dxa"/>
            <w:noWrap/>
            <w:vAlign w:val="center"/>
            <w:hideMark/>
          </w:tcPr>
          <w:p w14:paraId="191019CD"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23.1</w:t>
            </w:r>
          </w:p>
        </w:tc>
        <w:tc>
          <w:tcPr>
            <w:tcW w:w="767" w:type="dxa"/>
            <w:noWrap/>
            <w:vAlign w:val="center"/>
            <w:hideMark/>
          </w:tcPr>
          <w:p w14:paraId="19BA7ABB"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25.8</w:t>
            </w:r>
          </w:p>
        </w:tc>
        <w:tc>
          <w:tcPr>
            <w:tcW w:w="767" w:type="dxa"/>
            <w:noWrap/>
            <w:vAlign w:val="center"/>
            <w:hideMark/>
          </w:tcPr>
          <w:p w14:paraId="220326AF"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25.2</w:t>
            </w:r>
          </w:p>
        </w:tc>
        <w:tc>
          <w:tcPr>
            <w:tcW w:w="767" w:type="dxa"/>
            <w:noWrap/>
            <w:vAlign w:val="center"/>
            <w:hideMark/>
          </w:tcPr>
          <w:p w14:paraId="6DEFDDBD"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22.1</w:t>
            </w:r>
          </w:p>
        </w:tc>
        <w:tc>
          <w:tcPr>
            <w:tcW w:w="767" w:type="dxa"/>
            <w:noWrap/>
            <w:vAlign w:val="center"/>
            <w:hideMark/>
          </w:tcPr>
          <w:p w14:paraId="261A9785" w14:textId="77777777" w:rsidR="00DE4516" w:rsidRPr="00A46ADC" w:rsidRDefault="00DE4516" w:rsidP="00DE4516">
            <w:pPr>
              <w:pStyle w:val="TableBody"/>
              <w:autoSpaceDE w:val="0"/>
              <w:autoSpaceDN w:val="0"/>
              <w:adjustRightInd w:val="0"/>
              <w:jc w:val="right"/>
              <w:rPr>
                <w:rFonts w:cs="Calibri"/>
                <w:b/>
                <w:bCs/>
                <w:color w:val="000000"/>
                <w:sz w:val="15"/>
                <w:szCs w:val="15"/>
              </w:rPr>
            </w:pPr>
            <w:r w:rsidRPr="00A46ADC">
              <w:rPr>
                <w:b/>
              </w:rPr>
              <w:t>20.7</w:t>
            </w:r>
          </w:p>
        </w:tc>
      </w:tr>
      <w:tr w:rsidR="00DE4516" w:rsidRPr="00045A4A" w14:paraId="15BEFDED"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04BCF89C" w14:textId="77777777" w:rsidR="00DE4516" w:rsidRPr="00A46ADC" w:rsidRDefault="00DE4516" w:rsidP="00DE4516">
            <w:pPr>
              <w:pStyle w:val="TableBody"/>
              <w:autoSpaceDE w:val="0"/>
              <w:autoSpaceDN w:val="0"/>
              <w:adjustRightInd w:val="0"/>
              <w:jc w:val="right"/>
            </w:pPr>
          </w:p>
        </w:tc>
        <w:tc>
          <w:tcPr>
            <w:tcW w:w="5368" w:type="dxa"/>
            <w:gridSpan w:val="7"/>
            <w:noWrap/>
            <w:vAlign w:val="center"/>
            <w:hideMark/>
          </w:tcPr>
          <w:p w14:paraId="609A2D0C" w14:textId="77777777" w:rsidR="00DE4516" w:rsidRPr="00A46ADC" w:rsidRDefault="00DE4516" w:rsidP="00DE4516">
            <w:pPr>
              <w:pStyle w:val="TableBody"/>
              <w:autoSpaceDE w:val="0"/>
              <w:autoSpaceDN w:val="0"/>
              <w:adjustRightInd w:val="0"/>
              <w:jc w:val="center"/>
              <w:rPr>
                <w:rFonts w:cs="Calibri"/>
                <w:color w:val="000000"/>
                <w:sz w:val="15"/>
                <w:szCs w:val="15"/>
              </w:rPr>
            </w:pPr>
            <w:r w:rsidRPr="00A46ADC">
              <w:t>(% of total)</w:t>
            </w:r>
          </w:p>
        </w:tc>
      </w:tr>
      <w:tr w:rsidR="007F015E" w:rsidRPr="00045A4A" w14:paraId="59C99EA4" w14:textId="77777777" w:rsidTr="002F793E">
        <w:trPr>
          <w:cantSplit/>
        </w:trPr>
        <w:tc>
          <w:tcPr>
            <w:tcW w:w="3648" w:type="dxa"/>
            <w:noWrap/>
            <w:vAlign w:val="center"/>
            <w:hideMark/>
          </w:tcPr>
          <w:p w14:paraId="5B203B65"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01 Live animals and products</w:t>
            </w:r>
          </w:p>
        </w:tc>
        <w:tc>
          <w:tcPr>
            <w:tcW w:w="766" w:type="dxa"/>
            <w:noWrap/>
            <w:vAlign w:val="center"/>
            <w:hideMark/>
          </w:tcPr>
          <w:p w14:paraId="7E938AC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4.2</w:t>
            </w:r>
          </w:p>
        </w:tc>
        <w:tc>
          <w:tcPr>
            <w:tcW w:w="767" w:type="dxa"/>
            <w:noWrap/>
            <w:vAlign w:val="center"/>
            <w:hideMark/>
          </w:tcPr>
          <w:p w14:paraId="7D3FBC2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4.0</w:t>
            </w:r>
          </w:p>
        </w:tc>
        <w:tc>
          <w:tcPr>
            <w:tcW w:w="767" w:type="dxa"/>
            <w:noWrap/>
            <w:vAlign w:val="center"/>
            <w:hideMark/>
          </w:tcPr>
          <w:p w14:paraId="1121DF2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4.9</w:t>
            </w:r>
          </w:p>
        </w:tc>
        <w:tc>
          <w:tcPr>
            <w:tcW w:w="767" w:type="dxa"/>
            <w:noWrap/>
            <w:vAlign w:val="center"/>
            <w:hideMark/>
          </w:tcPr>
          <w:p w14:paraId="5B7A19C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4.5</w:t>
            </w:r>
          </w:p>
        </w:tc>
        <w:tc>
          <w:tcPr>
            <w:tcW w:w="767" w:type="dxa"/>
            <w:noWrap/>
            <w:vAlign w:val="center"/>
            <w:hideMark/>
          </w:tcPr>
          <w:p w14:paraId="763AEB5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5.2</w:t>
            </w:r>
          </w:p>
        </w:tc>
        <w:tc>
          <w:tcPr>
            <w:tcW w:w="767" w:type="dxa"/>
            <w:noWrap/>
            <w:vAlign w:val="center"/>
            <w:hideMark/>
          </w:tcPr>
          <w:p w14:paraId="4D6417F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6.0</w:t>
            </w:r>
          </w:p>
        </w:tc>
        <w:tc>
          <w:tcPr>
            <w:tcW w:w="767" w:type="dxa"/>
            <w:noWrap/>
            <w:vAlign w:val="center"/>
            <w:hideMark/>
          </w:tcPr>
          <w:p w14:paraId="13F9309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6.4</w:t>
            </w:r>
          </w:p>
        </w:tc>
      </w:tr>
      <w:tr w:rsidR="007F015E" w:rsidRPr="00045A4A" w14:paraId="564ABAD4"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26D7E39B"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04 Dairy produce</w:t>
            </w:r>
          </w:p>
        </w:tc>
        <w:tc>
          <w:tcPr>
            <w:tcW w:w="766" w:type="dxa"/>
            <w:noWrap/>
            <w:vAlign w:val="center"/>
            <w:hideMark/>
          </w:tcPr>
          <w:p w14:paraId="4343659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c>
          <w:tcPr>
            <w:tcW w:w="767" w:type="dxa"/>
            <w:noWrap/>
            <w:vAlign w:val="center"/>
            <w:hideMark/>
          </w:tcPr>
          <w:p w14:paraId="0B9DE34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2.1</w:t>
            </w:r>
          </w:p>
        </w:tc>
        <w:tc>
          <w:tcPr>
            <w:tcW w:w="767" w:type="dxa"/>
            <w:noWrap/>
            <w:vAlign w:val="center"/>
            <w:hideMark/>
          </w:tcPr>
          <w:p w14:paraId="4324A07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w:t>
            </w:r>
          </w:p>
        </w:tc>
        <w:tc>
          <w:tcPr>
            <w:tcW w:w="767" w:type="dxa"/>
            <w:noWrap/>
            <w:vAlign w:val="center"/>
            <w:hideMark/>
          </w:tcPr>
          <w:p w14:paraId="6F2DADC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2.4</w:t>
            </w:r>
          </w:p>
        </w:tc>
        <w:tc>
          <w:tcPr>
            <w:tcW w:w="767" w:type="dxa"/>
            <w:noWrap/>
            <w:vAlign w:val="center"/>
            <w:hideMark/>
          </w:tcPr>
          <w:p w14:paraId="466FB6D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2.9</w:t>
            </w:r>
          </w:p>
        </w:tc>
        <w:tc>
          <w:tcPr>
            <w:tcW w:w="767" w:type="dxa"/>
            <w:noWrap/>
            <w:vAlign w:val="center"/>
            <w:hideMark/>
          </w:tcPr>
          <w:p w14:paraId="46C6BF3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3.3</w:t>
            </w:r>
          </w:p>
        </w:tc>
        <w:tc>
          <w:tcPr>
            <w:tcW w:w="767" w:type="dxa"/>
            <w:noWrap/>
            <w:vAlign w:val="center"/>
            <w:hideMark/>
          </w:tcPr>
          <w:p w14:paraId="51A2315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3.6</w:t>
            </w:r>
          </w:p>
        </w:tc>
      </w:tr>
      <w:tr w:rsidR="007F015E" w:rsidRPr="00045A4A" w14:paraId="65C8EDF1" w14:textId="77777777" w:rsidTr="002F793E">
        <w:trPr>
          <w:cantSplit/>
        </w:trPr>
        <w:tc>
          <w:tcPr>
            <w:tcW w:w="3648" w:type="dxa"/>
            <w:noWrap/>
            <w:vAlign w:val="center"/>
            <w:hideMark/>
          </w:tcPr>
          <w:p w14:paraId="0BEE3F05"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02 Vegetable products</w:t>
            </w:r>
          </w:p>
        </w:tc>
        <w:tc>
          <w:tcPr>
            <w:tcW w:w="766" w:type="dxa"/>
            <w:noWrap/>
            <w:vAlign w:val="center"/>
            <w:hideMark/>
          </w:tcPr>
          <w:p w14:paraId="4DF45AC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3.6</w:t>
            </w:r>
          </w:p>
        </w:tc>
        <w:tc>
          <w:tcPr>
            <w:tcW w:w="767" w:type="dxa"/>
            <w:noWrap/>
            <w:vAlign w:val="center"/>
            <w:hideMark/>
          </w:tcPr>
          <w:p w14:paraId="324BC52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3.6</w:t>
            </w:r>
          </w:p>
        </w:tc>
        <w:tc>
          <w:tcPr>
            <w:tcW w:w="767" w:type="dxa"/>
            <w:noWrap/>
            <w:vAlign w:val="center"/>
            <w:hideMark/>
          </w:tcPr>
          <w:p w14:paraId="1FD77E3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3.6</w:t>
            </w:r>
          </w:p>
        </w:tc>
        <w:tc>
          <w:tcPr>
            <w:tcW w:w="767" w:type="dxa"/>
            <w:noWrap/>
            <w:vAlign w:val="center"/>
            <w:hideMark/>
          </w:tcPr>
          <w:p w14:paraId="29114F3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3.7</w:t>
            </w:r>
          </w:p>
        </w:tc>
        <w:tc>
          <w:tcPr>
            <w:tcW w:w="767" w:type="dxa"/>
            <w:noWrap/>
            <w:vAlign w:val="center"/>
            <w:hideMark/>
          </w:tcPr>
          <w:p w14:paraId="1819691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4.2</w:t>
            </w:r>
          </w:p>
        </w:tc>
        <w:tc>
          <w:tcPr>
            <w:tcW w:w="767" w:type="dxa"/>
            <w:noWrap/>
            <w:vAlign w:val="center"/>
            <w:hideMark/>
          </w:tcPr>
          <w:p w14:paraId="21E09AD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5.1</w:t>
            </w:r>
          </w:p>
        </w:tc>
        <w:tc>
          <w:tcPr>
            <w:tcW w:w="767" w:type="dxa"/>
            <w:noWrap/>
            <w:vAlign w:val="center"/>
            <w:hideMark/>
          </w:tcPr>
          <w:p w14:paraId="40A06ED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7.4</w:t>
            </w:r>
          </w:p>
        </w:tc>
      </w:tr>
      <w:tr w:rsidR="007F015E" w:rsidRPr="00045A4A" w14:paraId="2E8390A8"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685D2D76"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10 Cereals</w:t>
            </w:r>
          </w:p>
        </w:tc>
        <w:tc>
          <w:tcPr>
            <w:tcW w:w="766" w:type="dxa"/>
            <w:noWrap/>
            <w:vAlign w:val="center"/>
            <w:hideMark/>
          </w:tcPr>
          <w:p w14:paraId="59A5EBD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w:t>
            </w:r>
          </w:p>
        </w:tc>
        <w:tc>
          <w:tcPr>
            <w:tcW w:w="767" w:type="dxa"/>
            <w:noWrap/>
            <w:vAlign w:val="center"/>
            <w:hideMark/>
          </w:tcPr>
          <w:p w14:paraId="4D54BCF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w:t>
            </w:r>
          </w:p>
        </w:tc>
        <w:tc>
          <w:tcPr>
            <w:tcW w:w="767" w:type="dxa"/>
            <w:noWrap/>
            <w:vAlign w:val="center"/>
            <w:hideMark/>
          </w:tcPr>
          <w:p w14:paraId="46E23C3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767" w:type="dxa"/>
            <w:noWrap/>
            <w:vAlign w:val="center"/>
            <w:hideMark/>
          </w:tcPr>
          <w:p w14:paraId="702D578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w:t>
            </w:r>
          </w:p>
        </w:tc>
        <w:tc>
          <w:tcPr>
            <w:tcW w:w="767" w:type="dxa"/>
            <w:noWrap/>
            <w:vAlign w:val="center"/>
            <w:hideMark/>
          </w:tcPr>
          <w:p w14:paraId="1682F94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767" w:type="dxa"/>
            <w:noWrap/>
            <w:vAlign w:val="center"/>
            <w:hideMark/>
          </w:tcPr>
          <w:p w14:paraId="39A21E1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c>
          <w:tcPr>
            <w:tcW w:w="767" w:type="dxa"/>
            <w:noWrap/>
            <w:vAlign w:val="center"/>
            <w:hideMark/>
          </w:tcPr>
          <w:p w14:paraId="1B69378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3.4</w:t>
            </w:r>
          </w:p>
        </w:tc>
      </w:tr>
      <w:tr w:rsidR="007F015E" w:rsidRPr="00045A4A" w14:paraId="6061C685" w14:textId="77777777" w:rsidTr="002F793E">
        <w:trPr>
          <w:cantSplit/>
        </w:trPr>
        <w:tc>
          <w:tcPr>
            <w:tcW w:w="3648" w:type="dxa"/>
            <w:noWrap/>
            <w:vAlign w:val="center"/>
            <w:hideMark/>
          </w:tcPr>
          <w:p w14:paraId="08513E5F"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03 Fats and oils</w:t>
            </w:r>
          </w:p>
        </w:tc>
        <w:tc>
          <w:tcPr>
            <w:tcW w:w="766" w:type="dxa"/>
            <w:noWrap/>
            <w:vAlign w:val="center"/>
            <w:hideMark/>
          </w:tcPr>
          <w:p w14:paraId="2FD284F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0.9</w:t>
            </w:r>
          </w:p>
        </w:tc>
        <w:tc>
          <w:tcPr>
            <w:tcW w:w="767" w:type="dxa"/>
            <w:noWrap/>
            <w:vAlign w:val="center"/>
            <w:hideMark/>
          </w:tcPr>
          <w:p w14:paraId="3A4422B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0.8</w:t>
            </w:r>
          </w:p>
        </w:tc>
        <w:tc>
          <w:tcPr>
            <w:tcW w:w="767" w:type="dxa"/>
            <w:noWrap/>
            <w:vAlign w:val="center"/>
            <w:hideMark/>
          </w:tcPr>
          <w:p w14:paraId="62F4B3A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2.1</w:t>
            </w:r>
          </w:p>
        </w:tc>
        <w:tc>
          <w:tcPr>
            <w:tcW w:w="767" w:type="dxa"/>
            <w:noWrap/>
            <w:vAlign w:val="center"/>
            <w:hideMark/>
          </w:tcPr>
          <w:p w14:paraId="609CDA1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0.9</w:t>
            </w:r>
          </w:p>
        </w:tc>
        <w:tc>
          <w:tcPr>
            <w:tcW w:w="767" w:type="dxa"/>
            <w:noWrap/>
            <w:vAlign w:val="center"/>
            <w:hideMark/>
          </w:tcPr>
          <w:p w14:paraId="7C67AF0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0.9</w:t>
            </w:r>
          </w:p>
        </w:tc>
        <w:tc>
          <w:tcPr>
            <w:tcW w:w="767" w:type="dxa"/>
            <w:noWrap/>
            <w:vAlign w:val="center"/>
            <w:hideMark/>
          </w:tcPr>
          <w:p w14:paraId="30B3418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w:t>
            </w:r>
          </w:p>
        </w:tc>
        <w:tc>
          <w:tcPr>
            <w:tcW w:w="767" w:type="dxa"/>
            <w:noWrap/>
            <w:vAlign w:val="center"/>
            <w:hideMark/>
          </w:tcPr>
          <w:p w14:paraId="67E53CF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w:t>
            </w:r>
          </w:p>
        </w:tc>
      </w:tr>
      <w:tr w:rsidR="007F015E" w:rsidRPr="00045A4A" w14:paraId="03ABF19F"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2209CBE3"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 xml:space="preserve">04 Prepared food, </w:t>
            </w:r>
            <w:proofErr w:type="gramStart"/>
            <w:r w:rsidRPr="00A46ADC">
              <w:t>beverages</w:t>
            </w:r>
            <w:proofErr w:type="gramEnd"/>
            <w:r w:rsidRPr="00A46ADC">
              <w:t xml:space="preserve"> and tobacco</w:t>
            </w:r>
          </w:p>
        </w:tc>
        <w:tc>
          <w:tcPr>
            <w:tcW w:w="766" w:type="dxa"/>
            <w:noWrap/>
            <w:vAlign w:val="center"/>
            <w:hideMark/>
          </w:tcPr>
          <w:p w14:paraId="6CDF88B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3.7</w:t>
            </w:r>
          </w:p>
        </w:tc>
        <w:tc>
          <w:tcPr>
            <w:tcW w:w="767" w:type="dxa"/>
            <w:noWrap/>
            <w:vAlign w:val="center"/>
            <w:hideMark/>
          </w:tcPr>
          <w:p w14:paraId="568C0E9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4.0</w:t>
            </w:r>
          </w:p>
        </w:tc>
        <w:tc>
          <w:tcPr>
            <w:tcW w:w="767" w:type="dxa"/>
            <w:noWrap/>
            <w:vAlign w:val="center"/>
            <w:hideMark/>
          </w:tcPr>
          <w:p w14:paraId="5617E54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5.1</w:t>
            </w:r>
          </w:p>
        </w:tc>
        <w:tc>
          <w:tcPr>
            <w:tcW w:w="767" w:type="dxa"/>
            <w:noWrap/>
            <w:vAlign w:val="center"/>
            <w:hideMark/>
          </w:tcPr>
          <w:p w14:paraId="6DC2F63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4.8</w:t>
            </w:r>
          </w:p>
        </w:tc>
        <w:tc>
          <w:tcPr>
            <w:tcW w:w="767" w:type="dxa"/>
            <w:noWrap/>
            <w:vAlign w:val="center"/>
            <w:hideMark/>
          </w:tcPr>
          <w:p w14:paraId="6B6D2CC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5.0</w:t>
            </w:r>
          </w:p>
        </w:tc>
        <w:tc>
          <w:tcPr>
            <w:tcW w:w="767" w:type="dxa"/>
            <w:noWrap/>
            <w:vAlign w:val="center"/>
            <w:hideMark/>
          </w:tcPr>
          <w:p w14:paraId="565C4F3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6.4</w:t>
            </w:r>
          </w:p>
        </w:tc>
        <w:tc>
          <w:tcPr>
            <w:tcW w:w="767" w:type="dxa"/>
            <w:noWrap/>
            <w:vAlign w:val="center"/>
            <w:hideMark/>
          </w:tcPr>
          <w:p w14:paraId="2E5811B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5.6</w:t>
            </w:r>
          </w:p>
        </w:tc>
      </w:tr>
      <w:tr w:rsidR="007F015E" w:rsidRPr="00045A4A" w14:paraId="0255F330" w14:textId="77777777" w:rsidTr="002F793E">
        <w:trPr>
          <w:cantSplit/>
        </w:trPr>
        <w:tc>
          <w:tcPr>
            <w:tcW w:w="3648" w:type="dxa"/>
            <w:noWrap/>
            <w:vAlign w:val="center"/>
            <w:hideMark/>
          </w:tcPr>
          <w:p w14:paraId="76612252"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05 Mineral products</w:t>
            </w:r>
          </w:p>
        </w:tc>
        <w:tc>
          <w:tcPr>
            <w:tcW w:w="766" w:type="dxa"/>
            <w:noWrap/>
            <w:vAlign w:val="center"/>
            <w:hideMark/>
          </w:tcPr>
          <w:p w14:paraId="076EA18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11.5</w:t>
            </w:r>
          </w:p>
        </w:tc>
        <w:tc>
          <w:tcPr>
            <w:tcW w:w="767" w:type="dxa"/>
            <w:noWrap/>
            <w:vAlign w:val="center"/>
            <w:hideMark/>
          </w:tcPr>
          <w:p w14:paraId="3A373D5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15.1</w:t>
            </w:r>
          </w:p>
        </w:tc>
        <w:tc>
          <w:tcPr>
            <w:tcW w:w="767" w:type="dxa"/>
            <w:noWrap/>
            <w:vAlign w:val="center"/>
            <w:hideMark/>
          </w:tcPr>
          <w:p w14:paraId="7439EEA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12.4</w:t>
            </w:r>
          </w:p>
        </w:tc>
        <w:tc>
          <w:tcPr>
            <w:tcW w:w="767" w:type="dxa"/>
            <w:noWrap/>
            <w:vAlign w:val="center"/>
            <w:hideMark/>
          </w:tcPr>
          <w:p w14:paraId="6D855CA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10.7</w:t>
            </w:r>
          </w:p>
        </w:tc>
        <w:tc>
          <w:tcPr>
            <w:tcW w:w="767" w:type="dxa"/>
            <w:noWrap/>
            <w:vAlign w:val="center"/>
            <w:hideMark/>
          </w:tcPr>
          <w:p w14:paraId="3040405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9.3</w:t>
            </w:r>
          </w:p>
        </w:tc>
        <w:tc>
          <w:tcPr>
            <w:tcW w:w="767" w:type="dxa"/>
            <w:noWrap/>
            <w:vAlign w:val="center"/>
            <w:hideMark/>
          </w:tcPr>
          <w:p w14:paraId="2BF23DE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6.5</w:t>
            </w:r>
          </w:p>
        </w:tc>
        <w:tc>
          <w:tcPr>
            <w:tcW w:w="767" w:type="dxa"/>
            <w:noWrap/>
            <w:vAlign w:val="center"/>
            <w:hideMark/>
          </w:tcPr>
          <w:p w14:paraId="073E768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7.1</w:t>
            </w:r>
          </w:p>
        </w:tc>
      </w:tr>
      <w:tr w:rsidR="007F015E" w:rsidRPr="00045A4A" w14:paraId="25806B25"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365F1942"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 xml:space="preserve">HS 26 Ores, </w:t>
            </w:r>
            <w:proofErr w:type="gramStart"/>
            <w:r w:rsidRPr="00A46ADC">
              <w:t>slag</w:t>
            </w:r>
            <w:proofErr w:type="gramEnd"/>
            <w:r w:rsidRPr="00A46ADC">
              <w:t xml:space="preserve"> and ash</w:t>
            </w:r>
          </w:p>
        </w:tc>
        <w:tc>
          <w:tcPr>
            <w:tcW w:w="766" w:type="dxa"/>
            <w:noWrap/>
            <w:vAlign w:val="center"/>
            <w:hideMark/>
          </w:tcPr>
          <w:p w14:paraId="7958C1E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3.6</w:t>
            </w:r>
          </w:p>
        </w:tc>
        <w:tc>
          <w:tcPr>
            <w:tcW w:w="767" w:type="dxa"/>
            <w:noWrap/>
            <w:vAlign w:val="center"/>
            <w:hideMark/>
          </w:tcPr>
          <w:p w14:paraId="5D12E1D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767" w:type="dxa"/>
            <w:noWrap/>
            <w:vAlign w:val="center"/>
            <w:hideMark/>
          </w:tcPr>
          <w:p w14:paraId="386E5D0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767" w:type="dxa"/>
            <w:noWrap/>
            <w:vAlign w:val="center"/>
            <w:hideMark/>
          </w:tcPr>
          <w:p w14:paraId="7CF4B02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3.3</w:t>
            </w:r>
          </w:p>
        </w:tc>
        <w:tc>
          <w:tcPr>
            <w:tcW w:w="767" w:type="dxa"/>
            <w:noWrap/>
            <w:vAlign w:val="center"/>
            <w:hideMark/>
          </w:tcPr>
          <w:p w14:paraId="5216F91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w:t>
            </w:r>
          </w:p>
        </w:tc>
        <w:tc>
          <w:tcPr>
            <w:tcW w:w="767" w:type="dxa"/>
            <w:noWrap/>
            <w:vAlign w:val="center"/>
            <w:hideMark/>
          </w:tcPr>
          <w:p w14:paraId="565E223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4.0</w:t>
            </w:r>
          </w:p>
        </w:tc>
        <w:tc>
          <w:tcPr>
            <w:tcW w:w="767" w:type="dxa"/>
            <w:noWrap/>
            <w:vAlign w:val="center"/>
            <w:hideMark/>
          </w:tcPr>
          <w:p w14:paraId="7452BF4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4.8</w:t>
            </w:r>
          </w:p>
        </w:tc>
      </w:tr>
      <w:tr w:rsidR="007F015E" w:rsidRPr="00045A4A" w14:paraId="2BFAB022" w14:textId="77777777" w:rsidTr="002F793E">
        <w:trPr>
          <w:cantSplit/>
        </w:trPr>
        <w:tc>
          <w:tcPr>
            <w:tcW w:w="3648" w:type="dxa"/>
            <w:noWrap/>
            <w:vAlign w:val="center"/>
            <w:hideMark/>
          </w:tcPr>
          <w:p w14:paraId="4A9B4362"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06 Chemicals and products thereof</w:t>
            </w:r>
          </w:p>
        </w:tc>
        <w:tc>
          <w:tcPr>
            <w:tcW w:w="766" w:type="dxa"/>
            <w:noWrap/>
            <w:vAlign w:val="center"/>
            <w:hideMark/>
          </w:tcPr>
          <w:p w14:paraId="4174D16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8.8</w:t>
            </w:r>
          </w:p>
        </w:tc>
        <w:tc>
          <w:tcPr>
            <w:tcW w:w="767" w:type="dxa"/>
            <w:noWrap/>
            <w:vAlign w:val="center"/>
            <w:hideMark/>
          </w:tcPr>
          <w:p w14:paraId="39915AB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8.6</w:t>
            </w:r>
          </w:p>
        </w:tc>
        <w:tc>
          <w:tcPr>
            <w:tcW w:w="767" w:type="dxa"/>
            <w:noWrap/>
            <w:vAlign w:val="center"/>
            <w:hideMark/>
          </w:tcPr>
          <w:p w14:paraId="18520E9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7.6</w:t>
            </w:r>
          </w:p>
        </w:tc>
        <w:tc>
          <w:tcPr>
            <w:tcW w:w="767" w:type="dxa"/>
            <w:noWrap/>
            <w:vAlign w:val="center"/>
            <w:hideMark/>
          </w:tcPr>
          <w:p w14:paraId="1F05ED0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7.6</w:t>
            </w:r>
          </w:p>
        </w:tc>
        <w:tc>
          <w:tcPr>
            <w:tcW w:w="767" w:type="dxa"/>
            <w:noWrap/>
            <w:vAlign w:val="center"/>
            <w:hideMark/>
          </w:tcPr>
          <w:p w14:paraId="4163E8C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8.0</w:t>
            </w:r>
          </w:p>
        </w:tc>
        <w:tc>
          <w:tcPr>
            <w:tcW w:w="767" w:type="dxa"/>
            <w:noWrap/>
            <w:vAlign w:val="center"/>
            <w:hideMark/>
          </w:tcPr>
          <w:p w14:paraId="30E6316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8.9</w:t>
            </w:r>
          </w:p>
        </w:tc>
        <w:tc>
          <w:tcPr>
            <w:tcW w:w="767" w:type="dxa"/>
            <w:noWrap/>
            <w:vAlign w:val="center"/>
            <w:hideMark/>
          </w:tcPr>
          <w:p w14:paraId="0A02E43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9.3</w:t>
            </w:r>
          </w:p>
        </w:tc>
      </w:tr>
      <w:tr w:rsidR="007F015E" w:rsidRPr="00045A4A" w14:paraId="50CA7832"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4B43D620"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30 Pharmaceutical products</w:t>
            </w:r>
          </w:p>
        </w:tc>
        <w:tc>
          <w:tcPr>
            <w:tcW w:w="766" w:type="dxa"/>
            <w:noWrap/>
            <w:vAlign w:val="center"/>
            <w:hideMark/>
          </w:tcPr>
          <w:p w14:paraId="047A784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1.4</w:t>
            </w:r>
          </w:p>
        </w:tc>
        <w:tc>
          <w:tcPr>
            <w:tcW w:w="767" w:type="dxa"/>
            <w:noWrap/>
            <w:vAlign w:val="center"/>
            <w:hideMark/>
          </w:tcPr>
          <w:p w14:paraId="6965B9F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767" w:type="dxa"/>
            <w:noWrap/>
            <w:vAlign w:val="center"/>
            <w:hideMark/>
          </w:tcPr>
          <w:p w14:paraId="7E9B7DE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w:t>
            </w:r>
          </w:p>
        </w:tc>
        <w:tc>
          <w:tcPr>
            <w:tcW w:w="767" w:type="dxa"/>
            <w:noWrap/>
            <w:vAlign w:val="center"/>
            <w:hideMark/>
          </w:tcPr>
          <w:p w14:paraId="2E3A3D4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767" w:type="dxa"/>
            <w:noWrap/>
            <w:vAlign w:val="center"/>
            <w:hideMark/>
          </w:tcPr>
          <w:p w14:paraId="0B4E449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w:t>
            </w:r>
          </w:p>
        </w:tc>
        <w:tc>
          <w:tcPr>
            <w:tcW w:w="767" w:type="dxa"/>
            <w:noWrap/>
            <w:vAlign w:val="center"/>
            <w:hideMark/>
          </w:tcPr>
          <w:p w14:paraId="54A9D5E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c>
          <w:tcPr>
            <w:tcW w:w="767" w:type="dxa"/>
            <w:noWrap/>
            <w:vAlign w:val="center"/>
            <w:hideMark/>
          </w:tcPr>
          <w:p w14:paraId="127FED9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2.6</w:t>
            </w:r>
          </w:p>
        </w:tc>
      </w:tr>
      <w:tr w:rsidR="007F015E" w:rsidRPr="00045A4A" w14:paraId="13683C65" w14:textId="77777777" w:rsidTr="002F793E">
        <w:trPr>
          <w:cantSplit/>
        </w:trPr>
        <w:tc>
          <w:tcPr>
            <w:tcW w:w="3648" w:type="dxa"/>
            <w:noWrap/>
            <w:vAlign w:val="center"/>
            <w:hideMark/>
          </w:tcPr>
          <w:p w14:paraId="0271F4CD"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07 Plastics and rubber</w:t>
            </w:r>
          </w:p>
        </w:tc>
        <w:tc>
          <w:tcPr>
            <w:tcW w:w="766" w:type="dxa"/>
            <w:noWrap/>
            <w:vAlign w:val="center"/>
            <w:hideMark/>
          </w:tcPr>
          <w:p w14:paraId="68C91FC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3.7</w:t>
            </w:r>
          </w:p>
        </w:tc>
        <w:tc>
          <w:tcPr>
            <w:tcW w:w="767" w:type="dxa"/>
            <w:noWrap/>
            <w:vAlign w:val="center"/>
            <w:hideMark/>
          </w:tcPr>
          <w:p w14:paraId="06D433A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4.0</w:t>
            </w:r>
          </w:p>
        </w:tc>
        <w:tc>
          <w:tcPr>
            <w:tcW w:w="767" w:type="dxa"/>
            <w:noWrap/>
            <w:vAlign w:val="center"/>
            <w:hideMark/>
          </w:tcPr>
          <w:p w14:paraId="15CED79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4.1</w:t>
            </w:r>
          </w:p>
        </w:tc>
        <w:tc>
          <w:tcPr>
            <w:tcW w:w="767" w:type="dxa"/>
            <w:noWrap/>
            <w:vAlign w:val="center"/>
            <w:hideMark/>
          </w:tcPr>
          <w:p w14:paraId="3B31F66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3.9</w:t>
            </w:r>
          </w:p>
        </w:tc>
        <w:tc>
          <w:tcPr>
            <w:tcW w:w="767" w:type="dxa"/>
            <w:noWrap/>
            <w:vAlign w:val="center"/>
            <w:hideMark/>
          </w:tcPr>
          <w:p w14:paraId="06C7986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4.3</w:t>
            </w:r>
          </w:p>
        </w:tc>
        <w:tc>
          <w:tcPr>
            <w:tcW w:w="767" w:type="dxa"/>
            <w:noWrap/>
            <w:vAlign w:val="center"/>
            <w:hideMark/>
          </w:tcPr>
          <w:p w14:paraId="322D807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4.7</w:t>
            </w:r>
          </w:p>
        </w:tc>
        <w:tc>
          <w:tcPr>
            <w:tcW w:w="767" w:type="dxa"/>
            <w:noWrap/>
            <w:vAlign w:val="center"/>
            <w:hideMark/>
          </w:tcPr>
          <w:p w14:paraId="16A6ADD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4.7</w:t>
            </w:r>
          </w:p>
        </w:tc>
      </w:tr>
      <w:tr w:rsidR="007F015E" w:rsidRPr="00045A4A" w14:paraId="50D745E3"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20E1AB03"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39 Plastics and articles thereof</w:t>
            </w:r>
          </w:p>
        </w:tc>
        <w:tc>
          <w:tcPr>
            <w:tcW w:w="766" w:type="dxa"/>
            <w:noWrap/>
            <w:vAlign w:val="center"/>
            <w:hideMark/>
          </w:tcPr>
          <w:p w14:paraId="0C6A4E0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2.6</w:t>
            </w:r>
          </w:p>
        </w:tc>
        <w:tc>
          <w:tcPr>
            <w:tcW w:w="767" w:type="dxa"/>
            <w:noWrap/>
            <w:vAlign w:val="center"/>
            <w:hideMark/>
          </w:tcPr>
          <w:p w14:paraId="65406EB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2.9</w:t>
            </w:r>
          </w:p>
        </w:tc>
        <w:tc>
          <w:tcPr>
            <w:tcW w:w="767" w:type="dxa"/>
            <w:noWrap/>
            <w:vAlign w:val="center"/>
            <w:hideMark/>
          </w:tcPr>
          <w:p w14:paraId="73E4F65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3.1</w:t>
            </w:r>
          </w:p>
        </w:tc>
        <w:tc>
          <w:tcPr>
            <w:tcW w:w="767" w:type="dxa"/>
            <w:noWrap/>
            <w:vAlign w:val="center"/>
            <w:hideMark/>
          </w:tcPr>
          <w:p w14:paraId="31CC465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2.8</w:t>
            </w:r>
          </w:p>
        </w:tc>
        <w:tc>
          <w:tcPr>
            <w:tcW w:w="767" w:type="dxa"/>
            <w:noWrap/>
            <w:vAlign w:val="center"/>
            <w:hideMark/>
          </w:tcPr>
          <w:p w14:paraId="04B381D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3.3</w:t>
            </w:r>
          </w:p>
        </w:tc>
        <w:tc>
          <w:tcPr>
            <w:tcW w:w="767" w:type="dxa"/>
            <w:noWrap/>
            <w:vAlign w:val="center"/>
            <w:hideMark/>
          </w:tcPr>
          <w:p w14:paraId="7589408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3.5</w:t>
            </w:r>
          </w:p>
        </w:tc>
        <w:tc>
          <w:tcPr>
            <w:tcW w:w="767" w:type="dxa"/>
            <w:noWrap/>
            <w:vAlign w:val="center"/>
            <w:hideMark/>
          </w:tcPr>
          <w:p w14:paraId="2D7DDEC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3.6</w:t>
            </w:r>
          </w:p>
        </w:tc>
      </w:tr>
      <w:tr w:rsidR="007F015E" w:rsidRPr="00045A4A" w14:paraId="4260A38E" w14:textId="77777777" w:rsidTr="002F793E">
        <w:trPr>
          <w:cantSplit/>
        </w:trPr>
        <w:tc>
          <w:tcPr>
            <w:tcW w:w="3648" w:type="dxa"/>
            <w:noWrap/>
            <w:vAlign w:val="center"/>
            <w:hideMark/>
          </w:tcPr>
          <w:p w14:paraId="6DA10302"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 xml:space="preserve">08 Raw hides and skins; leather, </w:t>
            </w:r>
            <w:proofErr w:type="spellStart"/>
            <w:r w:rsidRPr="00A46ADC">
              <w:t>furskins</w:t>
            </w:r>
            <w:proofErr w:type="spellEnd"/>
            <w:r w:rsidRPr="00A46ADC">
              <w:t xml:space="preserve"> and articles thereof</w:t>
            </w:r>
          </w:p>
        </w:tc>
        <w:tc>
          <w:tcPr>
            <w:tcW w:w="766" w:type="dxa"/>
            <w:noWrap/>
            <w:vAlign w:val="center"/>
            <w:hideMark/>
          </w:tcPr>
          <w:p w14:paraId="54FD52F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767" w:type="dxa"/>
            <w:noWrap/>
            <w:vAlign w:val="center"/>
            <w:hideMark/>
          </w:tcPr>
          <w:p w14:paraId="1565D07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767" w:type="dxa"/>
            <w:noWrap/>
            <w:vAlign w:val="center"/>
            <w:hideMark/>
          </w:tcPr>
          <w:p w14:paraId="7DFA1D5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767" w:type="dxa"/>
            <w:noWrap/>
            <w:vAlign w:val="center"/>
            <w:hideMark/>
          </w:tcPr>
          <w:p w14:paraId="7F43BB4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767" w:type="dxa"/>
            <w:noWrap/>
            <w:vAlign w:val="center"/>
            <w:hideMark/>
          </w:tcPr>
          <w:p w14:paraId="6475D4E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767" w:type="dxa"/>
            <w:noWrap/>
            <w:vAlign w:val="center"/>
            <w:hideMark/>
          </w:tcPr>
          <w:p w14:paraId="1774E6C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0.2</w:t>
            </w:r>
          </w:p>
        </w:tc>
        <w:tc>
          <w:tcPr>
            <w:tcW w:w="767" w:type="dxa"/>
            <w:noWrap/>
            <w:vAlign w:val="center"/>
            <w:hideMark/>
          </w:tcPr>
          <w:p w14:paraId="7AC7143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r>
      <w:tr w:rsidR="007F015E" w:rsidRPr="00045A4A" w14:paraId="19D1F612"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106F635E"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09 Wood, cork, straw</w:t>
            </w:r>
          </w:p>
        </w:tc>
        <w:tc>
          <w:tcPr>
            <w:tcW w:w="766" w:type="dxa"/>
            <w:noWrap/>
            <w:vAlign w:val="center"/>
            <w:hideMark/>
          </w:tcPr>
          <w:p w14:paraId="1C43CC6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w:t>
            </w:r>
          </w:p>
        </w:tc>
        <w:tc>
          <w:tcPr>
            <w:tcW w:w="767" w:type="dxa"/>
            <w:noWrap/>
            <w:vAlign w:val="center"/>
            <w:hideMark/>
          </w:tcPr>
          <w:p w14:paraId="7004D77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w:t>
            </w:r>
          </w:p>
        </w:tc>
        <w:tc>
          <w:tcPr>
            <w:tcW w:w="767" w:type="dxa"/>
            <w:noWrap/>
            <w:vAlign w:val="center"/>
            <w:hideMark/>
          </w:tcPr>
          <w:p w14:paraId="04CBDB5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0.9</w:t>
            </w:r>
          </w:p>
        </w:tc>
        <w:tc>
          <w:tcPr>
            <w:tcW w:w="767" w:type="dxa"/>
            <w:noWrap/>
            <w:vAlign w:val="center"/>
            <w:hideMark/>
          </w:tcPr>
          <w:p w14:paraId="1BAA2EB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w:t>
            </w:r>
          </w:p>
        </w:tc>
        <w:tc>
          <w:tcPr>
            <w:tcW w:w="767" w:type="dxa"/>
            <w:noWrap/>
            <w:vAlign w:val="center"/>
            <w:hideMark/>
          </w:tcPr>
          <w:p w14:paraId="6ACEC5F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0.8</w:t>
            </w:r>
          </w:p>
        </w:tc>
        <w:tc>
          <w:tcPr>
            <w:tcW w:w="767" w:type="dxa"/>
            <w:noWrap/>
            <w:vAlign w:val="center"/>
            <w:hideMark/>
          </w:tcPr>
          <w:p w14:paraId="198EA53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0.9</w:t>
            </w:r>
          </w:p>
        </w:tc>
        <w:tc>
          <w:tcPr>
            <w:tcW w:w="767" w:type="dxa"/>
            <w:noWrap/>
            <w:vAlign w:val="center"/>
            <w:hideMark/>
          </w:tcPr>
          <w:p w14:paraId="1065509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0.9</w:t>
            </w:r>
          </w:p>
        </w:tc>
      </w:tr>
      <w:tr w:rsidR="007F015E" w:rsidRPr="00045A4A" w14:paraId="0D96A30F" w14:textId="77777777" w:rsidTr="002F793E">
        <w:trPr>
          <w:cantSplit/>
        </w:trPr>
        <w:tc>
          <w:tcPr>
            <w:tcW w:w="3648" w:type="dxa"/>
            <w:noWrap/>
            <w:vAlign w:val="center"/>
            <w:hideMark/>
          </w:tcPr>
          <w:p w14:paraId="26D9C704"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10 Pulp of wood; paper and paperboard</w:t>
            </w:r>
          </w:p>
        </w:tc>
        <w:tc>
          <w:tcPr>
            <w:tcW w:w="766" w:type="dxa"/>
            <w:noWrap/>
            <w:vAlign w:val="center"/>
            <w:hideMark/>
          </w:tcPr>
          <w:p w14:paraId="0BB499F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0.8</w:t>
            </w:r>
          </w:p>
        </w:tc>
        <w:tc>
          <w:tcPr>
            <w:tcW w:w="767" w:type="dxa"/>
            <w:noWrap/>
            <w:vAlign w:val="center"/>
            <w:hideMark/>
          </w:tcPr>
          <w:p w14:paraId="2A82F3A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w:t>
            </w:r>
          </w:p>
        </w:tc>
        <w:tc>
          <w:tcPr>
            <w:tcW w:w="767" w:type="dxa"/>
            <w:noWrap/>
            <w:vAlign w:val="center"/>
            <w:hideMark/>
          </w:tcPr>
          <w:p w14:paraId="7CC9B7C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0.8</w:t>
            </w:r>
          </w:p>
        </w:tc>
        <w:tc>
          <w:tcPr>
            <w:tcW w:w="767" w:type="dxa"/>
            <w:noWrap/>
            <w:vAlign w:val="center"/>
            <w:hideMark/>
          </w:tcPr>
          <w:p w14:paraId="619C98B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0.9</w:t>
            </w:r>
          </w:p>
        </w:tc>
        <w:tc>
          <w:tcPr>
            <w:tcW w:w="767" w:type="dxa"/>
            <w:noWrap/>
            <w:vAlign w:val="center"/>
            <w:hideMark/>
          </w:tcPr>
          <w:p w14:paraId="4F9BD10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1.0</w:t>
            </w:r>
          </w:p>
        </w:tc>
        <w:tc>
          <w:tcPr>
            <w:tcW w:w="767" w:type="dxa"/>
            <w:noWrap/>
            <w:vAlign w:val="center"/>
            <w:hideMark/>
          </w:tcPr>
          <w:p w14:paraId="27AF52B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w:t>
            </w:r>
          </w:p>
        </w:tc>
        <w:tc>
          <w:tcPr>
            <w:tcW w:w="767" w:type="dxa"/>
            <w:noWrap/>
            <w:vAlign w:val="center"/>
            <w:hideMark/>
          </w:tcPr>
          <w:p w14:paraId="0C03EC8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w:t>
            </w:r>
          </w:p>
        </w:tc>
      </w:tr>
      <w:tr w:rsidR="007F015E" w:rsidRPr="00045A4A" w14:paraId="20DBD46D"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66FA3503"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11 Textiles and textile articles</w:t>
            </w:r>
          </w:p>
        </w:tc>
        <w:tc>
          <w:tcPr>
            <w:tcW w:w="766" w:type="dxa"/>
            <w:noWrap/>
            <w:vAlign w:val="center"/>
            <w:hideMark/>
          </w:tcPr>
          <w:p w14:paraId="27D0A7A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w:t>
            </w:r>
          </w:p>
        </w:tc>
        <w:tc>
          <w:tcPr>
            <w:tcW w:w="767" w:type="dxa"/>
            <w:noWrap/>
            <w:vAlign w:val="center"/>
            <w:hideMark/>
          </w:tcPr>
          <w:p w14:paraId="0ABBA8C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767" w:type="dxa"/>
            <w:noWrap/>
            <w:vAlign w:val="center"/>
            <w:hideMark/>
          </w:tcPr>
          <w:p w14:paraId="5C46933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767" w:type="dxa"/>
            <w:noWrap/>
            <w:vAlign w:val="center"/>
            <w:hideMark/>
          </w:tcPr>
          <w:p w14:paraId="1A8B66C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767" w:type="dxa"/>
            <w:noWrap/>
            <w:vAlign w:val="center"/>
            <w:hideMark/>
          </w:tcPr>
          <w:p w14:paraId="70F37F9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w:t>
            </w:r>
          </w:p>
        </w:tc>
        <w:tc>
          <w:tcPr>
            <w:tcW w:w="767" w:type="dxa"/>
            <w:noWrap/>
            <w:vAlign w:val="center"/>
            <w:hideMark/>
          </w:tcPr>
          <w:p w14:paraId="4871C74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w:t>
            </w:r>
          </w:p>
        </w:tc>
        <w:tc>
          <w:tcPr>
            <w:tcW w:w="767" w:type="dxa"/>
            <w:noWrap/>
            <w:vAlign w:val="center"/>
            <w:hideMark/>
          </w:tcPr>
          <w:p w14:paraId="4FF5B98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w:t>
            </w:r>
          </w:p>
        </w:tc>
      </w:tr>
      <w:tr w:rsidR="007F015E" w:rsidRPr="00045A4A" w14:paraId="5719CEE0" w14:textId="77777777" w:rsidTr="002F793E">
        <w:trPr>
          <w:cantSplit/>
        </w:trPr>
        <w:tc>
          <w:tcPr>
            <w:tcW w:w="3648" w:type="dxa"/>
            <w:noWrap/>
            <w:vAlign w:val="center"/>
            <w:hideMark/>
          </w:tcPr>
          <w:p w14:paraId="2C7125A7"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 xml:space="preserve">12 Footwear, headgear, etc.  </w:t>
            </w:r>
          </w:p>
        </w:tc>
        <w:tc>
          <w:tcPr>
            <w:tcW w:w="766" w:type="dxa"/>
            <w:noWrap/>
            <w:vAlign w:val="center"/>
            <w:hideMark/>
          </w:tcPr>
          <w:p w14:paraId="0BBE392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c>
          <w:tcPr>
            <w:tcW w:w="767" w:type="dxa"/>
            <w:noWrap/>
            <w:vAlign w:val="center"/>
            <w:hideMark/>
          </w:tcPr>
          <w:p w14:paraId="1BA383E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c>
          <w:tcPr>
            <w:tcW w:w="767" w:type="dxa"/>
            <w:noWrap/>
            <w:vAlign w:val="center"/>
            <w:hideMark/>
          </w:tcPr>
          <w:p w14:paraId="6B09177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c>
          <w:tcPr>
            <w:tcW w:w="767" w:type="dxa"/>
            <w:noWrap/>
            <w:vAlign w:val="center"/>
            <w:hideMark/>
          </w:tcPr>
          <w:p w14:paraId="56D6913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c>
          <w:tcPr>
            <w:tcW w:w="767" w:type="dxa"/>
            <w:noWrap/>
            <w:vAlign w:val="center"/>
            <w:hideMark/>
          </w:tcPr>
          <w:p w14:paraId="008EBCF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0.5</w:t>
            </w:r>
          </w:p>
        </w:tc>
        <w:tc>
          <w:tcPr>
            <w:tcW w:w="767" w:type="dxa"/>
            <w:noWrap/>
            <w:vAlign w:val="center"/>
            <w:hideMark/>
          </w:tcPr>
          <w:p w14:paraId="7EF4D1A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0.5</w:t>
            </w:r>
          </w:p>
        </w:tc>
        <w:tc>
          <w:tcPr>
            <w:tcW w:w="767" w:type="dxa"/>
            <w:noWrap/>
            <w:vAlign w:val="center"/>
            <w:hideMark/>
          </w:tcPr>
          <w:p w14:paraId="111B15A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0.4</w:t>
            </w:r>
          </w:p>
        </w:tc>
      </w:tr>
      <w:tr w:rsidR="007F015E" w:rsidRPr="00045A4A" w14:paraId="282A93C7"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14225E37"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13 Articles of stone, plaster, cement</w:t>
            </w:r>
          </w:p>
        </w:tc>
        <w:tc>
          <w:tcPr>
            <w:tcW w:w="766" w:type="dxa"/>
            <w:noWrap/>
            <w:vAlign w:val="center"/>
            <w:hideMark/>
          </w:tcPr>
          <w:p w14:paraId="05851A9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c>
          <w:tcPr>
            <w:tcW w:w="767" w:type="dxa"/>
            <w:noWrap/>
            <w:vAlign w:val="center"/>
            <w:hideMark/>
          </w:tcPr>
          <w:p w14:paraId="5E5A6FB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767" w:type="dxa"/>
            <w:noWrap/>
            <w:vAlign w:val="center"/>
            <w:hideMark/>
          </w:tcPr>
          <w:p w14:paraId="4E7DB82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w:t>
            </w:r>
          </w:p>
        </w:tc>
        <w:tc>
          <w:tcPr>
            <w:tcW w:w="767" w:type="dxa"/>
            <w:noWrap/>
            <w:vAlign w:val="center"/>
            <w:hideMark/>
          </w:tcPr>
          <w:p w14:paraId="480E416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767" w:type="dxa"/>
            <w:noWrap/>
            <w:vAlign w:val="center"/>
            <w:hideMark/>
          </w:tcPr>
          <w:p w14:paraId="65EFDDB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w:t>
            </w:r>
          </w:p>
        </w:tc>
        <w:tc>
          <w:tcPr>
            <w:tcW w:w="767" w:type="dxa"/>
            <w:noWrap/>
            <w:vAlign w:val="center"/>
            <w:hideMark/>
          </w:tcPr>
          <w:p w14:paraId="3E19926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767" w:type="dxa"/>
            <w:noWrap/>
            <w:vAlign w:val="center"/>
            <w:hideMark/>
          </w:tcPr>
          <w:p w14:paraId="7611E92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r>
      <w:tr w:rsidR="007F015E" w:rsidRPr="00045A4A" w14:paraId="717AD4B6" w14:textId="77777777" w:rsidTr="002F793E">
        <w:trPr>
          <w:cantSplit/>
        </w:trPr>
        <w:tc>
          <w:tcPr>
            <w:tcW w:w="3648" w:type="dxa"/>
            <w:noWrap/>
            <w:vAlign w:val="center"/>
            <w:hideMark/>
          </w:tcPr>
          <w:p w14:paraId="0473F0AB"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14 Precious stones and metals, pearls</w:t>
            </w:r>
          </w:p>
        </w:tc>
        <w:tc>
          <w:tcPr>
            <w:tcW w:w="766" w:type="dxa"/>
            <w:noWrap/>
            <w:vAlign w:val="center"/>
            <w:hideMark/>
          </w:tcPr>
          <w:p w14:paraId="6EE48C8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w:t>
            </w:r>
          </w:p>
        </w:tc>
        <w:tc>
          <w:tcPr>
            <w:tcW w:w="767" w:type="dxa"/>
            <w:noWrap/>
            <w:vAlign w:val="center"/>
            <w:hideMark/>
          </w:tcPr>
          <w:p w14:paraId="50EF66D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2.9</w:t>
            </w:r>
          </w:p>
        </w:tc>
        <w:tc>
          <w:tcPr>
            <w:tcW w:w="767" w:type="dxa"/>
            <w:noWrap/>
            <w:vAlign w:val="center"/>
            <w:hideMark/>
          </w:tcPr>
          <w:p w14:paraId="0B4A0E1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4.1</w:t>
            </w:r>
          </w:p>
        </w:tc>
        <w:tc>
          <w:tcPr>
            <w:tcW w:w="767" w:type="dxa"/>
            <w:noWrap/>
            <w:vAlign w:val="center"/>
            <w:hideMark/>
          </w:tcPr>
          <w:p w14:paraId="330A7D9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5.3</w:t>
            </w:r>
          </w:p>
        </w:tc>
        <w:tc>
          <w:tcPr>
            <w:tcW w:w="767" w:type="dxa"/>
            <w:noWrap/>
            <w:vAlign w:val="center"/>
            <w:hideMark/>
          </w:tcPr>
          <w:p w14:paraId="3480D46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3.0</w:t>
            </w:r>
          </w:p>
        </w:tc>
        <w:tc>
          <w:tcPr>
            <w:tcW w:w="767" w:type="dxa"/>
            <w:noWrap/>
            <w:vAlign w:val="center"/>
            <w:hideMark/>
          </w:tcPr>
          <w:p w14:paraId="4D618FB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c>
          <w:tcPr>
            <w:tcW w:w="767" w:type="dxa"/>
            <w:noWrap/>
            <w:vAlign w:val="center"/>
            <w:hideMark/>
          </w:tcPr>
          <w:p w14:paraId="32D35BF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w:t>
            </w:r>
          </w:p>
        </w:tc>
      </w:tr>
      <w:tr w:rsidR="007F015E" w:rsidRPr="00045A4A" w14:paraId="651EB0F8"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103F31BF"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15 Base metals and articles thereof</w:t>
            </w:r>
          </w:p>
        </w:tc>
        <w:tc>
          <w:tcPr>
            <w:tcW w:w="766" w:type="dxa"/>
            <w:noWrap/>
            <w:vAlign w:val="center"/>
            <w:hideMark/>
          </w:tcPr>
          <w:p w14:paraId="636427F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11.7</w:t>
            </w:r>
          </w:p>
        </w:tc>
        <w:tc>
          <w:tcPr>
            <w:tcW w:w="767" w:type="dxa"/>
            <w:noWrap/>
            <w:vAlign w:val="center"/>
            <w:hideMark/>
          </w:tcPr>
          <w:p w14:paraId="145DA4F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11.3</w:t>
            </w:r>
          </w:p>
        </w:tc>
        <w:tc>
          <w:tcPr>
            <w:tcW w:w="767" w:type="dxa"/>
            <w:noWrap/>
            <w:vAlign w:val="center"/>
            <w:hideMark/>
          </w:tcPr>
          <w:p w14:paraId="678F669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13.0</w:t>
            </w:r>
          </w:p>
        </w:tc>
        <w:tc>
          <w:tcPr>
            <w:tcW w:w="767" w:type="dxa"/>
            <w:noWrap/>
            <w:vAlign w:val="center"/>
            <w:hideMark/>
          </w:tcPr>
          <w:p w14:paraId="035F58D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13.7</w:t>
            </w:r>
          </w:p>
        </w:tc>
        <w:tc>
          <w:tcPr>
            <w:tcW w:w="767" w:type="dxa"/>
            <w:noWrap/>
            <w:vAlign w:val="center"/>
            <w:hideMark/>
          </w:tcPr>
          <w:p w14:paraId="7BDF18F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17.1</w:t>
            </w:r>
          </w:p>
        </w:tc>
        <w:tc>
          <w:tcPr>
            <w:tcW w:w="767" w:type="dxa"/>
            <w:noWrap/>
            <w:vAlign w:val="center"/>
            <w:hideMark/>
          </w:tcPr>
          <w:p w14:paraId="38CDFA8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14.8</w:t>
            </w:r>
          </w:p>
        </w:tc>
        <w:tc>
          <w:tcPr>
            <w:tcW w:w="767" w:type="dxa"/>
            <w:noWrap/>
            <w:vAlign w:val="center"/>
            <w:hideMark/>
          </w:tcPr>
          <w:p w14:paraId="510FC5A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14.9</w:t>
            </w:r>
          </w:p>
        </w:tc>
      </w:tr>
      <w:tr w:rsidR="007F015E" w:rsidRPr="00045A4A" w14:paraId="3CFCC81A" w14:textId="77777777" w:rsidTr="002F793E">
        <w:trPr>
          <w:cantSplit/>
        </w:trPr>
        <w:tc>
          <w:tcPr>
            <w:tcW w:w="3648" w:type="dxa"/>
            <w:noWrap/>
            <w:vAlign w:val="center"/>
            <w:hideMark/>
          </w:tcPr>
          <w:p w14:paraId="65780C5C"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lastRenderedPageBreak/>
              <w:t>HS 73 Articles of iron or steel</w:t>
            </w:r>
          </w:p>
        </w:tc>
        <w:tc>
          <w:tcPr>
            <w:tcW w:w="766" w:type="dxa"/>
            <w:noWrap/>
            <w:vAlign w:val="center"/>
            <w:hideMark/>
          </w:tcPr>
          <w:p w14:paraId="497EFF5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3.8</w:t>
            </w:r>
          </w:p>
        </w:tc>
        <w:tc>
          <w:tcPr>
            <w:tcW w:w="767" w:type="dxa"/>
            <w:noWrap/>
            <w:vAlign w:val="center"/>
            <w:hideMark/>
          </w:tcPr>
          <w:p w14:paraId="28165EE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4.5</w:t>
            </w:r>
          </w:p>
        </w:tc>
        <w:tc>
          <w:tcPr>
            <w:tcW w:w="767" w:type="dxa"/>
            <w:noWrap/>
            <w:vAlign w:val="center"/>
            <w:hideMark/>
          </w:tcPr>
          <w:p w14:paraId="7D42D95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5.1</w:t>
            </w:r>
          </w:p>
        </w:tc>
        <w:tc>
          <w:tcPr>
            <w:tcW w:w="767" w:type="dxa"/>
            <w:noWrap/>
            <w:vAlign w:val="center"/>
            <w:hideMark/>
          </w:tcPr>
          <w:p w14:paraId="0899E01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5.2</w:t>
            </w:r>
          </w:p>
        </w:tc>
        <w:tc>
          <w:tcPr>
            <w:tcW w:w="767" w:type="dxa"/>
            <w:noWrap/>
            <w:vAlign w:val="center"/>
            <w:hideMark/>
          </w:tcPr>
          <w:p w14:paraId="123780D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5.5</w:t>
            </w:r>
          </w:p>
        </w:tc>
        <w:tc>
          <w:tcPr>
            <w:tcW w:w="767" w:type="dxa"/>
            <w:noWrap/>
            <w:vAlign w:val="center"/>
            <w:hideMark/>
          </w:tcPr>
          <w:p w14:paraId="76569CC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5.3</w:t>
            </w:r>
          </w:p>
        </w:tc>
        <w:tc>
          <w:tcPr>
            <w:tcW w:w="767" w:type="dxa"/>
            <w:noWrap/>
            <w:vAlign w:val="center"/>
            <w:hideMark/>
          </w:tcPr>
          <w:p w14:paraId="73CA8FD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5.4</w:t>
            </w:r>
          </w:p>
        </w:tc>
      </w:tr>
      <w:tr w:rsidR="007F015E" w:rsidRPr="00045A4A" w14:paraId="5CFC1E4F"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489572AC" w14:textId="77777777" w:rsidR="00DE4516" w:rsidRPr="00A46ADC" w:rsidRDefault="00DE4516" w:rsidP="00DE4516">
            <w:pPr>
              <w:pStyle w:val="TableBody"/>
              <w:autoSpaceDE w:val="0"/>
              <w:autoSpaceDN w:val="0"/>
              <w:adjustRightInd w:val="0"/>
              <w:ind w:left="249"/>
              <w:jc w:val="both"/>
              <w:rPr>
                <w:rFonts w:cs="Calibri"/>
                <w:color w:val="000000"/>
                <w:sz w:val="15"/>
                <w:szCs w:val="15"/>
              </w:rPr>
            </w:pPr>
            <w:r w:rsidRPr="00A46ADC">
              <w:t>HS 72 Iron and steel</w:t>
            </w:r>
          </w:p>
        </w:tc>
        <w:tc>
          <w:tcPr>
            <w:tcW w:w="766" w:type="dxa"/>
            <w:noWrap/>
            <w:vAlign w:val="center"/>
            <w:hideMark/>
          </w:tcPr>
          <w:p w14:paraId="285D198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4.3</w:t>
            </w:r>
          </w:p>
        </w:tc>
        <w:tc>
          <w:tcPr>
            <w:tcW w:w="767" w:type="dxa"/>
            <w:noWrap/>
            <w:vAlign w:val="center"/>
            <w:hideMark/>
          </w:tcPr>
          <w:p w14:paraId="16A9699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3.4</w:t>
            </w:r>
          </w:p>
        </w:tc>
        <w:tc>
          <w:tcPr>
            <w:tcW w:w="767" w:type="dxa"/>
            <w:noWrap/>
            <w:vAlign w:val="center"/>
            <w:hideMark/>
          </w:tcPr>
          <w:p w14:paraId="7C43E6D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4.1</w:t>
            </w:r>
          </w:p>
        </w:tc>
        <w:tc>
          <w:tcPr>
            <w:tcW w:w="767" w:type="dxa"/>
            <w:noWrap/>
            <w:vAlign w:val="center"/>
            <w:hideMark/>
          </w:tcPr>
          <w:p w14:paraId="53FBE06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4.2</w:t>
            </w:r>
          </w:p>
        </w:tc>
        <w:tc>
          <w:tcPr>
            <w:tcW w:w="767" w:type="dxa"/>
            <w:noWrap/>
            <w:vAlign w:val="center"/>
            <w:hideMark/>
          </w:tcPr>
          <w:p w14:paraId="00DBE97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7.0</w:t>
            </w:r>
          </w:p>
        </w:tc>
        <w:tc>
          <w:tcPr>
            <w:tcW w:w="767" w:type="dxa"/>
            <w:noWrap/>
            <w:vAlign w:val="center"/>
            <w:hideMark/>
          </w:tcPr>
          <w:p w14:paraId="0F9765B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5.3</w:t>
            </w:r>
          </w:p>
        </w:tc>
        <w:tc>
          <w:tcPr>
            <w:tcW w:w="767" w:type="dxa"/>
            <w:noWrap/>
            <w:vAlign w:val="center"/>
            <w:hideMark/>
          </w:tcPr>
          <w:p w14:paraId="3E26439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4.3</w:t>
            </w:r>
          </w:p>
        </w:tc>
      </w:tr>
      <w:tr w:rsidR="007F015E" w:rsidRPr="00045A4A" w14:paraId="70F529CC" w14:textId="77777777" w:rsidTr="002F793E">
        <w:trPr>
          <w:cantSplit/>
        </w:trPr>
        <w:tc>
          <w:tcPr>
            <w:tcW w:w="3648" w:type="dxa"/>
            <w:noWrap/>
            <w:vAlign w:val="center"/>
            <w:hideMark/>
          </w:tcPr>
          <w:p w14:paraId="4F239710"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16 Machinery, electrical equipment</w:t>
            </w:r>
          </w:p>
        </w:tc>
        <w:tc>
          <w:tcPr>
            <w:tcW w:w="766" w:type="dxa"/>
            <w:noWrap/>
            <w:vAlign w:val="center"/>
            <w:hideMark/>
          </w:tcPr>
          <w:p w14:paraId="23671CE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17.2</w:t>
            </w:r>
          </w:p>
        </w:tc>
        <w:tc>
          <w:tcPr>
            <w:tcW w:w="767" w:type="dxa"/>
            <w:noWrap/>
            <w:vAlign w:val="center"/>
            <w:hideMark/>
          </w:tcPr>
          <w:p w14:paraId="45CC867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20.1</w:t>
            </w:r>
          </w:p>
        </w:tc>
        <w:tc>
          <w:tcPr>
            <w:tcW w:w="767" w:type="dxa"/>
            <w:noWrap/>
            <w:vAlign w:val="center"/>
            <w:hideMark/>
          </w:tcPr>
          <w:p w14:paraId="524F2DB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21.0</w:t>
            </w:r>
          </w:p>
        </w:tc>
        <w:tc>
          <w:tcPr>
            <w:tcW w:w="767" w:type="dxa"/>
            <w:noWrap/>
            <w:vAlign w:val="center"/>
            <w:hideMark/>
          </w:tcPr>
          <w:p w14:paraId="42999EF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23.7</w:t>
            </w:r>
          </w:p>
        </w:tc>
        <w:tc>
          <w:tcPr>
            <w:tcW w:w="767" w:type="dxa"/>
            <w:noWrap/>
            <w:vAlign w:val="center"/>
            <w:hideMark/>
          </w:tcPr>
          <w:p w14:paraId="1A737F1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25.7</w:t>
            </w:r>
          </w:p>
        </w:tc>
        <w:tc>
          <w:tcPr>
            <w:tcW w:w="767" w:type="dxa"/>
            <w:noWrap/>
            <w:vAlign w:val="center"/>
            <w:hideMark/>
          </w:tcPr>
          <w:p w14:paraId="5BE01CC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23.8</w:t>
            </w:r>
          </w:p>
        </w:tc>
        <w:tc>
          <w:tcPr>
            <w:tcW w:w="767" w:type="dxa"/>
            <w:noWrap/>
            <w:vAlign w:val="center"/>
            <w:hideMark/>
          </w:tcPr>
          <w:p w14:paraId="3FBDD73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22.5</w:t>
            </w:r>
          </w:p>
        </w:tc>
      </w:tr>
      <w:tr w:rsidR="007F015E" w:rsidRPr="00045A4A" w14:paraId="6E43649C"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08515D64" w14:textId="77777777" w:rsidR="00DE4516" w:rsidRPr="00A46ADC" w:rsidRDefault="00DE4516" w:rsidP="00DE4516">
            <w:pPr>
              <w:pStyle w:val="TableBody"/>
              <w:autoSpaceDE w:val="0"/>
              <w:autoSpaceDN w:val="0"/>
              <w:adjustRightInd w:val="0"/>
              <w:ind w:left="238"/>
              <w:jc w:val="both"/>
              <w:rPr>
                <w:rFonts w:cs="Calibri"/>
                <w:color w:val="000000"/>
                <w:sz w:val="15"/>
                <w:szCs w:val="15"/>
              </w:rPr>
            </w:pPr>
            <w:r w:rsidRPr="00A46ADC">
              <w:t>HS 84 Machinery and mechanical appliances; parts thereof</w:t>
            </w:r>
          </w:p>
        </w:tc>
        <w:tc>
          <w:tcPr>
            <w:tcW w:w="766" w:type="dxa"/>
            <w:noWrap/>
            <w:vAlign w:val="center"/>
            <w:hideMark/>
          </w:tcPr>
          <w:p w14:paraId="3478768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11.2</w:t>
            </w:r>
          </w:p>
        </w:tc>
        <w:tc>
          <w:tcPr>
            <w:tcW w:w="767" w:type="dxa"/>
            <w:noWrap/>
            <w:vAlign w:val="center"/>
            <w:hideMark/>
          </w:tcPr>
          <w:p w14:paraId="0C690C6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13.2</w:t>
            </w:r>
          </w:p>
        </w:tc>
        <w:tc>
          <w:tcPr>
            <w:tcW w:w="767" w:type="dxa"/>
            <w:noWrap/>
            <w:vAlign w:val="center"/>
            <w:hideMark/>
          </w:tcPr>
          <w:p w14:paraId="350D13E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13.5</w:t>
            </w:r>
          </w:p>
        </w:tc>
        <w:tc>
          <w:tcPr>
            <w:tcW w:w="767" w:type="dxa"/>
            <w:noWrap/>
            <w:vAlign w:val="center"/>
            <w:hideMark/>
          </w:tcPr>
          <w:p w14:paraId="51C1218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15.7</w:t>
            </w:r>
          </w:p>
        </w:tc>
        <w:tc>
          <w:tcPr>
            <w:tcW w:w="767" w:type="dxa"/>
            <w:noWrap/>
            <w:vAlign w:val="center"/>
            <w:hideMark/>
          </w:tcPr>
          <w:p w14:paraId="793093C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16.2</w:t>
            </w:r>
          </w:p>
        </w:tc>
        <w:tc>
          <w:tcPr>
            <w:tcW w:w="767" w:type="dxa"/>
            <w:noWrap/>
            <w:vAlign w:val="center"/>
            <w:hideMark/>
          </w:tcPr>
          <w:p w14:paraId="57A33C8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15.7</w:t>
            </w:r>
          </w:p>
        </w:tc>
        <w:tc>
          <w:tcPr>
            <w:tcW w:w="767" w:type="dxa"/>
            <w:noWrap/>
            <w:vAlign w:val="center"/>
            <w:hideMark/>
          </w:tcPr>
          <w:p w14:paraId="2C55AFB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13.2</w:t>
            </w:r>
          </w:p>
        </w:tc>
      </w:tr>
      <w:tr w:rsidR="007F015E" w:rsidRPr="00045A4A" w14:paraId="7BFEA66C" w14:textId="77777777" w:rsidTr="002F793E">
        <w:trPr>
          <w:cantSplit/>
        </w:trPr>
        <w:tc>
          <w:tcPr>
            <w:tcW w:w="3648" w:type="dxa"/>
            <w:noWrap/>
            <w:vAlign w:val="center"/>
            <w:hideMark/>
          </w:tcPr>
          <w:p w14:paraId="2A77A00C" w14:textId="77777777" w:rsidR="00DE4516" w:rsidRPr="00A46ADC" w:rsidRDefault="00DE4516" w:rsidP="00DE4516">
            <w:pPr>
              <w:pStyle w:val="TableBody"/>
              <w:autoSpaceDE w:val="0"/>
              <w:autoSpaceDN w:val="0"/>
              <w:adjustRightInd w:val="0"/>
              <w:ind w:left="238"/>
              <w:jc w:val="both"/>
              <w:rPr>
                <w:rFonts w:cs="Calibri"/>
                <w:color w:val="000000"/>
                <w:sz w:val="15"/>
                <w:szCs w:val="15"/>
              </w:rPr>
            </w:pPr>
            <w:r w:rsidRPr="00A46ADC">
              <w:t>HS 85 Electrical machinery and equipment and parts thereof</w:t>
            </w:r>
          </w:p>
        </w:tc>
        <w:tc>
          <w:tcPr>
            <w:tcW w:w="766" w:type="dxa"/>
            <w:noWrap/>
            <w:vAlign w:val="center"/>
            <w:hideMark/>
          </w:tcPr>
          <w:p w14:paraId="4A43AB1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6.0</w:t>
            </w:r>
          </w:p>
        </w:tc>
        <w:tc>
          <w:tcPr>
            <w:tcW w:w="767" w:type="dxa"/>
            <w:noWrap/>
            <w:vAlign w:val="center"/>
            <w:hideMark/>
          </w:tcPr>
          <w:p w14:paraId="2106D30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6.9</w:t>
            </w:r>
          </w:p>
        </w:tc>
        <w:tc>
          <w:tcPr>
            <w:tcW w:w="767" w:type="dxa"/>
            <w:noWrap/>
            <w:vAlign w:val="center"/>
            <w:hideMark/>
          </w:tcPr>
          <w:p w14:paraId="1DDA158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7.5</w:t>
            </w:r>
          </w:p>
        </w:tc>
        <w:tc>
          <w:tcPr>
            <w:tcW w:w="767" w:type="dxa"/>
            <w:noWrap/>
            <w:vAlign w:val="center"/>
            <w:hideMark/>
          </w:tcPr>
          <w:p w14:paraId="5277893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8.0</w:t>
            </w:r>
          </w:p>
        </w:tc>
        <w:tc>
          <w:tcPr>
            <w:tcW w:w="767" w:type="dxa"/>
            <w:noWrap/>
            <w:vAlign w:val="center"/>
            <w:hideMark/>
          </w:tcPr>
          <w:p w14:paraId="4ED717C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9.5</w:t>
            </w:r>
          </w:p>
        </w:tc>
        <w:tc>
          <w:tcPr>
            <w:tcW w:w="767" w:type="dxa"/>
            <w:noWrap/>
            <w:vAlign w:val="center"/>
            <w:hideMark/>
          </w:tcPr>
          <w:p w14:paraId="2CB74A1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8.1</w:t>
            </w:r>
          </w:p>
        </w:tc>
        <w:tc>
          <w:tcPr>
            <w:tcW w:w="767" w:type="dxa"/>
            <w:noWrap/>
            <w:vAlign w:val="center"/>
            <w:hideMark/>
          </w:tcPr>
          <w:p w14:paraId="0EA21B5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9.2</w:t>
            </w:r>
          </w:p>
        </w:tc>
      </w:tr>
      <w:tr w:rsidR="007F015E" w:rsidRPr="00045A4A" w14:paraId="74D8AD06"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73437FAF"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17 Transport equipment</w:t>
            </w:r>
          </w:p>
        </w:tc>
        <w:tc>
          <w:tcPr>
            <w:tcW w:w="766" w:type="dxa"/>
            <w:noWrap/>
            <w:vAlign w:val="center"/>
            <w:hideMark/>
          </w:tcPr>
          <w:p w14:paraId="7F863F8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22.8</w:t>
            </w:r>
          </w:p>
        </w:tc>
        <w:tc>
          <w:tcPr>
            <w:tcW w:w="767" w:type="dxa"/>
            <w:noWrap/>
            <w:vAlign w:val="center"/>
            <w:hideMark/>
          </w:tcPr>
          <w:p w14:paraId="5C41027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15.9</w:t>
            </w:r>
          </w:p>
        </w:tc>
        <w:tc>
          <w:tcPr>
            <w:tcW w:w="767" w:type="dxa"/>
            <w:noWrap/>
            <w:vAlign w:val="center"/>
            <w:hideMark/>
          </w:tcPr>
          <w:p w14:paraId="4508DEB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12.4</w:t>
            </w:r>
          </w:p>
        </w:tc>
        <w:tc>
          <w:tcPr>
            <w:tcW w:w="767" w:type="dxa"/>
            <w:noWrap/>
            <w:vAlign w:val="center"/>
            <w:hideMark/>
          </w:tcPr>
          <w:p w14:paraId="00549E2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11.1</w:t>
            </w:r>
          </w:p>
        </w:tc>
        <w:tc>
          <w:tcPr>
            <w:tcW w:w="767" w:type="dxa"/>
            <w:noWrap/>
            <w:vAlign w:val="center"/>
            <w:hideMark/>
          </w:tcPr>
          <w:p w14:paraId="4944BE5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6.7</w:t>
            </w:r>
          </w:p>
        </w:tc>
        <w:tc>
          <w:tcPr>
            <w:tcW w:w="767" w:type="dxa"/>
            <w:noWrap/>
            <w:vAlign w:val="center"/>
            <w:hideMark/>
          </w:tcPr>
          <w:p w14:paraId="6D47374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8.1</w:t>
            </w:r>
          </w:p>
        </w:tc>
        <w:tc>
          <w:tcPr>
            <w:tcW w:w="767" w:type="dxa"/>
            <w:noWrap/>
            <w:vAlign w:val="center"/>
            <w:hideMark/>
          </w:tcPr>
          <w:p w14:paraId="6021341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7.9</w:t>
            </w:r>
          </w:p>
        </w:tc>
      </w:tr>
      <w:tr w:rsidR="007F015E" w:rsidRPr="00045A4A" w14:paraId="4E5A3D20" w14:textId="77777777" w:rsidTr="002F793E">
        <w:trPr>
          <w:cantSplit/>
        </w:trPr>
        <w:tc>
          <w:tcPr>
            <w:tcW w:w="3648" w:type="dxa"/>
            <w:noWrap/>
            <w:vAlign w:val="center"/>
            <w:hideMark/>
          </w:tcPr>
          <w:p w14:paraId="3772A861"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18 Precision instruments</w:t>
            </w:r>
          </w:p>
        </w:tc>
        <w:tc>
          <w:tcPr>
            <w:tcW w:w="766" w:type="dxa"/>
            <w:noWrap/>
            <w:vAlign w:val="center"/>
            <w:hideMark/>
          </w:tcPr>
          <w:p w14:paraId="44B26BF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1.8</w:t>
            </w:r>
          </w:p>
        </w:tc>
        <w:tc>
          <w:tcPr>
            <w:tcW w:w="767" w:type="dxa"/>
            <w:noWrap/>
            <w:vAlign w:val="center"/>
            <w:hideMark/>
          </w:tcPr>
          <w:p w14:paraId="0BE52E6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1.7</w:t>
            </w:r>
          </w:p>
        </w:tc>
        <w:tc>
          <w:tcPr>
            <w:tcW w:w="767" w:type="dxa"/>
            <w:noWrap/>
            <w:vAlign w:val="center"/>
            <w:hideMark/>
          </w:tcPr>
          <w:p w14:paraId="72315A4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w:t>
            </w:r>
          </w:p>
        </w:tc>
        <w:tc>
          <w:tcPr>
            <w:tcW w:w="767" w:type="dxa"/>
            <w:noWrap/>
            <w:vAlign w:val="center"/>
            <w:hideMark/>
          </w:tcPr>
          <w:p w14:paraId="6A60B56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1.9</w:t>
            </w:r>
          </w:p>
        </w:tc>
        <w:tc>
          <w:tcPr>
            <w:tcW w:w="767" w:type="dxa"/>
            <w:noWrap/>
            <w:vAlign w:val="center"/>
            <w:hideMark/>
          </w:tcPr>
          <w:p w14:paraId="1B1CDE7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2.4</w:t>
            </w:r>
          </w:p>
        </w:tc>
        <w:tc>
          <w:tcPr>
            <w:tcW w:w="767" w:type="dxa"/>
            <w:noWrap/>
            <w:vAlign w:val="center"/>
            <w:hideMark/>
          </w:tcPr>
          <w:p w14:paraId="3D8EE96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2.5</w:t>
            </w:r>
          </w:p>
        </w:tc>
        <w:tc>
          <w:tcPr>
            <w:tcW w:w="767" w:type="dxa"/>
            <w:noWrap/>
            <w:vAlign w:val="center"/>
            <w:hideMark/>
          </w:tcPr>
          <w:p w14:paraId="2E9CBF0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2.8</w:t>
            </w:r>
          </w:p>
        </w:tc>
      </w:tr>
      <w:tr w:rsidR="007F015E" w:rsidRPr="00045A4A" w14:paraId="14262059"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76E7C193"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19 Arms and ammunition</w:t>
            </w:r>
          </w:p>
        </w:tc>
        <w:tc>
          <w:tcPr>
            <w:tcW w:w="766" w:type="dxa"/>
            <w:noWrap/>
            <w:vAlign w:val="center"/>
            <w:hideMark/>
          </w:tcPr>
          <w:p w14:paraId="33FA132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1BBD5E4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4AD618C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1281DF2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1B5B29A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135A760B"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106F2D3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r>
      <w:tr w:rsidR="007F015E" w:rsidRPr="00045A4A" w14:paraId="204C045E" w14:textId="77777777" w:rsidTr="002F793E">
        <w:trPr>
          <w:cantSplit/>
        </w:trPr>
        <w:tc>
          <w:tcPr>
            <w:tcW w:w="3648" w:type="dxa"/>
            <w:noWrap/>
            <w:vAlign w:val="center"/>
            <w:hideMark/>
          </w:tcPr>
          <w:p w14:paraId="15B3C4DC"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20 Miscellaneous manufactured articles</w:t>
            </w:r>
          </w:p>
        </w:tc>
        <w:tc>
          <w:tcPr>
            <w:tcW w:w="766" w:type="dxa"/>
            <w:noWrap/>
            <w:vAlign w:val="center"/>
            <w:hideMark/>
          </w:tcPr>
          <w:p w14:paraId="2C93ED3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2.6</w:t>
            </w:r>
          </w:p>
        </w:tc>
        <w:tc>
          <w:tcPr>
            <w:tcW w:w="767" w:type="dxa"/>
            <w:noWrap/>
            <w:vAlign w:val="center"/>
            <w:hideMark/>
          </w:tcPr>
          <w:p w14:paraId="41FF05EE"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2.6</w:t>
            </w:r>
          </w:p>
        </w:tc>
        <w:tc>
          <w:tcPr>
            <w:tcW w:w="767" w:type="dxa"/>
            <w:noWrap/>
            <w:vAlign w:val="center"/>
            <w:hideMark/>
          </w:tcPr>
          <w:p w14:paraId="6F935DD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2.0</w:t>
            </w:r>
          </w:p>
        </w:tc>
        <w:tc>
          <w:tcPr>
            <w:tcW w:w="767" w:type="dxa"/>
            <w:noWrap/>
            <w:vAlign w:val="center"/>
            <w:hideMark/>
          </w:tcPr>
          <w:p w14:paraId="0383EDE8"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2.1</w:t>
            </w:r>
          </w:p>
        </w:tc>
        <w:tc>
          <w:tcPr>
            <w:tcW w:w="767" w:type="dxa"/>
            <w:noWrap/>
            <w:vAlign w:val="center"/>
            <w:hideMark/>
          </w:tcPr>
          <w:p w14:paraId="774A86DD"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c>
          <w:tcPr>
            <w:tcW w:w="767" w:type="dxa"/>
            <w:noWrap/>
            <w:vAlign w:val="center"/>
            <w:hideMark/>
          </w:tcPr>
          <w:p w14:paraId="0124C53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3.0</w:t>
            </w:r>
          </w:p>
        </w:tc>
        <w:tc>
          <w:tcPr>
            <w:tcW w:w="767" w:type="dxa"/>
            <w:noWrap/>
            <w:vAlign w:val="center"/>
            <w:hideMark/>
          </w:tcPr>
          <w:p w14:paraId="7AAED5C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2.3</w:t>
            </w:r>
          </w:p>
        </w:tc>
      </w:tr>
      <w:tr w:rsidR="007F015E" w:rsidRPr="00045A4A" w14:paraId="5EBD07B9"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3648" w:type="dxa"/>
            <w:noWrap/>
            <w:vAlign w:val="center"/>
            <w:hideMark/>
          </w:tcPr>
          <w:p w14:paraId="1F505DB2"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 xml:space="preserve">21 Works of art, collectors' </w:t>
            </w:r>
            <w:proofErr w:type="gramStart"/>
            <w:r w:rsidRPr="00A46ADC">
              <w:t>pieces</w:t>
            </w:r>
            <w:proofErr w:type="gramEnd"/>
            <w:r w:rsidRPr="00A46ADC">
              <w:t xml:space="preserve"> and antiques</w:t>
            </w:r>
          </w:p>
        </w:tc>
        <w:tc>
          <w:tcPr>
            <w:tcW w:w="766" w:type="dxa"/>
            <w:noWrap/>
            <w:vAlign w:val="center"/>
            <w:hideMark/>
          </w:tcPr>
          <w:p w14:paraId="69273D71"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216D18B4"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7159868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128A1042"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559E5E29"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378F2EDA"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noWrap/>
            <w:vAlign w:val="center"/>
            <w:hideMark/>
          </w:tcPr>
          <w:p w14:paraId="0B05208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r>
      <w:tr w:rsidR="007F015E" w:rsidRPr="00045A4A" w14:paraId="2028F85B" w14:textId="77777777" w:rsidTr="002F793E">
        <w:trPr>
          <w:cantSplit/>
        </w:trPr>
        <w:tc>
          <w:tcPr>
            <w:tcW w:w="3648" w:type="dxa"/>
            <w:tcBorders>
              <w:bottom w:val="single" w:sz="4" w:space="0" w:color="auto"/>
            </w:tcBorders>
            <w:noWrap/>
            <w:vAlign w:val="center"/>
            <w:hideMark/>
          </w:tcPr>
          <w:p w14:paraId="14DE1EA6" w14:textId="77777777" w:rsidR="00DE4516" w:rsidRPr="00A46ADC" w:rsidRDefault="00DE4516" w:rsidP="00DE4516">
            <w:pPr>
              <w:pStyle w:val="TableBody"/>
              <w:autoSpaceDE w:val="0"/>
              <w:autoSpaceDN w:val="0"/>
              <w:adjustRightInd w:val="0"/>
              <w:jc w:val="both"/>
              <w:rPr>
                <w:rFonts w:cs="Calibri"/>
                <w:color w:val="000000"/>
                <w:sz w:val="15"/>
                <w:szCs w:val="15"/>
              </w:rPr>
            </w:pPr>
            <w:r w:rsidRPr="00A46ADC">
              <w:t>Other</w:t>
            </w:r>
          </w:p>
        </w:tc>
        <w:tc>
          <w:tcPr>
            <w:tcW w:w="766" w:type="dxa"/>
            <w:tcBorders>
              <w:bottom w:val="single" w:sz="4" w:space="0" w:color="auto"/>
            </w:tcBorders>
            <w:noWrap/>
            <w:vAlign w:val="center"/>
            <w:hideMark/>
          </w:tcPr>
          <w:p w14:paraId="284A8300"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tcBorders>
              <w:bottom w:val="single" w:sz="4" w:space="0" w:color="auto"/>
            </w:tcBorders>
            <w:noWrap/>
            <w:vAlign w:val="center"/>
            <w:hideMark/>
          </w:tcPr>
          <w:p w14:paraId="4D904F6C"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tcBorders>
              <w:bottom w:val="single" w:sz="4" w:space="0" w:color="auto"/>
            </w:tcBorders>
            <w:noWrap/>
            <w:vAlign w:val="center"/>
            <w:hideMark/>
          </w:tcPr>
          <w:p w14:paraId="3443B375"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tcBorders>
              <w:bottom w:val="single" w:sz="4" w:space="0" w:color="auto"/>
            </w:tcBorders>
            <w:noWrap/>
            <w:vAlign w:val="center"/>
            <w:hideMark/>
          </w:tcPr>
          <w:p w14:paraId="24486573"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767" w:type="dxa"/>
            <w:tcBorders>
              <w:bottom w:val="single" w:sz="4" w:space="0" w:color="auto"/>
            </w:tcBorders>
            <w:noWrap/>
            <w:vAlign w:val="center"/>
            <w:hideMark/>
          </w:tcPr>
          <w:p w14:paraId="0868AD5F"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0.0</w:t>
            </w:r>
          </w:p>
        </w:tc>
        <w:tc>
          <w:tcPr>
            <w:tcW w:w="767" w:type="dxa"/>
            <w:tcBorders>
              <w:bottom w:val="single" w:sz="4" w:space="0" w:color="auto"/>
            </w:tcBorders>
            <w:noWrap/>
            <w:vAlign w:val="center"/>
            <w:hideMark/>
          </w:tcPr>
          <w:p w14:paraId="32CFB8A7"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0.1</w:t>
            </w:r>
          </w:p>
        </w:tc>
        <w:tc>
          <w:tcPr>
            <w:tcW w:w="767" w:type="dxa"/>
            <w:tcBorders>
              <w:bottom w:val="single" w:sz="4" w:space="0" w:color="auto"/>
            </w:tcBorders>
            <w:noWrap/>
            <w:vAlign w:val="center"/>
            <w:hideMark/>
          </w:tcPr>
          <w:p w14:paraId="65EBBFC6" w14:textId="77777777" w:rsidR="00DE4516" w:rsidRPr="00A46ADC" w:rsidRDefault="00DE4516" w:rsidP="00DE4516">
            <w:pPr>
              <w:pStyle w:val="TableBody"/>
              <w:autoSpaceDE w:val="0"/>
              <w:autoSpaceDN w:val="0"/>
              <w:adjustRightInd w:val="0"/>
              <w:jc w:val="right"/>
              <w:rPr>
                <w:rFonts w:cs="Calibri"/>
                <w:color w:val="000000"/>
                <w:sz w:val="15"/>
                <w:szCs w:val="15"/>
              </w:rPr>
            </w:pPr>
            <w:r w:rsidRPr="00A46ADC">
              <w:t>0.3</w:t>
            </w:r>
          </w:p>
        </w:tc>
      </w:tr>
    </w:tbl>
    <w:p w14:paraId="66FDC9CE" w14:textId="55ECC6CB" w:rsidR="00DE4516" w:rsidRDefault="00DE4516">
      <w:pPr>
        <w:pStyle w:val="TableSource"/>
        <w:autoSpaceDE w:val="0"/>
        <w:autoSpaceDN w:val="0"/>
        <w:adjustRightInd w:val="0"/>
        <w:rPr>
          <w:szCs w:val="24"/>
        </w:rPr>
      </w:pPr>
      <w:r>
        <w:rPr>
          <w:szCs w:val="24"/>
        </w:rPr>
        <w:t>Source:</w:t>
      </w:r>
      <w:r>
        <w:rPr>
          <w:szCs w:val="24"/>
        </w:rPr>
        <w:tab/>
        <w:t>Information provided by the authorities.</w:t>
      </w:r>
    </w:p>
    <w:p w14:paraId="3133D9A0" w14:textId="77777777" w:rsidR="00DE4516" w:rsidRDefault="00DE4516">
      <w:pPr>
        <w:pStyle w:val="TableTitle"/>
        <w:autoSpaceDE w:val="0"/>
        <w:autoSpaceDN w:val="0"/>
        <w:adjustRightInd w:val="0"/>
      </w:pPr>
      <w:r>
        <w:t>Table A1.3 Merchandise exports (including re-exports) by destination, 2014-20</w:t>
      </w:r>
    </w:p>
    <w:tbl>
      <w:tblPr>
        <w:tblStyle w:val="WTOTable1"/>
        <w:tblW w:w="5000" w:type="pct"/>
        <w:tblLook w:val="05E0" w:firstRow="1" w:lastRow="1" w:firstColumn="1" w:lastColumn="1" w:noHBand="0" w:noVBand="1"/>
      </w:tblPr>
      <w:tblGrid>
        <w:gridCol w:w="3391"/>
        <w:gridCol w:w="804"/>
        <w:gridCol w:w="804"/>
        <w:gridCol w:w="804"/>
        <w:gridCol w:w="804"/>
        <w:gridCol w:w="804"/>
        <w:gridCol w:w="804"/>
        <w:gridCol w:w="801"/>
      </w:tblGrid>
      <w:tr w:rsidR="00DE4516" w:rsidRPr="007F015E" w14:paraId="0F6FFD2A" w14:textId="77777777" w:rsidTr="002F793E">
        <w:trPr>
          <w:cnfStyle w:val="100000000000" w:firstRow="1" w:lastRow="0" w:firstColumn="0" w:lastColumn="0" w:oddVBand="0" w:evenVBand="0" w:oddHBand="0" w:evenHBand="0" w:firstRowFirstColumn="0" w:firstRowLastColumn="0" w:lastRowFirstColumn="0" w:lastRowLastColumn="0"/>
          <w:cantSplit/>
        </w:trPr>
        <w:tc>
          <w:tcPr>
            <w:tcW w:w="1880" w:type="pct"/>
            <w:tcBorders>
              <w:top w:val="single" w:sz="4" w:space="0" w:color="auto"/>
            </w:tcBorders>
            <w:noWrap/>
            <w:hideMark/>
          </w:tcPr>
          <w:p w14:paraId="3C287BEC" w14:textId="77777777" w:rsidR="00DE4516" w:rsidRPr="007F015E" w:rsidRDefault="00DE4516" w:rsidP="00DE4516">
            <w:pPr>
              <w:pStyle w:val="TableHead"/>
              <w:autoSpaceDE w:val="0"/>
              <w:autoSpaceDN w:val="0"/>
              <w:adjustRightInd w:val="0"/>
              <w:rPr>
                <w:b/>
              </w:rPr>
            </w:pPr>
          </w:p>
        </w:tc>
        <w:tc>
          <w:tcPr>
            <w:tcW w:w="446" w:type="pct"/>
            <w:tcBorders>
              <w:top w:val="single" w:sz="4" w:space="0" w:color="auto"/>
            </w:tcBorders>
            <w:noWrap/>
            <w:hideMark/>
          </w:tcPr>
          <w:p w14:paraId="7826F39C" w14:textId="77777777" w:rsidR="00DE4516" w:rsidRPr="007F015E" w:rsidRDefault="00DE4516" w:rsidP="00DE4516">
            <w:pPr>
              <w:pStyle w:val="TableHead"/>
              <w:autoSpaceDE w:val="0"/>
              <w:autoSpaceDN w:val="0"/>
              <w:adjustRightInd w:val="0"/>
              <w:jc w:val="right"/>
              <w:rPr>
                <w:rFonts w:cs="Arial"/>
                <w:b/>
                <w:color w:val="FFFFFF" w:themeColor="background1"/>
                <w:szCs w:val="16"/>
              </w:rPr>
            </w:pPr>
            <w:r w:rsidRPr="007F015E">
              <w:rPr>
                <w:b/>
              </w:rPr>
              <w:t>2014</w:t>
            </w:r>
          </w:p>
        </w:tc>
        <w:tc>
          <w:tcPr>
            <w:tcW w:w="446" w:type="pct"/>
            <w:tcBorders>
              <w:top w:val="single" w:sz="4" w:space="0" w:color="auto"/>
            </w:tcBorders>
            <w:noWrap/>
            <w:hideMark/>
          </w:tcPr>
          <w:p w14:paraId="095C9093" w14:textId="77777777" w:rsidR="00DE4516" w:rsidRPr="007F015E" w:rsidRDefault="00DE4516" w:rsidP="00DE4516">
            <w:pPr>
              <w:pStyle w:val="TableHead"/>
              <w:autoSpaceDE w:val="0"/>
              <w:autoSpaceDN w:val="0"/>
              <w:adjustRightInd w:val="0"/>
              <w:jc w:val="right"/>
              <w:rPr>
                <w:rFonts w:cs="Arial"/>
                <w:b/>
                <w:color w:val="FFFFFF" w:themeColor="background1"/>
                <w:szCs w:val="16"/>
              </w:rPr>
            </w:pPr>
            <w:r w:rsidRPr="007F015E">
              <w:rPr>
                <w:b/>
              </w:rPr>
              <w:t>2015</w:t>
            </w:r>
          </w:p>
        </w:tc>
        <w:tc>
          <w:tcPr>
            <w:tcW w:w="446" w:type="pct"/>
            <w:tcBorders>
              <w:top w:val="single" w:sz="4" w:space="0" w:color="auto"/>
            </w:tcBorders>
            <w:noWrap/>
            <w:hideMark/>
          </w:tcPr>
          <w:p w14:paraId="3F231644" w14:textId="77777777" w:rsidR="00DE4516" w:rsidRPr="007F015E" w:rsidRDefault="00DE4516" w:rsidP="00DE4516">
            <w:pPr>
              <w:pStyle w:val="TableHead"/>
              <w:autoSpaceDE w:val="0"/>
              <w:autoSpaceDN w:val="0"/>
              <w:adjustRightInd w:val="0"/>
              <w:jc w:val="right"/>
              <w:rPr>
                <w:rFonts w:cs="Arial"/>
                <w:b/>
                <w:color w:val="FFFFFF" w:themeColor="background1"/>
                <w:szCs w:val="16"/>
              </w:rPr>
            </w:pPr>
            <w:r w:rsidRPr="007F015E">
              <w:rPr>
                <w:b/>
              </w:rPr>
              <w:t>2016</w:t>
            </w:r>
          </w:p>
        </w:tc>
        <w:tc>
          <w:tcPr>
            <w:tcW w:w="446" w:type="pct"/>
            <w:tcBorders>
              <w:top w:val="single" w:sz="4" w:space="0" w:color="auto"/>
            </w:tcBorders>
            <w:noWrap/>
            <w:hideMark/>
          </w:tcPr>
          <w:p w14:paraId="401A17C1" w14:textId="77777777" w:rsidR="00DE4516" w:rsidRPr="007F015E" w:rsidRDefault="00DE4516" w:rsidP="00DE4516">
            <w:pPr>
              <w:pStyle w:val="TableHead"/>
              <w:autoSpaceDE w:val="0"/>
              <w:autoSpaceDN w:val="0"/>
              <w:adjustRightInd w:val="0"/>
              <w:jc w:val="right"/>
              <w:rPr>
                <w:rFonts w:cs="Arial"/>
                <w:b/>
                <w:color w:val="FFFFFF" w:themeColor="background1"/>
                <w:szCs w:val="16"/>
              </w:rPr>
            </w:pPr>
            <w:r w:rsidRPr="007F015E">
              <w:rPr>
                <w:b/>
              </w:rPr>
              <w:t>2017</w:t>
            </w:r>
          </w:p>
        </w:tc>
        <w:tc>
          <w:tcPr>
            <w:tcW w:w="446" w:type="pct"/>
            <w:tcBorders>
              <w:top w:val="single" w:sz="4" w:space="0" w:color="auto"/>
            </w:tcBorders>
            <w:noWrap/>
            <w:hideMark/>
          </w:tcPr>
          <w:p w14:paraId="440E13EA" w14:textId="77777777" w:rsidR="00DE4516" w:rsidRPr="007F015E" w:rsidRDefault="00DE4516" w:rsidP="00DE4516">
            <w:pPr>
              <w:pStyle w:val="TableHead"/>
              <w:autoSpaceDE w:val="0"/>
              <w:autoSpaceDN w:val="0"/>
              <w:adjustRightInd w:val="0"/>
              <w:jc w:val="right"/>
              <w:rPr>
                <w:rFonts w:cs="Arial"/>
                <w:b/>
                <w:color w:val="FFFFFF" w:themeColor="background1"/>
                <w:szCs w:val="16"/>
              </w:rPr>
            </w:pPr>
            <w:r w:rsidRPr="007F015E">
              <w:rPr>
                <w:b/>
              </w:rPr>
              <w:t>2018</w:t>
            </w:r>
          </w:p>
        </w:tc>
        <w:tc>
          <w:tcPr>
            <w:tcW w:w="446" w:type="pct"/>
            <w:tcBorders>
              <w:top w:val="single" w:sz="4" w:space="0" w:color="auto"/>
            </w:tcBorders>
            <w:noWrap/>
            <w:hideMark/>
          </w:tcPr>
          <w:p w14:paraId="6B1ED8D0" w14:textId="77777777" w:rsidR="00DE4516" w:rsidRPr="007F015E" w:rsidRDefault="00DE4516" w:rsidP="00DE4516">
            <w:pPr>
              <w:pStyle w:val="TableHead"/>
              <w:autoSpaceDE w:val="0"/>
              <w:autoSpaceDN w:val="0"/>
              <w:adjustRightInd w:val="0"/>
              <w:jc w:val="right"/>
              <w:rPr>
                <w:rFonts w:cs="Arial"/>
                <w:b/>
                <w:color w:val="FFFFFF" w:themeColor="background1"/>
                <w:szCs w:val="16"/>
              </w:rPr>
            </w:pPr>
            <w:r w:rsidRPr="007F015E">
              <w:rPr>
                <w:b/>
              </w:rPr>
              <w:t>2019</w:t>
            </w:r>
          </w:p>
        </w:tc>
        <w:tc>
          <w:tcPr>
            <w:tcW w:w="446" w:type="pct"/>
            <w:tcBorders>
              <w:top w:val="single" w:sz="4" w:space="0" w:color="auto"/>
            </w:tcBorders>
            <w:noWrap/>
            <w:hideMark/>
          </w:tcPr>
          <w:p w14:paraId="1970977B" w14:textId="77777777" w:rsidR="00DE4516" w:rsidRPr="007F015E" w:rsidRDefault="00DE4516" w:rsidP="00DE4516">
            <w:pPr>
              <w:pStyle w:val="TableHead"/>
              <w:autoSpaceDE w:val="0"/>
              <w:autoSpaceDN w:val="0"/>
              <w:adjustRightInd w:val="0"/>
              <w:jc w:val="right"/>
              <w:rPr>
                <w:rFonts w:cs="Arial"/>
                <w:b/>
                <w:color w:val="FFFFFF" w:themeColor="background1"/>
                <w:szCs w:val="16"/>
              </w:rPr>
            </w:pPr>
            <w:r w:rsidRPr="007F015E">
              <w:rPr>
                <w:b/>
              </w:rPr>
              <w:t>2020</w:t>
            </w:r>
          </w:p>
        </w:tc>
      </w:tr>
      <w:tr w:rsidR="00DE4516" w:rsidRPr="00045A4A" w14:paraId="16A049B3" w14:textId="77777777" w:rsidTr="002F793E">
        <w:trPr>
          <w:cantSplit/>
        </w:trPr>
        <w:tc>
          <w:tcPr>
            <w:tcW w:w="1880" w:type="pct"/>
            <w:noWrap/>
            <w:hideMark/>
          </w:tcPr>
          <w:p w14:paraId="564FDF91" w14:textId="77777777" w:rsidR="00DE4516" w:rsidRPr="00A46ADC" w:rsidRDefault="00DE4516" w:rsidP="00DE4516">
            <w:pPr>
              <w:pStyle w:val="TableBody"/>
              <w:autoSpaceDE w:val="0"/>
              <w:autoSpaceDN w:val="0"/>
              <w:adjustRightInd w:val="0"/>
              <w:jc w:val="both"/>
              <w:rPr>
                <w:rFonts w:cs="Arial"/>
                <w:b/>
                <w:bCs/>
                <w:szCs w:val="16"/>
              </w:rPr>
            </w:pPr>
            <w:r w:rsidRPr="00A46ADC">
              <w:rPr>
                <w:b/>
              </w:rPr>
              <w:t>Total exports (USD billion)</w:t>
            </w:r>
          </w:p>
        </w:tc>
        <w:tc>
          <w:tcPr>
            <w:tcW w:w="446" w:type="pct"/>
            <w:noWrap/>
            <w:hideMark/>
          </w:tcPr>
          <w:p w14:paraId="51409711"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53.2</w:t>
            </w:r>
          </w:p>
        </w:tc>
        <w:tc>
          <w:tcPr>
            <w:tcW w:w="446" w:type="pct"/>
            <w:noWrap/>
            <w:hideMark/>
          </w:tcPr>
          <w:p w14:paraId="35F03567"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34.9</w:t>
            </w:r>
          </w:p>
        </w:tc>
        <w:tc>
          <w:tcPr>
            <w:tcW w:w="446" w:type="pct"/>
            <w:noWrap/>
            <w:hideMark/>
          </w:tcPr>
          <w:p w14:paraId="5B3D7C2B"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27.5</w:t>
            </w:r>
          </w:p>
        </w:tc>
        <w:tc>
          <w:tcPr>
            <w:tcW w:w="446" w:type="pct"/>
            <w:noWrap/>
            <w:hideMark/>
          </w:tcPr>
          <w:p w14:paraId="60D16FF6"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32.9</w:t>
            </w:r>
          </w:p>
        </w:tc>
        <w:tc>
          <w:tcPr>
            <w:tcW w:w="446" w:type="pct"/>
            <w:noWrap/>
            <w:hideMark/>
          </w:tcPr>
          <w:p w14:paraId="5DC1113F"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41.7</w:t>
            </w:r>
          </w:p>
        </w:tc>
        <w:tc>
          <w:tcPr>
            <w:tcW w:w="446" w:type="pct"/>
            <w:noWrap/>
            <w:hideMark/>
          </w:tcPr>
          <w:p w14:paraId="52BF98C5"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38.7</w:t>
            </w:r>
          </w:p>
        </w:tc>
        <w:tc>
          <w:tcPr>
            <w:tcW w:w="446" w:type="pct"/>
            <w:noWrap/>
            <w:hideMark/>
          </w:tcPr>
          <w:p w14:paraId="1B549336"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30.5</w:t>
            </w:r>
          </w:p>
        </w:tc>
      </w:tr>
      <w:tr w:rsidR="00DE4516" w:rsidRPr="00045A4A" w14:paraId="671FA5F0"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1E380BA8" w14:textId="77777777" w:rsidR="00DE4516" w:rsidRPr="00A46ADC" w:rsidRDefault="00DE4516" w:rsidP="00DE4516">
            <w:pPr>
              <w:pStyle w:val="TableBody"/>
              <w:autoSpaceDE w:val="0"/>
              <w:autoSpaceDN w:val="0"/>
              <w:adjustRightInd w:val="0"/>
              <w:jc w:val="right"/>
            </w:pPr>
          </w:p>
        </w:tc>
        <w:tc>
          <w:tcPr>
            <w:tcW w:w="3120" w:type="pct"/>
            <w:gridSpan w:val="7"/>
            <w:noWrap/>
            <w:hideMark/>
          </w:tcPr>
          <w:p w14:paraId="6723E546" w14:textId="77777777" w:rsidR="00DE4516" w:rsidRPr="00A46ADC" w:rsidRDefault="00DE4516" w:rsidP="00DE4516">
            <w:pPr>
              <w:pStyle w:val="TableBody"/>
              <w:autoSpaceDE w:val="0"/>
              <w:autoSpaceDN w:val="0"/>
              <w:adjustRightInd w:val="0"/>
              <w:jc w:val="center"/>
              <w:rPr>
                <w:rFonts w:cs="Arial"/>
                <w:szCs w:val="16"/>
              </w:rPr>
            </w:pPr>
            <w:r w:rsidRPr="00A46ADC">
              <w:t>(% of total)</w:t>
            </w:r>
          </w:p>
        </w:tc>
      </w:tr>
      <w:tr w:rsidR="00DE4516" w:rsidRPr="00045A4A" w14:paraId="252422A2" w14:textId="77777777" w:rsidTr="002F793E">
        <w:trPr>
          <w:cantSplit/>
        </w:trPr>
        <w:tc>
          <w:tcPr>
            <w:tcW w:w="1880" w:type="pct"/>
            <w:noWrap/>
            <w:hideMark/>
          </w:tcPr>
          <w:p w14:paraId="442DDD86" w14:textId="77777777" w:rsidR="00DE4516" w:rsidRPr="00A46ADC" w:rsidRDefault="00DE4516" w:rsidP="00DE4516">
            <w:pPr>
              <w:pStyle w:val="TableBody"/>
              <w:autoSpaceDE w:val="0"/>
              <w:autoSpaceDN w:val="0"/>
              <w:adjustRightInd w:val="0"/>
              <w:jc w:val="both"/>
              <w:rPr>
                <w:rFonts w:cs="Arial"/>
                <w:b/>
                <w:bCs/>
                <w:color w:val="000000"/>
                <w:szCs w:val="16"/>
              </w:rPr>
            </w:pPr>
            <w:r w:rsidRPr="00A46ADC">
              <w:rPr>
                <w:b/>
              </w:rPr>
              <w:t>Americas</w:t>
            </w:r>
          </w:p>
        </w:tc>
        <w:tc>
          <w:tcPr>
            <w:tcW w:w="446" w:type="pct"/>
            <w:noWrap/>
            <w:hideMark/>
          </w:tcPr>
          <w:p w14:paraId="2E9848C1"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2.0</w:t>
            </w:r>
          </w:p>
        </w:tc>
        <w:tc>
          <w:tcPr>
            <w:tcW w:w="446" w:type="pct"/>
            <w:noWrap/>
            <w:hideMark/>
          </w:tcPr>
          <w:p w14:paraId="232BDD3F"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2.2</w:t>
            </w:r>
          </w:p>
        </w:tc>
        <w:tc>
          <w:tcPr>
            <w:tcW w:w="446" w:type="pct"/>
            <w:noWrap/>
            <w:hideMark/>
          </w:tcPr>
          <w:p w14:paraId="64D37826"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3.7</w:t>
            </w:r>
          </w:p>
        </w:tc>
        <w:tc>
          <w:tcPr>
            <w:tcW w:w="446" w:type="pct"/>
            <w:noWrap/>
            <w:hideMark/>
          </w:tcPr>
          <w:p w14:paraId="1FB547D6"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2.7</w:t>
            </w:r>
          </w:p>
        </w:tc>
        <w:tc>
          <w:tcPr>
            <w:tcW w:w="446" w:type="pct"/>
            <w:noWrap/>
            <w:hideMark/>
          </w:tcPr>
          <w:p w14:paraId="0891A427"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2.2</w:t>
            </w:r>
          </w:p>
        </w:tc>
        <w:tc>
          <w:tcPr>
            <w:tcW w:w="446" w:type="pct"/>
            <w:noWrap/>
            <w:hideMark/>
          </w:tcPr>
          <w:p w14:paraId="5653239D"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1.9</w:t>
            </w:r>
          </w:p>
        </w:tc>
        <w:tc>
          <w:tcPr>
            <w:tcW w:w="446" w:type="pct"/>
            <w:noWrap/>
            <w:hideMark/>
          </w:tcPr>
          <w:p w14:paraId="4E8A27C2"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2.6</w:t>
            </w:r>
          </w:p>
        </w:tc>
      </w:tr>
      <w:tr w:rsidR="00DE4516" w:rsidRPr="00045A4A" w14:paraId="6B766B29"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76515C91"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United States</w:t>
            </w:r>
          </w:p>
        </w:tc>
        <w:tc>
          <w:tcPr>
            <w:tcW w:w="446" w:type="pct"/>
            <w:noWrap/>
            <w:hideMark/>
          </w:tcPr>
          <w:p w14:paraId="2A591DF7" w14:textId="77777777" w:rsidR="00DE4516" w:rsidRPr="00A46ADC" w:rsidRDefault="00DE4516" w:rsidP="00DE4516">
            <w:pPr>
              <w:pStyle w:val="TableBody"/>
              <w:autoSpaceDE w:val="0"/>
              <w:autoSpaceDN w:val="0"/>
              <w:adjustRightInd w:val="0"/>
              <w:jc w:val="right"/>
              <w:rPr>
                <w:rFonts w:cs="Arial"/>
                <w:color w:val="000000"/>
                <w:szCs w:val="16"/>
              </w:rPr>
            </w:pPr>
            <w:r w:rsidRPr="00A46ADC">
              <w:t>1.4</w:t>
            </w:r>
          </w:p>
        </w:tc>
        <w:tc>
          <w:tcPr>
            <w:tcW w:w="446" w:type="pct"/>
            <w:noWrap/>
            <w:hideMark/>
          </w:tcPr>
          <w:p w14:paraId="37DF46CD" w14:textId="77777777" w:rsidR="00DE4516" w:rsidRPr="00A46ADC" w:rsidRDefault="00DE4516" w:rsidP="00DE4516">
            <w:pPr>
              <w:pStyle w:val="TableBody"/>
              <w:autoSpaceDE w:val="0"/>
              <w:autoSpaceDN w:val="0"/>
              <w:adjustRightInd w:val="0"/>
              <w:jc w:val="right"/>
              <w:rPr>
                <w:rFonts w:cs="Arial"/>
                <w:color w:val="000000"/>
                <w:szCs w:val="16"/>
              </w:rPr>
            </w:pPr>
            <w:r w:rsidRPr="00A46ADC">
              <w:t>1.5</w:t>
            </w:r>
          </w:p>
        </w:tc>
        <w:tc>
          <w:tcPr>
            <w:tcW w:w="446" w:type="pct"/>
            <w:noWrap/>
            <w:hideMark/>
          </w:tcPr>
          <w:p w14:paraId="0BABF78C" w14:textId="77777777" w:rsidR="00DE4516" w:rsidRPr="00A46ADC" w:rsidRDefault="00DE4516" w:rsidP="00DE4516">
            <w:pPr>
              <w:pStyle w:val="TableBody"/>
              <w:autoSpaceDE w:val="0"/>
              <w:autoSpaceDN w:val="0"/>
              <w:adjustRightInd w:val="0"/>
              <w:jc w:val="right"/>
              <w:rPr>
                <w:rFonts w:cs="Arial"/>
                <w:color w:val="000000"/>
                <w:szCs w:val="16"/>
              </w:rPr>
            </w:pPr>
            <w:r w:rsidRPr="00A46ADC">
              <w:t>2.9</w:t>
            </w:r>
          </w:p>
        </w:tc>
        <w:tc>
          <w:tcPr>
            <w:tcW w:w="446" w:type="pct"/>
            <w:noWrap/>
            <w:hideMark/>
          </w:tcPr>
          <w:p w14:paraId="5F447DDD" w14:textId="77777777" w:rsidR="00DE4516" w:rsidRPr="00A46ADC" w:rsidRDefault="00DE4516" w:rsidP="00DE4516">
            <w:pPr>
              <w:pStyle w:val="TableBody"/>
              <w:autoSpaceDE w:val="0"/>
              <w:autoSpaceDN w:val="0"/>
              <w:adjustRightInd w:val="0"/>
              <w:jc w:val="right"/>
              <w:rPr>
                <w:rFonts w:cs="Arial"/>
                <w:color w:val="000000"/>
                <w:szCs w:val="16"/>
              </w:rPr>
            </w:pPr>
            <w:r w:rsidRPr="00A46ADC">
              <w:t>1.8</w:t>
            </w:r>
          </w:p>
        </w:tc>
        <w:tc>
          <w:tcPr>
            <w:tcW w:w="446" w:type="pct"/>
            <w:noWrap/>
            <w:hideMark/>
          </w:tcPr>
          <w:p w14:paraId="619D767A" w14:textId="77777777" w:rsidR="00DE4516" w:rsidRPr="00A46ADC" w:rsidRDefault="00DE4516" w:rsidP="00DE4516">
            <w:pPr>
              <w:pStyle w:val="TableBody"/>
              <w:autoSpaceDE w:val="0"/>
              <w:autoSpaceDN w:val="0"/>
              <w:adjustRightInd w:val="0"/>
              <w:jc w:val="right"/>
              <w:rPr>
                <w:rFonts w:cs="Arial"/>
                <w:color w:val="000000"/>
                <w:szCs w:val="16"/>
              </w:rPr>
            </w:pPr>
            <w:r w:rsidRPr="00A46ADC">
              <w:t>1.5</w:t>
            </w:r>
          </w:p>
        </w:tc>
        <w:tc>
          <w:tcPr>
            <w:tcW w:w="446" w:type="pct"/>
            <w:noWrap/>
            <w:hideMark/>
          </w:tcPr>
          <w:p w14:paraId="70D71570" w14:textId="77777777" w:rsidR="00DE4516" w:rsidRPr="00A46ADC" w:rsidRDefault="00DE4516" w:rsidP="00DE4516">
            <w:pPr>
              <w:pStyle w:val="TableBody"/>
              <w:autoSpaceDE w:val="0"/>
              <w:autoSpaceDN w:val="0"/>
              <w:adjustRightInd w:val="0"/>
              <w:jc w:val="right"/>
              <w:rPr>
                <w:rFonts w:cs="Arial"/>
                <w:color w:val="000000"/>
                <w:szCs w:val="16"/>
              </w:rPr>
            </w:pPr>
            <w:r w:rsidRPr="00A46ADC">
              <w:t>1.7</w:t>
            </w:r>
          </w:p>
        </w:tc>
        <w:tc>
          <w:tcPr>
            <w:tcW w:w="446" w:type="pct"/>
            <w:noWrap/>
            <w:hideMark/>
          </w:tcPr>
          <w:p w14:paraId="065E51D7" w14:textId="77777777" w:rsidR="00DE4516" w:rsidRPr="00A46ADC" w:rsidRDefault="00DE4516" w:rsidP="00DE4516">
            <w:pPr>
              <w:pStyle w:val="TableBody"/>
              <w:autoSpaceDE w:val="0"/>
              <w:autoSpaceDN w:val="0"/>
              <w:adjustRightInd w:val="0"/>
              <w:jc w:val="right"/>
              <w:rPr>
                <w:rFonts w:cs="Arial"/>
                <w:color w:val="000000"/>
                <w:szCs w:val="16"/>
              </w:rPr>
            </w:pPr>
            <w:r w:rsidRPr="00A46ADC">
              <w:t>2.0</w:t>
            </w:r>
          </w:p>
        </w:tc>
      </w:tr>
      <w:tr w:rsidR="00DE4516" w:rsidRPr="00045A4A" w14:paraId="17FAE712" w14:textId="77777777" w:rsidTr="002F793E">
        <w:trPr>
          <w:cantSplit/>
        </w:trPr>
        <w:tc>
          <w:tcPr>
            <w:tcW w:w="1880" w:type="pct"/>
            <w:noWrap/>
            <w:hideMark/>
          </w:tcPr>
          <w:p w14:paraId="38F9FDBB"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Other America</w:t>
            </w:r>
          </w:p>
        </w:tc>
        <w:tc>
          <w:tcPr>
            <w:tcW w:w="446" w:type="pct"/>
            <w:noWrap/>
            <w:hideMark/>
          </w:tcPr>
          <w:p w14:paraId="6987AFE5" w14:textId="77777777" w:rsidR="00DE4516" w:rsidRPr="00A46ADC" w:rsidRDefault="00DE4516" w:rsidP="00DE4516">
            <w:pPr>
              <w:pStyle w:val="TableBody"/>
              <w:autoSpaceDE w:val="0"/>
              <w:autoSpaceDN w:val="0"/>
              <w:adjustRightInd w:val="0"/>
              <w:jc w:val="right"/>
              <w:rPr>
                <w:rFonts w:cs="Arial"/>
                <w:color w:val="000000"/>
                <w:szCs w:val="16"/>
              </w:rPr>
            </w:pPr>
            <w:r w:rsidRPr="00A46ADC">
              <w:t>0.6</w:t>
            </w:r>
          </w:p>
        </w:tc>
        <w:tc>
          <w:tcPr>
            <w:tcW w:w="446" w:type="pct"/>
            <w:noWrap/>
            <w:hideMark/>
          </w:tcPr>
          <w:p w14:paraId="1573D08A" w14:textId="77777777" w:rsidR="00DE4516" w:rsidRPr="00A46ADC" w:rsidRDefault="00DE4516" w:rsidP="00DE4516">
            <w:pPr>
              <w:pStyle w:val="TableBody"/>
              <w:autoSpaceDE w:val="0"/>
              <w:autoSpaceDN w:val="0"/>
              <w:adjustRightInd w:val="0"/>
              <w:jc w:val="right"/>
              <w:rPr>
                <w:rFonts w:cs="Arial"/>
                <w:color w:val="000000"/>
                <w:szCs w:val="16"/>
              </w:rPr>
            </w:pPr>
            <w:r w:rsidRPr="00A46ADC">
              <w:t>0.7</w:t>
            </w:r>
          </w:p>
        </w:tc>
        <w:tc>
          <w:tcPr>
            <w:tcW w:w="446" w:type="pct"/>
            <w:noWrap/>
            <w:hideMark/>
          </w:tcPr>
          <w:p w14:paraId="17140AA3" w14:textId="77777777" w:rsidR="00DE4516" w:rsidRPr="00A46ADC" w:rsidRDefault="00DE4516" w:rsidP="00DE4516">
            <w:pPr>
              <w:pStyle w:val="TableBody"/>
              <w:autoSpaceDE w:val="0"/>
              <w:autoSpaceDN w:val="0"/>
              <w:adjustRightInd w:val="0"/>
              <w:jc w:val="right"/>
              <w:rPr>
                <w:rFonts w:cs="Arial"/>
                <w:color w:val="000000"/>
                <w:szCs w:val="16"/>
              </w:rPr>
            </w:pPr>
            <w:r w:rsidRPr="00A46ADC">
              <w:t>0.8</w:t>
            </w:r>
          </w:p>
        </w:tc>
        <w:tc>
          <w:tcPr>
            <w:tcW w:w="446" w:type="pct"/>
            <w:noWrap/>
            <w:hideMark/>
          </w:tcPr>
          <w:p w14:paraId="76E8D425" w14:textId="77777777" w:rsidR="00DE4516" w:rsidRPr="00A46ADC" w:rsidRDefault="00DE4516" w:rsidP="00DE4516">
            <w:pPr>
              <w:pStyle w:val="TableBody"/>
              <w:autoSpaceDE w:val="0"/>
              <w:autoSpaceDN w:val="0"/>
              <w:adjustRightInd w:val="0"/>
              <w:jc w:val="right"/>
              <w:rPr>
                <w:rFonts w:cs="Arial"/>
                <w:color w:val="000000"/>
                <w:szCs w:val="16"/>
              </w:rPr>
            </w:pPr>
            <w:r w:rsidRPr="00A46ADC">
              <w:t>0.9</w:t>
            </w:r>
          </w:p>
        </w:tc>
        <w:tc>
          <w:tcPr>
            <w:tcW w:w="446" w:type="pct"/>
            <w:noWrap/>
            <w:hideMark/>
          </w:tcPr>
          <w:p w14:paraId="5D1F93D7" w14:textId="77777777" w:rsidR="00DE4516" w:rsidRPr="00A46ADC" w:rsidRDefault="00DE4516" w:rsidP="00DE4516">
            <w:pPr>
              <w:pStyle w:val="TableBody"/>
              <w:autoSpaceDE w:val="0"/>
              <w:autoSpaceDN w:val="0"/>
              <w:adjustRightInd w:val="0"/>
              <w:jc w:val="right"/>
              <w:rPr>
                <w:rFonts w:cs="Arial"/>
                <w:color w:val="000000"/>
                <w:szCs w:val="16"/>
              </w:rPr>
            </w:pPr>
            <w:r w:rsidRPr="00A46ADC">
              <w:t>0.7</w:t>
            </w:r>
          </w:p>
        </w:tc>
        <w:tc>
          <w:tcPr>
            <w:tcW w:w="446" w:type="pct"/>
            <w:noWrap/>
            <w:hideMark/>
          </w:tcPr>
          <w:p w14:paraId="1F777773" w14:textId="77777777" w:rsidR="00DE4516" w:rsidRPr="00A46ADC" w:rsidRDefault="00DE4516" w:rsidP="00DE4516">
            <w:pPr>
              <w:pStyle w:val="TableBody"/>
              <w:autoSpaceDE w:val="0"/>
              <w:autoSpaceDN w:val="0"/>
              <w:adjustRightInd w:val="0"/>
              <w:jc w:val="right"/>
              <w:rPr>
                <w:rFonts w:cs="Arial"/>
                <w:color w:val="000000"/>
                <w:szCs w:val="16"/>
              </w:rPr>
            </w:pPr>
            <w:r w:rsidRPr="00A46ADC">
              <w:t>0.3</w:t>
            </w:r>
          </w:p>
        </w:tc>
        <w:tc>
          <w:tcPr>
            <w:tcW w:w="446" w:type="pct"/>
            <w:noWrap/>
            <w:hideMark/>
          </w:tcPr>
          <w:p w14:paraId="452E302C" w14:textId="77777777" w:rsidR="00DE4516" w:rsidRPr="00A46ADC" w:rsidRDefault="00DE4516" w:rsidP="00DE4516">
            <w:pPr>
              <w:pStyle w:val="TableBody"/>
              <w:autoSpaceDE w:val="0"/>
              <w:autoSpaceDN w:val="0"/>
              <w:adjustRightInd w:val="0"/>
              <w:jc w:val="right"/>
              <w:rPr>
                <w:rFonts w:cs="Arial"/>
                <w:color w:val="000000"/>
                <w:szCs w:val="16"/>
              </w:rPr>
            </w:pPr>
            <w:r w:rsidRPr="00A46ADC">
              <w:t>0.6</w:t>
            </w:r>
          </w:p>
        </w:tc>
      </w:tr>
      <w:tr w:rsidR="00DE4516" w:rsidRPr="00045A4A" w14:paraId="352489CD"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0F7F6446" w14:textId="77777777" w:rsidR="00DE4516" w:rsidRPr="00A46ADC" w:rsidRDefault="00DE4516" w:rsidP="00DE4516">
            <w:pPr>
              <w:pStyle w:val="TableBody"/>
              <w:autoSpaceDE w:val="0"/>
              <w:autoSpaceDN w:val="0"/>
              <w:adjustRightInd w:val="0"/>
              <w:jc w:val="both"/>
              <w:rPr>
                <w:rFonts w:cs="Arial"/>
                <w:b/>
                <w:bCs/>
                <w:color w:val="000000"/>
                <w:szCs w:val="16"/>
              </w:rPr>
            </w:pPr>
            <w:r w:rsidRPr="00A46ADC">
              <w:rPr>
                <w:b/>
              </w:rPr>
              <w:t>Europe</w:t>
            </w:r>
          </w:p>
        </w:tc>
        <w:tc>
          <w:tcPr>
            <w:tcW w:w="446" w:type="pct"/>
            <w:noWrap/>
            <w:hideMark/>
          </w:tcPr>
          <w:p w14:paraId="253696E4"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1.6</w:t>
            </w:r>
          </w:p>
        </w:tc>
        <w:tc>
          <w:tcPr>
            <w:tcW w:w="446" w:type="pct"/>
            <w:noWrap/>
            <w:hideMark/>
          </w:tcPr>
          <w:p w14:paraId="3A476AEA"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1.8</w:t>
            </w:r>
          </w:p>
        </w:tc>
        <w:tc>
          <w:tcPr>
            <w:tcW w:w="446" w:type="pct"/>
            <w:noWrap/>
            <w:hideMark/>
          </w:tcPr>
          <w:p w14:paraId="60DD74CA"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2.1</w:t>
            </w:r>
          </w:p>
        </w:tc>
        <w:tc>
          <w:tcPr>
            <w:tcW w:w="446" w:type="pct"/>
            <w:noWrap/>
            <w:hideMark/>
          </w:tcPr>
          <w:p w14:paraId="2AD644CC"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1.7</w:t>
            </w:r>
          </w:p>
        </w:tc>
        <w:tc>
          <w:tcPr>
            <w:tcW w:w="446" w:type="pct"/>
            <w:noWrap/>
            <w:hideMark/>
          </w:tcPr>
          <w:p w14:paraId="791A10A9"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1.9</w:t>
            </w:r>
          </w:p>
        </w:tc>
        <w:tc>
          <w:tcPr>
            <w:tcW w:w="446" w:type="pct"/>
            <w:noWrap/>
            <w:hideMark/>
          </w:tcPr>
          <w:p w14:paraId="77FE1954"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2.2</w:t>
            </w:r>
          </w:p>
        </w:tc>
        <w:tc>
          <w:tcPr>
            <w:tcW w:w="446" w:type="pct"/>
            <w:noWrap/>
            <w:hideMark/>
          </w:tcPr>
          <w:p w14:paraId="6A1EA81E"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2.3</w:t>
            </w:r>
          </w:p>
        </w:tc>
      </w:tr>
      <w:tr w:rsidR="00DE4516" w:rsidRPr="00045A4A" w14:paraId="2AE028A3" w14:textId="77777777" w:rsidTr="002F793E">
        <w:trPr>
          <w:cantSplit/>
        </w:trPr>
        <w:tc>
          <w:tcPr>
            <w:tcW w:w="1880" w:type="pct"/>
            <w:noWrap/>
            <w:hideMark/>
          </w:tcPr>
          <w:p w14:paraId="55C73D76"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EU-27</w:t>
            </w:r>
          </w:p>
        </w:tc>
        <w:tc>
          <w:tcPr>
            <w:tcW w:w="446" w:type="pct"/>
            <w:noWrap/>
            <w:hideMark/>
          </w:tcPr>
          <w:p w14:paraId="578DB65A" w14:textId="77777777" w:rsidR="00DE4516" w:rsidRPr="00A46ADC" w:rsidRDefault="00DE4516" w:rsidP="00DE4516">
            <w:pPr>
              <w:pStyle w:val="TableBody"/>
              <w:autoSpaceDE w:val="0"/>
              <w:autoSpaceDN w:val="0"/>
              <w:adjustRightInd w:val="0"/>
              <w:jc w:val="right"/>
              <w:rPr>
                <w:rFonts w:cs="Arial"/>
                <w:color w:val="000000"/>
                <w:szCs w:val="16"/>
              </w:rPr>
            </w:pPr>
            <w:r w:rsidRPr="00A46ADC">
              <w:t>1.1</w:t>
            </w:r>
          </w:p>
        </w:tc>
        <w:tc>
          <w:tcPr>
            <w:tcW w:w="446" w:type="pct"/>
            <w:noWrap/>
            <w:hideMark/>
          </w:tcPr>
          <w:p w14:paraId="72997668" w14:textId="77777777" w:rsidR="00DE4516" w:rsidRPr="00A46ADC" w:rsidRDefault="00DE4516" w:rsidP="00DE4516">
            <w:pPr>
              <w:pStyle w:val="TableBody"/>
              <w:autoSpaceDE w:val="0"/>
              <w:autoSpaceDN w:val="0"/>
              <w:adjustRightInd w:val="0"/>
              <w:jc w:val="right"/>
              <w:rPr>
                <w:rFonts w:cs="Arial"/>
                <w:color w:val="000000"/>
                <w:szCs w:val="16"/>
              </w:rPr>
            </w:pPr>
            <w:r w:rsidRPr="00A46ADC">
              <w:t>1.4</w:t>
            </w:r>
          </w:p>
        </w:tc>
        <w:tc>
          <w:tcPr>
            <w:tcW w:w="446" w:type="pct"/>
            <w:noWrap/>
            <w:hideMark/>
          </w:tcPr>
          <w:p w14:paraId="04605A36" w14:textId="77777777" w:rsidR="00DE4516" w:rsidRPr="00A46ADC" w:rsidRDefault="00DE4516" w:rsidP="00DE4516">
            <w:pPr>
              <w:pStyle w:val="TableBody"/>
              <w:autoSpaceDE w:val="0"/>
              <w:autoSpaceDN w:val="0"/>
              <w:adjustRightInd w:val="0"/>
              <w:jc w:val="right"/>
              <w:rPr>
                <w:rFonts w:cs="Arial"/>
                <w:color w:val="000000"/>
                <w:szCs w:val="16"/>
              </w:rPr>
            </w:pPr>
            <w:r w:rsidRPr="00A46ADC">
              <w:t>1.7</w:t>
            </w:r>
          </w:p>
        </w:tc>
        <w:tc>
          <w:tcPr>
            <w:tcW w:w="446" w:type="pct"/>
            <w:noWrap/>
            <w:hideMark/>
          </w:tcPr>
          <w:p w14:paraId="7F7188C7" w14:textId="77777777" w:rsidR="00DE4516" w:rsidRPr="00A46ADC" w:rsidRDefault="00DE4516" w:rsidP="00DE4516">
            <w:pPr>
              <w:pStyle w:val="TableBody"/>
              <w:autoSpaceDE w:val="0"/>
              <w:autoSpaceDN w:val="0"/>
              <w:adjustRightInd w:val="0"/>
              <w:jc w:val="right"/>
              <w:rPr>
                <w:rFonts w:cs="Arial"/>
                <w:color w:val="000000"/>
                <w:szCs w:val="16"/>
              </w:rPr>
            </w:pPr>
            <w:r w:rsidRPr="00A46ADC">
              <w:t>1.1</w:t>
            </w:r>
          </w:p>
        </w:tc>
        <w:tc>
          <w:tcPr>
            <w:tcW w:w="446" w:type="pct"/>
            <w:noWrap/>
            <w:hideMark/>
          </w:tcPr>
          <w:p w14:paraId="41993F37" w14:textId="77777777" w:rsidR="00DE4516" w:rsidRPr="00A46ADC" w:rsidRDefault="00DE4516" w:rsidP="00DE4516">
            <w:pPr>
              <w:pStyle w:val="TableBody"/>
              <w:autoSpaceDE w:val="0"/>
              <w:autoSpaceDN w:val="0"/>
              <w:adjustRightInd w:val="0"/>
              <w:jc w:val="right"/>
              <w:rPr>
                <w:rFonts w:cs="Arial"/>
                <w:color w:val="000000"/>
                <w:szCs w:val="16"/>
              </w:rPr>
            </w:pPr>
            <w:r w:rsidRPr="00A46ADC">
              <w:t>1.2</w:t>
            </w:r>
          </w:p>
        </w:tc>
        <w:tc>
          <w:tcPr>
            <w:tcW w:w="446" w:type="pct"/>
            <w:noWrap/>
            <w:hideMark/>
          </w:tcPr>
          <w:p w14:paraId="2F1B03D0" w14:textId="77777777" w:rsidR="00DE4516" w:rsidRPr="00A46ADC" w:rsidRDefault="00DE4516" w:rsidP="00DE4516">
            <w:pPr>
              <w:pStyle w:val="TableBody"/>
              <w:autoSpaceDE w:val="0"/>
              <w:autoSpaceDN w:val="0"/>
              <w:adjustRightInd w:val="0"/>
              <w:jc w:val="right"/>
              <w:rPr>
                <w:rFonts w:cs="Arial"/>
                <w:color w:val="000000"/>
                <w:szCs w:val="16"/>
              </w:rPr>
            </w:pPr>
            <w:r w:rsidRPr="00A46ADC">
              <w:t>1.3</w:t>
            </w:r>
          </w:p>
        </w:tc>
        <w:tc>
          <w:tcPr>
            <w:tcW w:w="446" w:type="pct"/>
            <w:noWrap/>
            <w:hideMark/>
          </w:tcPr>
          <w:p w14:paraId="3A6E0C71" w14:textId="77777777" w:rsidR="00DE4516" w:rsidRPr="00A46ADC" w:rsidRDefault="00DE4516" w:rsidP="00DE4516">
            <w:pPr>
              <w:pStyle w:val="TableBody"/>
              <w:autoSpaceDE w:val="0"/>
              <w:autoSpaceDN w:val="0"/>
              <w:adjustRightInd w:val="0"/>
              <w:jc w:val="right"/>
              <w:rPr>
                <w:rFonts w:cs="Arial"/>
                <w:color w:val="000000"/>
                <w:szCs w:val="16"/>
              </w:rPr>
            </w:pPr>
            <w:r w:rsidRPr="00A46ADC">
              <w:t>1.2</w:t>
            </w:r>
          </w:p>
        </w:tc>
      </w:tr>
      <w:tr w:rsidR="00DE4516" w:rsidRPr="00045A4A" w14:paraId="7CACAAD5"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7483CA08"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EFTA</w:t>
            </w:r>
          </w:p>
        </w:tc>
        <w:tc>
          <w:tcPr>
            <w:tcW w:w="446" w:type="pct"/>
            <w:noWrap/>
            <w:hideMark/>
          </w:tcPr>
          <w:p w14:paraId="7EEA866B" w14:textId="77777777" w:rsidR="00DE4516" w:rsidRPr="00A46ADC" w:rsidRDefault="00DE4516" w:rsidP="00DE4516">
            <w:pPr>
              <w:pStyle w:val="TableBody"/>
              <w:autoSpaceDE w:val="0"/>
              <w:autoSpaceDN w:val="0"/>
              <w:adjustRightInd w:val="0"/>
              <w:jc w:val="right"/>
              <w:rPr>
                <w:rFonts w:cs="Arial"/>
                <w:color w:val="000000"/>
                <w:szCs w:val="16"/>
              </w:rPr>
            </w:pPr>
            <w:r w:rsidRPr="00A46ADC">
              <w:t>0.0</w:t>
            </w:r>
          </w:p>
        </w:tc>
        <w:tc>
          <w:tcPr>
            <w:tcW w:w="446" w:type="pct"/>
            <w:noWrap/>
            <w:hideMark/>
          </w:tcPr>
          <w:p w14:paraId="0633BE45" w14:textId="77777777" w:rsidR="00DE4516" w:rsidRPr="00A46ADC" w:rsidRDefault="00DE4516" w:rsidP="00DE4516">
            <w:pPr>
              <w:pStyle w:val="TableBody"/>
              <w:autoSpaceDE w:val="0"/>
              <w:autoSpaceDN w:val="0"/>
              <w:adjustRightInd w:val="0"/>
              <w:jc w:val="right"/>
              <w:rPr>
                <w:rFonts w:cs="Arial"/>
                <w:color w:val="000000"/>
                <w:szCs w:val="16"/>
              </w:rPr>
            </w:pPr>
            <w:r w:rsidRPr="00A46ADC">
              <w:t>0.1</w:t>
            </w:r>
          </w:p>
        </w:tc>
        <w:tc>
          <w:tcPr>
            <w:tcW w:w="446" w:type="pct"/>
            <w:noWrap/>
            <w:hideMark/>
          </w:tcPr>
          <w:p w14:paraId="0A17193D" w14:textId="77777777" w:rsidR="00DE4516" w:rsidRPr="00A46ADC" w:rsidRDefault="00DE4516" w:rsidP="00DE4516">
            <w:pPr>
              <w:pStyle w:val="TableBody"/>
              <w:autoSpaceDE w:val="0"/>
              <w:autoSpaceDN w:val="0"/>
              <w:adjustRightInd w:val="0"/>
              <w:jc w:val="right"/>
              <w:rPr>
                <w:rFonts w:cs="Arial"/>
                <w:color w:val="000000"/>
                <w:szCs w:val="16"/>
              </w:rPr>
            </w:pPr>
            <w:r w:rsidRPr="00A46ADC">
              <w:t>0.0</w:t>
            </w:r>
          </w:p>
        </w:tc>
        <w:tc>
          <w:tcPr>
            <w:tcW w:w="446" w:type="pct"/>
            <w:noWrap/>
            <w:hideMark/>
          </w:tcPr>
          <w:p w14:paraId="332FE72B" w14:textId="77777777" w:rsidR="00DE4516" w:rsidRPr="00A46ADC" w:rsidRDefault="00DE4516" w:rsidP="00DE4516">
            <w:pPr>
              <w:pStyle w:val="TableBody"/>
              <w:autoSpaceDE w:val="0"/>
              <w:autoSpaceDN w:val="0"/>
              <w:adjustRightInd w:val="0"/>
              <w:jc w:val="right"/>
              <w:rPr>
                <w:rFonts w:cs="Arial"/>
                <w:color w:val="000000"/>
                <w:szCs w:val="16"/>
              </w:rPr>
            </w:pPr>
            <w:r w:rsidRPr="00A46ADC">
              <w:t>0.1</w:t>
            </w:r>
          </w:p>
        </w:tc>
        <w:tc>
          <w:tcPr>
            <w:tcW w:w="446" w:type="pct"/>
            <w:noWrap/>
            <w:hideMark/>
          </w:tcPr>
          <w:p w14:paraId="4FC42454" w14:textId="77777777" w:rsidR="00DE4516" w:rsidRPr="00A46ADC" w:rsidRDefault="00DE4516" w:rsidP="00DE4516">
            <w:pPr>
              <w:pStyle w:val="TableBody"/>
              <w:autoSpaceDE w:val="0"/>
              <w:autoSpaceDN w:val="0"/>
              <w:adjustRightInd w:val="0"/>
              <w:jc w:val="right"/>
              <w:rPr>
                <w:rFonts w:cs="Arial"/>
                <w:color w:val="000000"/>
                <w:szCs w:val="16"/>
              </w:rPr>
            </w:pPr>
            <w:r w:rsidRPr="00A46ADC">
              <w:t>0.1</w:t>
            </w:r>
          </w:p>
        </w:tc>
        <w:tc>
          <w:tcPr>
            <w:tcW w:w="446" w:type="pct"/>
            <w:noWrap/>
            <w:hideMark/>
          </w:tcPr>
          <w:p w14:paraId="32B27DD6" w14:textId="77777777" w:rsidR="00DE4516" w:rsidRPr="00A46ADC" w:rsidRDefault="00DE4516" w:rsidP="00DE4516">
            <w:pPr>
              <w:pStyle w:val="TableBody"/>
              <w:autoSpaceDE w:val="0"/>
              <w:autoSpaceDN w:val="0"/>
              <w:adjustRightInd w:val="0"/>
              <w:jc w:val="right"/>
              <w:rPr>
                <w:rFonts w:cs="Arial"/>
                <w:color w:val="000000"/>
                <w:szCs w:val="16"/>
              </w:rPr>
            </w:pPr>
            <w:r w:rsidRPr="00A46ADC">
              <w:t>0.0</w:t>
            </w:r>
          </w:p>
        </w:tc>
        <w:tc>
          <w:tcPr>
            <w:tcW w:w="446" w:type="pct"/>
            <w:noWrap/>
            <w:hideMark/>
          </w:tcPr>
          <w:p w14:paraId="049253FC" w14:textId="77777777" w:rsidR="00DE4516" w:rsidRPr="00A46ADC" w:rsidRDefault="00DE4516" w:rsidP="00DE4516">
            <w:pPr>
              <w:pStyle w:val="TableBody"/>
              <w:autoSpaceDE w:val="0"/>
              <w:autoSpaceDN w:val="0"/>
              <w:adjustRightInd w:val="0"/>
              <w:jc w:val="right"/>
              <w:rPr>
                <w:rFonts w:cs="Arial"/>
                <w:color w:val="000000"/>
                <w:szCs w:val="16"/>
              </w:rPr>
            </w:pPr>
            <w:r w:rsidRPr="00A46ADC">
              <w:t>0.1</w:t>
            </w:r>
          </w:p>
        </w:tc>
      </w:tr>
      <w:tr w:rsidR="00DE4516" w:rsidRPr="00045A4A" w14:paraId="6FDE4FD2" w14:textId="77777777" w:rsidTr="002F793E">
        <w:trPr>
          <w:cantSplit/>
        </w:trPr>
        <w:tc>
          <w:tcPr>
            <w:tcW w:w="1880" w:type="pct"/>
            <w:noWrap/>
            <w:hideMark/>
          </w:tcPr>
          <w:p w14:paraId="0722A7BE"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Other Europe</w:t>
            </w:r>
          </w:p>
        </w:tc>
        <w:tc>
          <w:tcPr>
            <w:tcW w:w="446" w:type="pct"/>
            <w:noWrap/>
            <w:hideMark/>
          </w:tcPr>
          <w:p w14:paraId="5789C8F6" w14:textId="77777777" w:rsidR="00DE4516" w:rsidRPr="00A46ADC" w:rsidRDefault="00DE4516" w:rsidP="00DE4516">
            <w:pPr>
              <w:pStyle w:val="TableBody"/>
              <w:autoSpaceDE w:val="0"/>
              <w:autoSpaceDN w:val="0"/>
              <w:adjustRightInd w:val="0"/>
              <w:jc w:val="right"/>
              <w:rPr>
                <w:rFonts w:cs="Arial"/>
                <w:color w:val="000000"/>
                <w:szCs w:val="16"/>
              </w:rPr>
            </w:pPr>
            <w:r w:rsidRPr="00A46ADC">
              <w:t>0.5</w:t>
            </w:r>
          </w:p>
        </w:tc>
        <w:tc>
          <w:tcPr>
            <w:tcW w:w="446" w:type="pct"/>
            <w:noWrap/>
            <w:hideMark/>
          </w:tcPr>
          <w:p w14:paraId="5BEF7442" w14:textId="77777777" w:rsidR="00DE4516" w:rsidRPr="00A46ADC" w:rsidRDefault="00DE4516" w:rsidP="00DE4516">
            <w:pPr>
              <w:pStyle w:val="TableBody"/>
              <w:autoSpaceDE w:val="0"/>
              <w:autoSpaceDN w:val="0"/>
              <w:adjustRightInd w:val="0"/>
              <w:jc w:val="right"/>
              <w:rPr>
                <w:rFonts w:cs="Arial"/>
                <w:color w:val="000000"/>
                <w:szCs w:val="16"/>
              </w:rPr>
            </w:pPr>
            <w:r w:rsidRPr="00A46ADC">
              <w:t>0.3</w:t>
            </w:r>
          </w:p>
        </w:tc>
        <w:tc>
          <w:tcPr>
            <w:tcW w:w="446" w:type="pct"/>
            <w:noWrap/>
            <w:hideMark/>
          </w:tcPr>
          <w:p w14:paraId="0C4C0197" w14:textId="77777777" w:rsidR="00DE4516" w:rsidRPr="00A46ADC" w:rsidRDefault="00DE4516" w:rsidP="00DE4516">
            <w:pPr>
              <w:pStyle w:val="TableBody"/>
              <w:autoSpaceDE w:val="0"/>
              <w:autoSpaceDN w:val="0"/>
              <w:adjustRightInd w:val="0"/>
              <w:jc w:val="right"/>
              <w:rPr>
                <w:rFonts w:cs="Arial"/>
                <w:color w:val="000000"/>
                <w:szCs w:val="16"/>
              </w:rPr>
            </w:pPr>
            <w:r w:rsidRPr="00A46ADC">
              <w:t>0.4</w:t>
            </w:r>
          </w:p>
        </w:tc>
        <w:tc>
          <w:tcPr>
            <w:tcW w:w="446" w:type="pct"/>
            <w:noWrap/>
            <w:hideMark/>
          </w:tcPr>
          <w:p w14:paraId="5AE5A9C3" w14:textId="77777777" w:rsidR="00DE4516" w:rsidRPr="00A46ADC" w:rsidRDefault="00DE4516" w:rsidP="00DE4516">
            <w:pPr>
              <w:pStyle w:val="TableBody"/>
              <w:autoSpaceDE w:val="0"/>
              <w:autoSpaceDN w:val="0"/>
              <w:adjustRightInd w:val="0"/>
              <w:jc w:val="right"/>
              <w:rPr>
                <w:rFonts w:cs="Arial"/>
                <w:color w:val="000000"/>
                <w:szCs w:val="16"/>
              </w:rPr>
            </w:pPr>
            <w:r w:rsidRPr="00A46ADC">
              <w:t>0.6</w:t>
            </w:r>
          </w:p>
        </w:tc>
        <w:tc>
          <w:tcPr>
            <w:tcW w:w="446" w:type="pct"/>
            <w:noWrap/>
            <w:hideMark/>
          </w:tcPr>
          <w:p w14:paraId="37AE889D" w14:textId="77777777" w:rsidR="00DE4516" w:rsidRPr="00A46ADC" w:rsidRDefault="00DE4516" w:rsidP="00DE4516">
            <w:pPr>
              <w:pStyle w:val="TableBody"/>
              <w:autoSpaceDE w:val="0"/>
              <w:autoSpaceDN w:val="0"/>
              <w:adjustRightInd w:val="0"/>
              <w:jc w:val="right"/>
              <w:rPr>
                <w:rFonts w:cs="Arial"/>
                <w:color w:val="000000"/>
                <w:szCs w:val="16"/>
              </w:rPr>
            </w:pPr>
            <w:r w:rsidRPr="00A46ADC">
              <w:t>0.6</w:t>
            </w:r>
          </w:p>
        </w:tc>
        <w:tc>
          <w:tcPr>
            <w:tcW w:w="446" w:type="pct"/>
            <w:noWrap/>
            <w:hideMark/>
          </w:tcPr>
          <w:p w14:paraId="3DBBC2A8" w14:textId="77777777" w:rsidR="00DE4516" w:rsidRPr="00A46ADC" w:rsidRDefault="00DE4516" w:rsidP="00DE4516">
            <w:pPr>
              <w:pStyle w:val="TableBody"/>
              <w:autoSpaceDE w:val="0"/>
              <w:autoSpaceDN w:val="0"/>
              <w:adjustRightInd w:val="0"/>
              <w:jc w:val="right"/>
              <w:rPr>
                <w:rFonts w:cs="Arial"/>
                <w:color w:val="000000"/>
                <w:szCs w:val="16"/>
              </w:rPr>
            </w:pPr>
            <w:r w:rsidRPr="00A46ADC">
              <w:t>0.9</w:t>
            </w:r>
          </w:p>
        </w:tc>
        <w:tc>
          <w:tcPr>
            <w:tcW w:w="446" w:type="pct"/>
            <w:noWrap/>
            <w:hideMark/>
          </w:tcPr>
          <w:p w14:paraId="672775C7" w14:textId="77777777" w:rsidR="00DE4516" w:rsidRPr="00A46ADC" w:rsidRDefault="00DE4516" w:rsidP="00DE4516">
            <w:pPr>
              <w:pStyle w:val="TableBody"/>
              <w:autoSpaceDE w:val="0"/>
              <w:autoSpaceDN w:val="0"/>
              <w:adjustRightInd w:val="0"/>
              <w:jc w:val="right"/>
              <w:rPr>
                <w:rFonts w:cs="Arial"/>
                <w:color w:val="000000"/>
                <w:szCs w:val="16"/>
              </w:rPr>
            </w:pPr>
            <w:r w:rsidRPr="00A46ADC">
              <w:t>1.1</w:t>
            </w:r>
          </w:p>
        </w:tc>
      </w:tr>
      <w:tr w:rsidR="00DE4516" w:rsidRPr="00045A4A" w14:paraId="39F30B51"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3EA92725" w14:textId="77777777" w:rsidR="00DE4516" w:rsidRPr="00A46ADC" w:rsidRDefault="00DE4516" w:rsidP="00DE4516">
            <w:pPr>
              <w:pStyle w:val="TableBody"/>
              <w:autoSpaceDE w:val="0"/>
              <w:autoSpaceDN w:val="0"/>
              <w:adjustRightInd w:val="0"/>
              <w:ind w:left="519"/>
              <w:jc w:val="both"/>
              <w:rPr>
                <w:rFonts w:cs="Arial"/>
                <w:color w:val="000000"/>
                <w:szCs w:val="16"/>
              </w:rPr>
            </w:pPr>
            <w:r w:rsidRPr="00A46ADC">
              <w:t>United Kingdom</w:t>
            </w:r>
          </w:p>
        </w:tc>
        <w:tc>
          <w:tcPr>
            <w:tcW w:w="446" w:type="pct"/>
            <w:noWrap/>
            <w:hideMark/>
          </w:tcPr>
          <w:p w14:paraId="7A4F9A05" w14:textId="77777777" w:rsidR="00DE4516" w:rsidRPr="00A46ADC" w:rsidRDefault="00DE4516" w:rsidP="00DE4516">
            <w:pPr>
              <w:pStyle w:val="TableBody"/>
              <w:autoSpaceDE w:val="0"/>
              <w:autoSpaceDN w:val="0"/>
              <w:adjustRightInd w:val="0"/>
              <w:jc w:val="right"/>
              <w:rPr>
                <w:rFonts w:cs="Arial"/>
                <w:color w:val="000000"/>
                <w:szCs w:val="16"/>
              </w:rPr>
            </w:pPr>
            <w:r w:rsidRPr="00A46ADC">
              <w:t>0.2</w:t>
            </w:r>
          </w:p>
        </w:tc>
        <w:tc>
          <w:tcPr>
            <w:tcW w:w="446" w:type="pct"/>
            <w:noWrap/>
            <w:hideMark/>
          </w:tcPr>
          <w:p w14:paraId="5AD49B04" w14:textId="77777777" w:rsidR="00DE4516" w:rsidRPr="00A46ADC" w:rsidRDefault="00DE4516" w:rsidP="00DE4516">
            <w:pPr>
              <w:pStyle w:val="TableBody"/>
              <w:autoSpaceDE w:val="0"/>
              <w:autoSpaceDN w:val="0"/>
              <w:adjustRightInd w:val="0"/>
              <w:jc w:val="right"/>
              <w:rPr>
                <w:rFonts w:cs="Arial"/>
                <w:color w:val="000000"/>
                <w:szCs w:val="16"/>
              </w:rPr>
            </w:pPr>
            <w:r w:rsidRPr="00A46ADC">
              <w:t>0.2</w:t>
            </w:r>
          </w:p>
        </w:tc>
        <w:tc>
          <w:tcPr>
            <w:tcW w:w="446" w:type="pct"/>
            <w:noWrap/>
            <w:hideMark/>
          </w:tcPr>
          <w:p w14:paraId="294BC331" w14:textId="77777777" w:rsidR="00DE4516" w:rsidRPr="00A46ADC" w:rsidRDefault="00DE4516" w:rsidP="00DE4516">
            <w:pPr>
              <w:pStyle w:val="TableBody"/>
              <w:autoSpaceDE w:val="0"/>
              <w:autoSpaceDN w:val="0"/>
              <w:adjustRightInd w:val="0"/>
              <w:jc w:val="right"/>
              <w:rPr>
                <w:rFonts w:cs="Arial"/>
                <w:color w:val="000000"/>
                <w:szCs w:val="16"/>
              </w:rPr>
            </w:pPr>
            <w:r w:rsidRPr="00A46ADC">
              <w:t>0.1</w:t>
            </w:r>
          </w:p>
        </w:tc>
        <w:tc>
          <w:tcPr>
            <w:tcW w:w="446" w:type="pct"/>
            <w:noWrap/>
            <w:hideMark/>
          </w:tcPr>
          <w:p w14:paraId="5A8C075D" w14:textId="77777777" w:rsidR="00DE4516" w:rsidRPr="00A46ADC" w:rsidRDefault="00DE4516" w:rsidP="00DE4516">
            <w:pPr>
              <w:pStyle w:val="TableBody"/>
              <w:autoSpaceDE w:val="0"/>
              <w:autoSpaceDN w:val="0"/>
              <w:adjustRightInd w:val="0"/>
              <w:jc w:val="right"/>
              <w:rPr>
                <w:rFonts w:cs="Arial"/>
                <w:color w:val="000000"/>
                <w:szCs w:val="16"/>
              </w:rPr>
            </w:pPr>
            <w:r w:rsidRPr="00A46ADC">
              <w:t>0.3</w:t>
            </w:r>
          </w:p>
        </w:tc>
        <w:tc>
          <w:tcPr>
            <w:tcW w:w="446" w:type="pct"/>
            <w:noWrap/>
            <w:hideMark/>
          </w:tcPr>
          <w:p w14:paraId="49036F73" w14:textId="77777777" w:rsidR="00DE4516" w:rsidRPr="00A46ADC" w:rsidRDefault="00DE4516" w:rsidP="00DE4516">
            <w:pPr>
              <w:pStyle w:val="TableBody"/>
              <w:autoSpaceDE w:val="0"/>
              <w:autoSpaceDN w:val="0"/>
              <w:adjustRightInd w:val="0"/>
              <w:jc w:val="right"/>
              <w:rPr>
                <w:rFonts w:cs="Arial"/>
                <w:color w:val="000000"/>
                <w:szCs w:val="16"/>
              </w:rPr>
            </w:pPr>
            <w:r w:rsidRPr="00A46ADC">
              <w:t>0.5</w:t>
            </w:r>
          </w:p>
        </w:tc>
        <w:tc>
          <w:tcPr>
            <w:tcW w:w="446" w:type="pct"/>
            <w:noWrap/>
            <w:hideMark/>
          </w:tcPr>
          <w:p w14:paraId="23D76180" w14:textId="77777777" w:rsidR="00DE4516" w:rsidRPr="00A46ADC" w:rsidRDefault="00DE4516" w:rsidP="00DE4516">
            <w:pPr>
              <w:pStyle w:val="TableBody"/>
              <w:autoSpaceDE w:val="0"/>
              <w:autoSpaceDN w:val="0"/>
              <w:adjustRightInd w:val="0"/>
              <w:jc w:val="right"/>
              <w:rPr>
                <w:rFonts w:cs="Arial"/>
                <w:color w:val="000000"/>
                <w:szCs w:val="16"/>
              </w:rPr>
            </w:pPr>
            <w:r w:rsidRPr="00A46ADC">
              <w:t>0.5</w:t>
            </w:r>
          </w:p>
        </w:tc>
        <w:tc>
          <w:tcPr>
            <w:tcW w:w="446" w:type="pct"/>
            <w:noWrap/>
            <w:hideMark/>
          </w:tcPr>
          <w:p w14:paraId="18C4335C" w14:textId="77777777" w:rsidR="00DE4516" w:rsidRPr="00A46ADC" w:rsidRDefault="00DE4516" w:rsidP="00DE4516">
            <w:pPr>
              <w:pStyle w:val="TableBody"/>
              <w:autoSpaceDE w:val="0"/>
              <w:autoSpaceDN w:val="0"/>
              <w:adjustRightInd w:val="0"/>
              <w:jc w:val="right"/>
              <w:rPr>
                <w:rFonts w:cs="Arial"/>
                <w:color w:val="000000"/>
                <w:szCs w:val="16"/>
              </w:rPr>
            </w:pPr>
            <w:r w:rsidRPr="00A46ADC">
              <w:t>0.7</w:t>
            </w:r>
          </w:p>
        </w:tc>
      </w:tr>
      <w:tr w:rsidR="00DE4516" w:rsidRPr="00045A4A" w14:paraId="6F79DF0B" w14:textId="77777777" w:rsidTr="002F793E">
        <w:trPr>
          <w:cantSplit/>
        </w:trPr>
        <w:tc>
          <w:tcPr>
            <w:tcW w:w="1880" w:type="pct"/>
            <w:noWrap/>
            <w:hideMark/>
          </w:tcPr>
          <w:p w14:paraId="3C05F36D" w14:textId="77777777" w:rsidR="00DE4516" w:rsidRPr="00A46ADC" w:rsidRDefault="00DE4516" w:rsidP="00DE4516">
            <w:pPr>
              <w:pStyle w:val="TableBody"/>
              <w:autoSpaceDE w:val="0"/>
              <w:autoSpaceDN w:val="0"/>
              <w:adjustRightInd w:val="0"/>
              <w:jc w:val="both"/>
              <w:rPr>
                <w:rFonts w:cs="Arial"/>
                <w:b/>
                <w:bCs/>
                <w:color w:val="000000"/>
                <w:szCs w:val="16"/>
              </w:rPr>
            </w:pPr>
            <w:proofErr w:type="spellStart"/>
            <w:r w:rsidRPr="00A46ADC">
              <w:rPr>
                <w:b/>
              </w:rPr>
              <w:t>CIS</w:t>
            </w:r>
            <w:r w:rsidRPr="00A46ADC">
              <w:rPr>
                <w:b/>
                <w:vertAlign w:val="superscript"/>
              </w:rPr>
              <w:t>a</w:t>
            </w:r>
            <w:proofErr w:type="spellEnd"/>
          </w:p>
        </w:tc>
        <w:tc>
          <w:tcPr>
            <w:tcW w:w="446" w:type="pct"/>
            <w:noWrap/>
            <w:hideMark/>
          </w:tcPr>
          <w:p w14:paraId="4B585DA3"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0.0</w:t>
            </w:r>
          </w:p>
        </w:tc>
        <w:tc>
          <w:tcPr>
            <w:tcW w:w="446" w:type="pct"/>
            <w:noWrap/>
            <w:hideMark/>
          </w:tcPr>
          <w:p w14:paraId="180D032B"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0.0</w:t>
            </w:r>
          </w:p>
        </w:tc>
        <w:tc>
          <w:tcPr>
            <w:tcW w:w="446" w:type="pct"/>
            <w:noWrap/>
            <w:hideMark/>
          </w:tcPr>
          <w:p w14:paraId="463F5100"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0.0</w:t>
            </w:r>
          </w:p>
        </w:tc>
        <w:tc>
          <w:tcPr>
            <w:tcW w:w="446" w:type="pct"/>
            <w:noWrap/>
            <w:hideMark/>
          </w:tcPr>
          <w:p w14:paraId="061358AD"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0.0</w:t>
            </w:r>
          </w:p>
        </w:tc>
        <w:tc>
          <w:tcPr>
            <w:tcW w:w="446" w:type="pct"/>
            <w:noWrap/>
            <w:hideMark/>
          </w:tcPr>
          <w:p w14:paraId="2F3D9900"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0.0</w:t>
            </w:r>
          </w:p>
        </w:tc>
        <w:tc>
          <w:tcPr>
            <w:tcW w:w="446" w:type="pct"/>
            <w:noWrap/>
            <w:hideMark/>
          </w:tcPr>
          <w:p w14:paraId="692358A8"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0.0</w:t>
            </w:r>
          </w:p>
        </w:tc>
        <w:tc>
          <w:tcPr>
            <w:tcW w:w="446" w:type="pct"/>
            <w:noWrap/>
            <w:hideMark/>
          </w:tcPr>
          <w:p w14:paraId="0C0D2610"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0.0</w:t>
            </w:r>
          </w:p>
        </w:tc>
      </w:tr>
      <w:tr w:rsidR="00DE4516" w:rsidRPr="00045A4A" w14:paraId="6B2E8879"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316EA1C8" w14:textId="77777777" w:rsidR="00DE4516" w:rsidRPr="00A46ADC" w:rsidRDefault="00DE4516" w:rsidP="00DE4516">
            <w:pPr>
              <w:pStyle w:val="TableBody"/>
              <w:autoSpaceDE w:val="0"/>
              <w:autoSpaceDN w:val="0"/>
              <w:adjustRightInd w:val="0"/>
              <w:jc w:val="both"/>
              <w:rPr>
                <w:rFonts w:cs="Arial"/>
                <w:b/>
                <w:bCs/>
                <w:color w:val="000000"/>
                <w:szCs w:val="16"/>
              </w:rPr>
            </w:pPr>
            <w:r w:rsidRPr="00A46ADC">
              <w:rPr>
                <w:b/>
              </w:rPr>
              <w:t>Africa</w:t>
            </w:r>
          </w:p>
        </w:tc>
        <w:tc>
          <w:tcPr>
            <w:tcW w:w="446" w:type="pct"/>
            <w:noWrap/>
            <w:hideMark/>
          </w:tcPr>
          <w:p w14:paraId="7C414800"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3.2</w:t>
            </w:r>
          </w:p>
        </w:tc>
        <w:tc>
          <w:tcPr>
            <w:tcW w:w="446" w:type="pct"/>
            <w:noWrap/>
            <w:hideMark/>
          </w:tcPr>
          <w:p w14:paraId="6F7419BD"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3.0</w:t>
            </w:r>
          </w:p>
        </w:tc>
        <w:tc>
          <w:tcPr>
            <w:tcW w:w="446" w:type="pct"/>
            <w:noWrap/>
            <w:hideMark/>
          </w:tcPr>
          <w:p w14:paraId="540C5DAC"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3.3</w:t>
            </w:r>
          </w:p>
        </w:tc>
        <w:tc>
          <w:tcPr>
            <w:tcW w:w="446" w:type="pct"/>
            <w:noWrap/>
            <w:hideMark/>
          </w:tcPr>
          <w:p w14:paraId="79726C9E"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3.5</w:t>
            </w:r>
          </w:p>
        </w:tc>
        <w:tc>
          <w:tcPr>
            <w:tcW w:w="446" w:type="pct"/>
            <w:noWrap/>
            <w:hideMark/>
          </w:tcPr>
          <w:p w14:paraId="35BDE123"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2.2</w:t>
            </w:r>
          </w:p>
        </w:tc>
        <w:tc>
          <w:tcPr>
            <w:tcW w:w="446" w:type="pct"/>
            <w:noWrap/>
            <w:hideMark/>
          </w:tcPr>
          <w:p w14:paraId="5072B961"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1.9</w:t>
            </w:r>
          </w:p>
        </w:tc>
        <w:tc>
          <w:tcPr>
            <w:tcW w:w="446" w:type="pct"/>
            <w:noWrap/>
            <w:hideMark/>
          </w:tcPr>
          <w:p w14:paraId="5C3EAAE2"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2.6</w:t>
            </w:r>
          </w:p>
        </w:tc>
      </w:tr>
      <w:tr w:rsidR="00DE4516" w:rsidRPr="00045A4A" w14:paraId="1EF7ABE3" w14:textId="77777777" w:rsidTr="002F793E">
        <w:trPr>
          <w:cantSplit/>
        </w:trPr>
        <w:tc>
          <w:tcPr>
            <w:tcW w:w="1880" w:type="pct"/>
            <w:noWrap/>
            <w:hideMark/>
          </w:tcPr>
          <w:p w14:paraId="73368B21" w14:textId="77777777" w:rsidR="00DE4516" w:rsidRPr="00A46ADC" w:rsidRDefault="00DE4516" w:rsidP="00DE4516">
            <w:pPr>
              <w:pStyle w:val="TableBody"/>
              <w:autoSpaceDE w:val="0"/>
              <w:autoSpaceDN w:val="0"/>
              <w:adjustRightInd w:val="0"/>
              <w:jc w:val="both"/>
              <w:rPr>
                <w:rFonts w:cs="Arial"/>
                <w:color w:val="000000"/>
                <w:szCs w:val="16"/>
              </w:rPr>
            </w:pPr>
            <w:r w:rsidRPr="00A46ADC">
              <w:t>Somalia</w:t>
            </w:r>
          </w:p>
        </w:tc>
        <w:tc>
          <w:tcPr>
            <w:tcW w:w="446" w:type="pct"/>
            <w:noWrap/>
            <w:hideMark/>
          </w:tcPr>
          <w:p w14:paraId="0E8476E3" w14:textId="77777777" w:rsidR="00DE4516" w:rsidRPr="00A46ADC" w:rsidRDefault="00DE4516" w:rsidP="00DE4516">
            <w:pPr>
              <w:pStyle w:val="TableBody"/>
              <w:autoSpaceDE w:val="0"/>
              <w:autoSpaceDN w:val="0"/>
              <w:adjustRightInd w:val="0"/>
              <w:jc w:val="right"/>
              <w:rPr>
                <w:rFonts w:cs="Arial"/>
                <w:color w:val="000000"/>
                <w:szCs w:val="16"/>
              </w:rPr>
            </w:pPr>
            <w:r w:rsidRPr="00A46ADC">
              <w:t>0.4</w:t>
            </w:r>
          </w:p>
        </w:tc>
        <w:tc>
          <w:tcPr>
            <w:tcW w:w="446" w:type="pct"/>
            <w:noWrap/>
            <w:hideMark/>
          </w:tcPr>
          <w:p w14:paraId="0AD1ACB9" w14:textId="77777777" w:rsidR="00DE4516" w:rsidRPr="00A46ADC" w:rsidRDefault="00DE4516" w:rsidP="00DE4516">
            <w:pPr>
              <w:pStyle w:val="TableBody"/>
              <w:autoSpaceDE w:val="0"/>
              <w:autoSpaceDN w:val="0"/>
              <w:adjustRightInd w:val="0"/>
              <w:jc w:val="right"/>
              <w:rPr>
                <w:rFonts w:cs="Arial"/>
                <w:color w:val="000000"/>
                <w:szCs w:val="16"/>
              </w:rPr>
            </w:pPr>
            <w:r w:rsidRPr="00A46ADC">
              <w:t>0.5</w:t>
            </w:r>
          </w:p>
        </w:tc>
        <w:tc>
          <w:tcPr>
            <w:tcW w:w="446" w:type="pct"/>
            <w:noWrap/>
            <w:hideMark/>
          </w:tcPr>
          <w:p w14:paraId="28DBE8E9" w14:textId="77777777" w:rsidR="00DE4516" w:rsidRPr="00A46ADC" w:rsidRDefault="00DE4516" w:rsidP="00DE4516">
            <w:pPr>
              <w:pStyle w:val="TableBody"/>
              <w:autoSpaceDE w:val="0"/>
              <w:autoSpaceDN w:val="0"/>
              <w:adjustRightInd w:val="0"/>
              <w:jc w:val="right"/>
              <w:rPr>
                <w:rFonts w:cs="Arial"/>
                <w:color w:val="000000"/>
                <w:szCs w:val="16"/>
              </w:rPr>
            </w:pPr>
            <w:r w:rsidRPr="00A46ADC">
              <w:t>0.6</w:t>
            </w:r>
          </w:p>
        </w:tc>
        <w:tc>
          <w:tcPr>
            <w:tcW w:w="446" w:type="pct"/>
            <w:noWrap/>
            <w:hideMark/>
          </w:tcPr>
          <w:p w14:paraId="1782F2DC" w14:textId="77777777" w:rsidR="00DE4516" w:rsidRPr="00A46ADC" w:rsidRDefault="00DE4516" w:rsidP="00DE4516">
            <w:pPr>
              <w:pStyle w:val="TableBody"/>
              <w:autoSpaceDE w:val="0"/>
              <w:autoSpaceDN w:val="0"/>
              <w:adjustRightInd w:val="0"/>
              <w:jc w:val="right"/>
              <w:rPr>
                <w:rFonts w:cs="Arial"/>
                <w:color w:val="000000"/>
                <w:szCs w:val="16"/>
              </w:rPr>
            </w:pPr>
            <w:r w:rsidRPr="00A46ADC">
              <w:t>0.9</w:t>
            </w:r>
          </w:p>
        </w:tc>
        <w:tc>
          <w:tcPr>
            <w:tcW w:w="446" w:type="pct"/>
            <w:noWrap/>
            <w:hideMark/>
          </w:tcPr>
          <w:p w14:paraId="15ABAEF3" w14:textId="77777777" w:rsidR="00DE4516" w:rsidRPr="00A46ADC" w:rsidRDefault="00DE4516" w:rsidP="00DE4516">
            <w:pPr>
              <w:pStyle w:val="TableBody"/>
              <w:autoSpaceDE w:val="0"/>
              <w:autoSpaceDN w:val="0"/>
              <w:adjustRightInd w:val="0"/>
              <w:jc w:val="right"/>
              <w:rPr>
                <w:rFonts w:cs="Arial"/>
                <w:color w:val="000000"/>
                <w:szCs w:val="16"/>
              </w:rPr>
            </w:pPr>
            <w:r w:rsidRPr="00A46ADC">
              <w:t>0.5</w:t>
            </w:r>
          </w:p>
        </w:tc>
        <w:tc>
          <w:tcPr>
            <w:tcW w:w="446" w:type="pct"/>
            <w:noWrap/>
            <w:hideMark/>
          </w:tcPr>
          <w:p w14:paraId="76636FA0" w14:textId="77777777" w:rsidR="00DE4516" w:rsidRPr="00A46ADC" w:rsidRDefault="00DE4516" w:rsidP="00DE4516">
            <w:pPr>
              <w:pStyle w:val="TableBody"/>
              <w:autoSpaceDE w:val="0"/>
              <w:autoSpaceDN w:val="0"/>
              <w:adjustRightInd w:val="0"/>
              <w:jc w:val="right"/>
              <w:rPr>
                <w:rFonts w:cs="Arial"/>
                <w:color w:val="000000"/>
                <w:szCs w:val="16"/>
              </w:rPr>
            </w:pPr>
            <w:r w:rsidRPr="00A46ADC">
              <w:t>0.6</w:t>
            </w:r>
          </w:p>
        </w:tc>
        <w:tc>
          <w:tcPr>
            <w:tcW w:w="446" w:type="pct"/>
            <w:noWrap/>
            <w:hideMark/>
          </w:tcPr>
          <w:p w14:paraId="5FBE34AD" w14:textId="77777777" w:rsidR="00DE4516" w:rsidRPr="00A46ADC" w:rsidRDefault="00DE4516" w:rsidP="00DE4516">
            <w:pPr>
              <w:pStyle w:val="TableBody"/>
              <w:autoSpaceDE w:val="0"/>
              <w:autoSpaceDN w:val="0"/>
              <w:adjustRightInd w:val="0"/>
              <w:jc w:val="right"/>
              <w:rPr>
                <w:rFonts w:cs="Arial"/>
                <w:color w:val="000000"/>
                <w:szCs w:val="16"/>
              </w:rPr>
            </w:pPr>
            <w:r w:rsidRPr="00A46ADC">
              <w:t>0.8</w:t>
            </w:r>
          </w:p>
        </w:tc>
      </w:tr>
      <w:tr w:rsidR="00DE4516" w:rsidRPr="00045A4A" w14:paraId="21B1F439"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1E89F18B" w14:textId="77777777" w:rsidR="00DE4516" w:rsidRPr="00A46ADC" w:rsidRDefault="00DE4516" w:rsidP="00DE4516">
            <w:pPr>
              <w:pStyle w:val="TableBody"/>
              <w:autoSpaceDE w:val="0"/>
              <w:autoSpaceDN w:val="0"/>
              <w:adjustRightInd w:val="0"/>
              <w:jc w:val="both"/>
              <w:rPr>
                <w:rFonts w:cs="Arial"/>
                <w:color w:val="000000"/>
                <w:szCs w:val="16"/>
              </w:rPr>
            </w:pPr>
            <w:r w:rsidRPr="00A46ADC">
              <w:t>Egypt</w:t>
            </w:r>
          </w:p>
        </w:tc>
        <w:tc>
          <w:tcPr>
            <w:tcW w:w="446" w:type="pct"/>
            <w:noWrap/>
            <w:hideMark/>
          </w:tcPr>
          <w:p w14:paraId="2D041F50" w14:textId="77777777" w:rsidR="00DE4516" w:rsidRPr="00A46ADC" w:rsidRDefault="00DE4516" w:rsidP="00DE4516">
            <w:pPr>
              <w:pStyle w:val="TableBody"/>
              <w:autoSpaceDE w:val="0"/>
              <w:autoSpaceDN w:val="0"/>
              <w:adjustRightInd w:val="0"/>
              <w:jc w:val="right"/>
              <w:rPr>
                <w:rFonts w:cs="Arial"/>
                <w:color w:val="000000"/>
                <w:szCs w:val="16"/>
              </w:rPr>
            </w:pPr>
            <w:r w:rsidRPr="00A46ADC">
              <w:t>0.4</w:t>
            </w:r>
          </w:p>
        </w:tc>
        <w:tc>
          <w:tcPr>
            <w:tcW w:w="446" w:type="pct"/>
            <w:noWrap/>
            <w:hideMark/>
          </w:tcPr>
          <w:p w14:paraId="12321449" w14:textId="77777777" w:rsidR="00DE4516" w:rsidRPr="00A46ADC" w:rsidRDefault="00DE4516" w:rsidP="00DE4516">
            <w:pPr>
              <w:pStyle w:val="TableBody"/>
              <w:autoSpaceDE w:val="0"/>
              <w:autoSpaceDN w:val="0"/>
              <w:adjustRightInd w:val="0"/>
              <w:jc w:val="right"/>
              <w:rPr>
                <w:rFonts w:cs="Arial"/>
                <w:color w:val="000000"/>
                <w:szCs w:val="16"/>
              </w:rPr>
            </w:pPr>
            <w:r w:rsidRPr="00A46ADC">
              <w:t>0.3</w:t>
            </w:r>
          </w:p>
        </w:tc>
        <w:tc>
          <w:tcPr>
            <w:tcW w:w="446" w:type="pct"/>
            <w:noWrap/>
            <w:hideMark/>
          </w:tcPr>
          <w:p w14:paraId="2640EE4B" w14:textId="77777777" w:rsidR="00DE4516" w:rsidRPr="00A46ADC" w:rsidRDefault="00DE4516" w:rsidP="00DE4516">
            <w:pPr>
              <w:pStyle w:val="TableBody"/>
              <w:autoSpaceDE w:val="0"/>
              <w:autoSpaceDN w:val="0"/>
              <w:adjustRightInd w:val="0"/>
              <w:jc w:val="right"/>
              <w:rPr>
                <w:rFonts w:cs="Arial"/>
                <w:color w:val="000000"/>
                <w:szCs w:val="16"/>
              </w:rPr>
            </w:pPr>
            <w:r w:rsidRPr="00A46ADC">
              <w:t>0.2</w:t>
            </w:r>
          </w:p>
        </w:tc>
        <w:tc>
          <w:tcPr>
            <w:tcW w:w="446" w:type="pct"/>
            <w:noWrap/>
            <w:hideMark/>
          </w:tcPr>
          <w:p w14:paraId="24026872" w14:textId="77777777" w:rsidR="00DE4516" w:rsidRPr="00A46ADC" w:rsidRDefault="00DE4516" w:rsidP="00DE4516">
            <w:pPr>
              <w:pStyle w:val="TableBody"/>
              <w:autoSpaceDE w:val="0"/>
              <w:autoSpaceDN w:val="0"/>
              <w:adjustRightInd w:val="0"/>
              <w:jc w:val="right"/>
              <w:rPr>
                <w:rFonts w:cs="Arial"/>
                <w:color w:val="000000"/>
                <w:szCs w:val="16"/>
              </w:rPr>
            </w:pPr>
            <w:r w:rsidRPr="00A46ADC">
              <w:t>0.3</w:t>
            </w:r>
          </w:p>
        </w:tc>
        <w:tc>
          <w:tcPr>
            <w:tcW w:w="446" w:type="pct"/>
            <w:noWrap/>
            <w:hideMark/>
          </w:tcPr>
          <w:p w14:paraId="0B6DB5E8" w14:textId="77777777" w:rsidR="00DE4516" w:rsidRPr="00A46ADC" w:rsidRDefault="00DE4516" w:rsidP="00DE4516">
            <w:pPr>
              <w:pStyle w:val="TableBody"/>
              <w:autoSpaceDE w:val="0"/>
              <w:autoSpaceDN w:val="0"/>
              <w:adjustRightInd w:val="0"/>
              <w:jc w:val="right"/>
              <w:rPr>
                <w:rFonts w:cs="Arial"/>
                <w:color w:val="000000"/>
                <w:szCs w:val="16"/>
              </w:rPr>
            </w:pPr>
            <w:r w:rsidRPr="00A46ADC">
              <w:t>0.3</w:t>
            </w:r>
          </w:p>
        </w:tc>
        <w:tc>
          <w:tcPr>
            <w:tcW w:w="446" w:type="pct"/>
            <w:noWrap/>
            <w:hideMark/>
          </w:tcPr>
          <w:p w14:paraId="0AE84C9E" w14:textId="77777777" w:rsidR="00DE4516" w:rsidRPr="00A46ADC" w:rsidRDefault="00DE4516" w:rsidP="00DE4516">
            <w:pPr>
              <w:pStyle w:val="TableBody"/>
              <w:autoSpaceDE w:val="0"/>
              <w:autoSpaceDN w:val="0"/>
              <w:adjustRightInd w:val="0"/>
              <w:jc w:val="right"/>
              <w:rPr>
                <w:rFonts w:cs="Arial"/>
                <w:color w:val="000000"/>
                <w:szCs w:val="16"/>
              </w:rPr>
            </w:pPr>
            <w:r w:rsidRPr="00A46ADC">
              <w:t>0.3</w:t>
            </w:r>
          </w:p>
        </w:tc>
        <w:tc>
          <w:tcPr>
            <w:tcW w:w="446" w:type="pct"/>
            <w:noWrap/>
            <w:hideMark/>
          </w:tcPr>
          <w:p w14:paraId="0CCFF9E1" w14:textId="77777777" w:rsidR="00DE4516" w:rsidRPr="00A46ADC" w:rsidRDefault="00DE4516" w:rsidP="00DE4516">
            <w:pPr>
              <w:pStyle w:val="TableBody"/>
              <w:autoSpaceDE w:val="0"/>
              <w:autoSpaceDN w:val="0"/>
              <w:adjustRightInd w:val="0"/>
              <w:jc w:val="right"/>
              <w:rPr>
                <w:rFonts w:cs="Arial"/>
                <w:color w:val="000000"/>
                <w:szCs w:val="16"/>
              </w:rPr>
            </w:pPr>
            <w:r w:rsidRPr="00A46ADC">
              <w:t>0.5</w:t>
            </w:r>
          </w:p>
        </w:tc>
      </w:tr>
      <w:tr w:rsidR="00DE4516" w:rsidRPr="00045A4A" w14:paraId="785AFD5F" w14:textId="77777777" w:rsidTr="002F793E">
        <w:trPr>
          <w:cantSplit/>
        </w:trPr>
        <w:tc>
          <w:tcPr>
            <w:tcW w:w="1880" w:type="pct"/>
            <w:noWrap/>
            <w:hideMark/>
          </w:tcPr>
          <w:p w14:paraId="42F2ED1F" w14:textId="77777777" w:rsidR="00DE4516" w:rsidRPr="00A46ADC" w:rsidRDefault="00DE4516" w:rsidP="00DE4516">
            <w:pPr>
              <w:pStyle w:val="TableBody"/>
              <w:autoSpaceDE w:val="0"/>
              <w:autoSpaceDN w:val="0"/>
              <w:adjustRightInd w:val="0"/>
              <w:jc w:val="both"/>
              <w:rPr>
                <w:rFonts w:cs="Arial"/>
                <w:b/>
                <w:bCs/>
                <w:color w:val="000000"/>
                <w:szCs w:val="16"/>
              </w:rPr>
            </w:pPr>
            <w:r w:rsidRPr="00A46ADC">
              <w:rPr>
                <w:b/>
              </w:rPr>
              <w:t>Middle East</w:t>
            </w:r>
          </w:p>
        </w:tc>
        <w:tc>
          <w:tcPr>
            <w:tcW w:w="446" w:type="pct"/>
            <w:noWrap/>
            <w:hideMark/>
          </w:tcPr>
          <w:p w14:paraId="7C7FA3DC"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17.2</w:t>
            </w:r>
          </w:p>
        </w:tc>
        <w:tc>
          <w:tcPr>
            <w:tcW w:w="446" w:type="pct"/>
            <w:noWrap/>
            <w:hideMark/>
          </w:tcPr>
          <w:p w14:paraId="47BE3AD0"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22.8</w:t>
            </w:r>
          </w:p>
        </w:tc>
        <w:tc>
          <w:tcPr>
            <w:tcW w:w="446" w:type="pct"/>
            <w:noWrap/>
            <w:hideMark/>
          </w:tcPr>
          <w:p w14:paraId="67E31C32"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24.1</w:t>
            </w:r>
          </w:p>
        </w:tc>
        <w:tc>
          <w:tcPr>
            <w:tcW w:w="446" w:type="pct"/>
            <w:noWrap/>
            <w:hideMark/>
          </w:tcPr>
          <w:p w14:paraId="0EBD93D1"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24.8</w:t>
            </w:r>
          </w:p>
        </w:tc>
        <w:tc>
          <w:tcPr>
            <w:tcW w:w="446" w:type="pct"/>
            <w:noWrap/>
            <w:hideMark/>
          </w:tcPr>
          <w:p w14:paraId="19DC70C0"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20.2</w:t>
            </w:r>
          </w:p>
        </w:tc>
        <w:tc>
          <w:tcPr>
            <w:tcW w:w="446" w:type="pct"/>
            <w:noWrap/>
            <w:hideMark/>
          </w:tcPr>
          <w:p w14:paraId="38DE3597"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18.4</w:t>
            </w:r>
          </w:p>
        </w:tc>
        <w:tc>
          <w:tcPr>
            <w:tcW w:w="446" w:type="pct"/>
            <w:noWrap/>
            <w:hideMark/>
          </w:tcPr>
          <w:p w14:paraId="3FBAB267"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24.5</w:t>
            </w:r>
          </w:p>
        </w:tc>
      </w:tr>
      <w:tr w:rsidR="00DE4516" w:rsidRPr="00045A4A" w14:paraId="3E44CD02"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55B70B30" w14:textId="77777777" w:rsidR="00DE4516" w:rsidRPr="00A46ADC" w:rsidRDefault="00DE4516" w:rsidP="00DE4516">
            <w:pPr>
              <w:pStyle w:val="TableBody"/>
              <w:autoSpaceDE w:val="0"/>
              <w:autoSpaceDN w:val="0"/>
              <w:adjustRightInd w:val="0"/>
              <w:jc w:val="both"/>
              <w:rPr>
                <w:rFonts w:cs="Arial"/>
                <w:color w:val="000000"/>
                <w:szCs w:val="16"/>
              </w:rPr>
            </w:pPr>
            <w:r w:rsidRPr="00A46ADC">
              <w:t>United Arab Emirates</w:t>
            </w:r>
          </w:p>
        </w:tc>
        <w:tc>
          <w:tcPr>
            <w:tcW w:w="446" w:type="pct"/>
            <w:noWrap/>
            <w:hideMark/>
          </w:tcPr>
          <w:p w14:paraId="6A351D02" w14:textId="77777777" w:rsidR="00DE4516" w:rsidRPr="00A46ADC" w:rsidRDefault="00DE4516" w:rsidP="00DE4516">
            <w:pPr>
              <w:pStyle w:val="TableBody"/>
              <w:autoSpaceDE w:val="0"/>
              <w:autoSpaceDN w:val="0"/>
              <w:adjustRightInd w:val="0"/>
              <w:jc w:val="right"/>
              <w:rPr>
                <w:rFonts w:cs="Arial"/>
                <w:color w:val="000000"/>
                <w:szCs w:val="16"/>
              </w:rPr>
            </w:pPr>
            <w:r w:rsidRPr="00A46ADC">
              <w:t>10.3</w:t>
            </w:r>
          </w:p>
        </w:tc>
        <w:tc>
          <w:tcPr>
            <w:tcW w:w="446" w:type="pct"/>
            <w:noWrap/>
            <w:hideMark/>
          </w:tcPr>
          <w:p w14:paraId="12A6B723" w14:textId="77777777" w:rsidR="00DE4516" w:rsidRPr="00A46ADC" w:rsidRDefault="00DE4516" w:rsidP="00DE4516">
            <w:pPr>
              <w:pStyle w:val="TableBody"/>
              <w:autoSpaceDE w:val="0"/>
              <w:autoSpaceDN w:val="0"/>
              <w:adjustRightInd w:val="0"/>
              <w:jc w:val="right"/>
              <w:rPr>
                <w:rFonts w:cs="Arial"/>
                <w:color w:val="000000"/>
                <w:szCs w:val="16"/>
              </w:rPr>
            </w:pPr>
            <w:r w:rsidRPr="00A46ADC">
              <w:t>11.9</w:t>
            </w:r>
          </w:p>
        </w:tc>
        <w:tc>
          <w:tcPr>
            <w:tcW w:w="446" w:type="pct"/>
            <w:noWrap/>
            <w:hideMark/>
          </w:tcPr>
          <w:p w14:paraId="20CC724A" w14:textId="77777777" w:rsidR="00DE4516" w:rsidRPr="00A46ADC" w:rsidRDefault="00DE4516" w:rsidP="00DE4516">
            <w:pPr>
              <w:pStyle w:val="TableBody"/>
              <w:autoSpaceDE w:val="0"/>
              <w:autoSpaceDN w:val="0"/>
              <w:adjustRightInd w:val="0"/>
              <w:jc w:val="right"/>
              <w:rPr>
                <w:rFonts w:cs="Arial"/>
                <w:color w:val="000000"/>
                <w:szCs w:val="16"/>
              </w:rPr>
            </w:pPr>
            <w:r w:rsidRPr="00A46ADC">
              <w:t>11.2</w:t>
            </w:r>
          </w:p>
        </w:tc>
        <w:tc>
          <w:tcPr>
            <w:tcW w:w="446" w:type="pct"/>
            <w:noWrap/>
            <w:hideMark/>
          </w:tcPr>
          <w:p w14:paraId="5E4939AD" w14:textId="77777777" w:rsidR="00DE4516" w:rsidRPr="00A46ADC" w:rsidRDefault="00DE4516" w:rsidP="00DE4516">
            <w:pPr>
              <w:pStyle w:val="TableBody"/>
              <w:autoSpaceDE w:val="0"/>
              <w:autoSpaceDN w:val="0"/>
              <w:adjustRightInd w:val="0"/>
              <w:jc w:val="right"/>
              <w:rPr>
                <w:rFonts w:cs="Arial"/>
                <w:color w:val="000000"/>
                <w:szCs w:val="16"/>
              </w:rPr>
            </w:pPr>
            <w:r w:rsidRPr="00A46ADC">
              <w:t>10.8</w:t>
            </w:r>
          </w:p>
        </w:tc>
        <w:tc>
          <w:tcPr>
            <w:tcW w:w="446" w:type="pct"/>
            <w:noWrap/>
            <w:hideMark/>
          </w:tcPr>
          <w:p w14:paraId="3A3695EA" w14:textId="77777777" w:rsidR="00DE4516" w:rsidRPr="00A46ADC" w:rsidRDefault="00DE4516" w:rsidP="00DE4516">
            <w:pPr>
              <w:pStyle w:val="TableBody"/>
              <w:autoSpaceDE w:val="0"/>
              <w:autoSpaceDN w:val="0"/>
              <w:adjustRightInd w:val="0"/>
              <w:jc w:val="right"/>
              <w:rPr>
                <w:rFonts w:cs="Arial"/>
                <w:color w:val="000000"/>
                <w:szCs w:val="16"/>
              </w:rPr>
            </w:pPr>
            <w:r w:rsidRPr="00A46ADC">
              <w:t>7.4</w:t>
            </w:r>
          </w:p>
        </w:tc>
        <w:tc>
          <w:tcPr>
            <w:tcW w:w="446" w:type="pct"/>
            <w:noWrap/>
            <w:hideMark/>
          </w:tcPr>
          <w:p w14:paraId="5B21F358" w14:textId="77777777" w:rsidR="00DE4516" w:rsidRPr="00A46ADC" w:rsidRDefault="00DE4516" w:rsidP="00DE4516">
            <w:pPr>
              <w:pStyle w:val="TableBody"/>
              <w:autoSpaceDE w:val="0"/>
              <w:autoSpaceDN w:val="0"/>
              <w:adjustRightInd w:val="0"/>
              <w:jc w:val="right"/>
              <w:rPr>
                <w:rFonts w:cs="Arial"/>
                <w:color w:val="000000"/>
                <w:szCs w:val="16"/>
              </w:rPr>
            </w:pPr>
            <w:r w:rsidRPr="00A46ADC">
              <w:t>7.1</w:t>
            </w:r>
          </w:p>
        </w:tc>
        <w:tc>
          <w:tcPr>
            <w:tcW w:w="446" w:type="pct"/>
            <w:noWrap/>
            <w:hideMark/>
          </w:tcPr>
          <w:p w14:paraId="40815FCB" w14:textId="77777777" w:rsidR="00DE4516" w:rsidRPr="00A46ADC" w:rsidRDefault="00DE4516" w:rsidP="00DE4516">
            <w:pPr>
              <w:pStyle w:val="TableBody"/>
              <w:autoSpaceDE w:val="0"/>
              <w:autoSpaceDN w:val="0"/>
              <w:adjustRightInd w:val="0"/>
              <w:jc w:val="right"/>
              <w:rPr>
                <w:rFonts w:cs="Arial"/>
                <w:color w:val="000000"/>
                <w:szCs w:val="16"/>
              </w:rPr>
            </w:pPr>
            <w:r w:rsidRPr="00A46ADC">
              <w:t>9.8</w:t>
            </w:r>
          </w:p>
        </w:tc>
      </w:tr>
      <w:tr w:rsidR="00DE4516" w:rsidRPr="00045A4A" w14:paraId="1849BC40" w14:textId="77777777" w:rsidTr="002F793E">
        <w:trPr>
          <w:cantSplit/>
        </w:trPr>
        <w:tc>
          <w:tcPr>
            <w:tcW w:w="1880" w:type="pct"/>
            <w:noWrap/>
            <w:hideMark/>
          </w:tcPr>
          <w:p w14:paraId="70798C88" w14:textId="77777777" w:rsidR="00DE4516" w:rsidRPr="00A46ADC" w:rsidRDefault="00DE4516" w:rsidP="00DE4516">
            <w:pPr>
              <w:pStyle w:val="TableBody"/>
              <w:autoSpaceDE w:val="0"/>
              <w:autoSpaceDN w:val="0"/>
              <w:adjustRightInd w:val="0"/>
              <w:jc w:val="both"/>
              <w:rPr>
                <w:rFonts w:cs="Arial"/>
                <w:color w:val="000000"/>
                <w:szCs w:val="16"/>
              </w:rPr>
            </w:pPr>
            <w:r w:rsidRPr="00A46ADC">
              <w:lastRenderedPageBreak/>
              <w:t>Qatar</w:t>
            </w:r>
          </w:p>
        </w:tc>
        <w:tc>
          <w:tcPr>
            <w:tcW w:w="446" w:type="pct"/>
            <w:noWrap/>
            <w:hideMark/>
          </w:tcPr>
          <w:p w14:paraId="02113033" w14:textId="77777777" w:rsidR="00DE4516" w:rsidRPr="00A46ADC" w:rsidRDefault="00DE4516" w:rsidP="00DE4516">
            <w:pPr>
              <w:pStyle w:val="TableBody"/>
              <w:autoSpaceDE w:val="0"/>
              <w:autoSpaceDN w:val="0"/>
              <w:adjustRightInd w:val="0"/>
              <w:jc w:val="right"/>
              <w:rPr>
                <w:rFonts w:cs="Arial"/>
                <w:color w:val="000000"/>
                <w:szCs w:val="16"/>
              </w:rPr>
            </w:pPr>
            <w:r w:rsidRPr="00A46ADC">
              <w:t>0.6</w:t>
            </w:r>
          </w:p>
        </w:tc>
        <w:tc>
          <w:tcPr>
            <w:tcW w:w="446" w:type="pct"/>
            <w:noWrap/>
            <w:hideMark/>
          </w:tcPr>
          <w:p w14:paraId="6872D27E" w14:textId="77777777" w:rsidR="00DE4516" w:rsidRPr="00A46ADC" w:rsidRDefault="00DE4516" w:rsidP="00DE4516">
            <w:pPr>
              <w:pStyle w:val="TableBody"/>
              <w:autoSpaceDE w:val="0"/>
              <w:autoSpaceDN w:val="0"/>
              <w:adjustRightInd w:val="0"/>
              <w:jc w:val="right"/>
              <w:rPr>
                <w:rFonts w:cs="Arial"/>
                <w:color w:val="000000"/>
                <w:szCs w:val="16"/>
              </w:rPr>
            </w:pPr>
            <w:r w:rsidRPr="00A46ADC">
              <w:t>0.8</w:t>
            </w:r>
          </w:p>
        </w:tc>
        <w:tc>
          <w:tcPr>
            <w:tcW w:w="446" w:type="pct"/>
            <w:noWrap/>
            <w:hideMark/>
          </w:tcPr>
          <w:p w14:paraId="18020DEF" w14:textId="77777777" w:rsidR="00DE4516" w:rsidRPr="00A46ADC" w:rsidRDefault="00DE4516" w:rsidP="00DE4516">
            <w:pPr>
              <w:pStyle w:val="TableBody"/>
              <w:autoSpaceDE w:val="0"/>
              <w:autoSpaceDN w:val="0"/>
              <w:adjustRightInd w:val="0"/>
              <w:jc w:val="right"/>
              <w:rPr>
                <w:rFonts w:cs="Arial"/>
                <w:color w:val="000000"/>
                <w:szCs w:val="16"/>
              </w:rPr>
            </w:pPr>
            <w:r w:rsidRPr="00A46ADC">
              <w:t>0.9</w:t>
            </w:r>
          </w:p>
        </w:tc>
        <w:tc>
          <w:tcPr>
            <w:tcW w:w="446" w:type="pct"/>
            <w:noWrap/>
            <w:hideMark/>
          </w:tcPr>
          <w:p w14:paraId="21DD525B" w14:textId="77777777" w:rsidR="00DE4516" w:rsidRPr="00A46ADC" w:rsidRDefault="00DE4516" w:rsidP="00DE4516">
            <w:pPr>
              <w:pStyle w:val="TableBody"/>
              <w:autoSpaceDE w:val="0"/>
              <w:autoSpaceDN w:val="0"/>
              <w:adjustRightInd w:val="0"/>
              <w:jc w:val="right"/>
              <w:rPr>
                <w:rFonts w:cs="Arial"/>
                <w:color w:val="000000"/>
                <w:szCs w:val="16"/>
              </w:rPr>
            </w:pPr>
            <w:r w:rsidRPr="00A46ADC">
              <w:t>4.2</w:t>
            </w:r>
          </w:p>
        </w:tc>
        <w:tc>
          <w:tcPr>
            <w:tcW w:w="446" w:type="pct"/>
            <w:noWrap/>
            <w:hideMark/>
          </w:tcPr>
          <w:p w14:paraId="42AD404E" w14:textId="77777777" w:rsidR="00DE4516" w:rsidRPr="00A46ADC" w:rsidRDefault="00DE4516" w:rsidP="00DE4516">
            <w:pPr>
              <w:pStyle w:val="TableBody"/>
              <w:autoSpaceDE w:val="0"/>
              <w:autoSpaceDN w:val="0"/>
              <w:adjustRightInd w:val="0"/>
              <w:jc w:val="right"/>
              <w:rPr>
                <w:rFonts w:cs="Arial"/>
                <w:color w:val="000000"/>
                <w:szCs w:val="16"/>
              </w:rPr>
            </w:pPr>
            <w:r w:rsidRPr="00A46ADC">
              <w:t>4.3</w:t>
            </w:r>
          </w:p>
        </w:tc>
        <w:tc>
          <w:tcPr>
            <w:tcW w:w="446" w:type="pct"/>
            <w:noWrap/>
            <w:hideMark/>
          </w:tcPr>
          <w:p w14:paraId="0B88C29C" w14:textId="77777777" w:rsidR="00DE4516" w:rsidRPr="00A46ADC" w:rsidRDefault="00DE4516" w:rsidP="00DE4516">
            <w:pPr>
              <w:pStyle w:val="TableBody"/>
              <w:autoSpaceDE w:val="0"/>
              <w:autoSpaceDN w:val="0"/>
              <w:adjustRightInd w:val="0"/>
              <w:jc w:val="right"/>
              <w:rPr>
                <w:rFonts w:cs="Arial"/>
                <w:color w:val="000000"/>
                <w:szCs w:val="16"/>
              </w:rPr>
            </w:pPr>
            <w:r w:rsidRPr="00A46ADC">
              <w:t>3.6</w:t>
            </w:r>
          </w:p>
        </w:tc>
        <w:tc>
          <w:tcPr>
            <w:tcW w:w="446" w:type="pct"/>
            <w:noWrap/>
            <w:hideMark/>
          </w:tcPr>
          <w:p w14:paraId="189E9F16" w14:textId="77777777" w:rsidR="00DE4516" w:rsidRPr="00A46ADC" w:rsidRDefault="00DE4516" w:rsidP="00DE4516">
            <w:pPr>
              <w:pStyle w:val="TableBody"/>
              <w:autoSpaceDE w:val="0"/>
              <w:autoSpaceDN w:val="0"/>
              <w:adjustRightInd w:val="0"/>
              <w:jc w:val="right"/>
              <w:rPr>
                <w:rFonts w:cs="Arial"/>
                <w:color w:val="000000"/>
                <w:szCs w:val="16"/>
              </w:rPr>
            </w:pPr>
            <w:r w:rsidRPr="00A46ADC">
              <w:t>6.6</w:t>
            </w:r>
          </w:p>
        </w:tc>
      </w:tr>
      <w:tr w:rsidR="00DE4516" w:rsidRPr="00045A4A" w14:paraId="227E3DD0"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5FC7B1FF" w14:textId="77777777" w:rsidR="00DE4516" w:rsidRPr="00A46ADC" w:rsidRDefault="00DE4516" w:rsidP="00DE4516">
            <w:pPr>
              <w:pStyle w:val="TableBody"/>
              <w:autoSpaceDE w:val="0"/>
              <w:autoSpaceDN w:val="0"/>
              <w:adjustRightInd w:val="0"/>
              <w:jc w:val="both"/>
              <w:rPr>
                <w:rFonts w:cs="Arial"/>
                <w:color w:val="000000"/>
                <w:szCs w:val="16"/>
              </w:rPr>
            </w:pPr>
            <w:r w:rsidRPr="00A46ADC">
              <w:t>Saudi Arabia, Kingdom of</w:t>
            </w:r>
          </w:p>
        </w:tc>
        <w:tc>
          <w:tcPr>
            <w:tcW w:w="446" w:type="pct"/>
            <w:noWrap/>
            <w:hideMark/>
          </w:tcPr>
          <w:p w14:paraId="0B04802C" w14:textId="77777777" w:rsidR="00DE4516" w:rsidRPr="00A46ADC" w:rsidRDefault="00DE4516" w:rsidP="00DE4516">
            <w:pPr>
              <w:pStyle w:val="TableBody"/>
              <w:autoSpaceDE w:val="0"/>
              <w:autoSpaceDN w:val="0"/>
              <w:adjustRightInd w:val="0"/>
              <w:jc w:val="right"/>
              <w:rPr>
                <w:rFonts w:cs="Arial"/>
                <w:color w:val="000000"/>
                <w:szCs w:val="16"/>
              </w:rPr>
            </w:pPr>
            <w:r w:rsidRPr="00A46ADC">
              <w:t>3.9</w:t>
            </w:r>
          </w:p>
        </w:tc>
        <w:tc>
          <w:tcPr>
            <w:tcW w:w="446" w:type="pct"/>
            <w:noWrap/>
            <w:hideMark/>
          </w:tcPr>
          <w:p w14:paraId="46B5C71D" w14:textId="77777777" w:rsidR="00DE4516" w:rsidRPr="00A46ADC" w:rsidRDefault="00DE4516" w:rsidP="00DE4516">
            <w:pPr>
              <w:pStyle w:val="TableBody"/>
              <w:autoSpaceDE w:val="0"/>
              <w:autoSpaceDN w:val="0"/>
              <w:adjustRightInd w:val="0"/>
              <w:jc w:val="right"/>
              <w:rPr>
                <w:rFonts w:cs="Arial"/>
                <w:color w:val="000000"/>
                <w:szCs w:val="16"/>
              </w:rPr>
            </w:pPr>
            <w:r w:rsidRPr="00A46ADC">
              <w:t>5.1</w:t>
            </w:r>
          </w:p>
        </w:tc>
        <w:tc>
          <w:tcPr>
            <w:tcW w:w="446" w:type="pct"/>
            <w:noWrap/>
            <w:hideMark/>
          </w:tcPr>
          <w:p w14:paraId="46A4870A" w14:textId="77777777" w:rsidR="00DE4516" w:rsidRPr="00A46ADC" w:rsidRDefault="00DE4516" w:rsidP="00DE4516">
            <w:pPr>
              <w:pStyle w:val="TableBody"/>
              <w:autoSpaceDE w:val="0"/>
              <w:autoSpaceDN w:val="0"/>
              <w:adjustRightInd w:val="0"/>
              <w:jc w:val="right"/>
              <w:rPr>
                <w:rFonts w:cs="Arial"/>
                <w:color w:val="000000"/>
                <w:szCs w:val="16"/>
              </w:rPr>
            </w:pPr>
            <w:r w:rsidRPr="00A46ADC">
              <w:t>3.9</w:t>
            </w:r>
          </w:p>
        </w:tc>
        <w:tc>
          <w:tcPr>
            <w:tcW w:w="446" w:type="pct"/>
            <w:noWrap/>
            <w:hideMark/>
          </w:tcPr>
          <w:p w14:paraId="30DD6CDD" w14:textId="77777777" w:rsidR="00DE4516" w:rsidRPr="00A46ADC" w:rsidRDefault="00DE4516" w:rsidP="00DE4516">
            <w:pPr>
              <w:pStyle w:val="TableBody"/>
              <w:autoSpaceDE w:val="0"/>
              <w:autoSpaceDN w:val="0"/>
              <w:adjustRightInd w:val="0"/>
              <w:jc w:val="right"/>
              <w:rPr>
                <w:rFonts w:cs="Arial"/>
                <w:color w:val="000000"/>
                <w:szCs w:val="16"/>
              </w:rPr>
            </w:pPr>
            <w:r w:rsidRPr="00A46ADC">
              <w:t>4.0</w:t>
            </w:r>
          </w:p>
        </w:tc>
        <w:tc>
          <w:tcPr>
            <w:tcW w:w="446" w:type="pct"/>
            <w:noWrap/>
            <w:hideMark/>
          </w:tcPr>
          <w:p w14:paraId="39A63925" w14:textId="77777777" w:rsidR="00DE4516" w:rsidRPr="00A46ADC" w:rsidRDefault="00DE4516" w:rsidP="00DE4516">
            <w:pPr>
              <w:pStyle w:val="TableBody"/>
              <w:autoSpaceDE w:val="0"/>
              <w:autoSpaceDN w:val="0"/>
              <w:adjustRightInd w:val="0"/>
              <w:jc w:val="right"/>
              <w:rPr>
                <w:rFonts w:cs="Arial"/>
                <w:color w:val="000000"/>
                <w:szCs w:val="16"/>
              </w:rPr>
            </w:pPr>
            <w:r w:rsidRPr="00A46ADC">
              <w:t>4.0</w:t>
            </w:r>
          </w:p>
        </w:tc>
        <w:tc>
          <w:tcPr>
            <w:tcW w:w="446" w:type="pct"/>
            <w:noWrap/>
            <w:hideMark/>
          </w:tcPr>
          <w:p w14:paraId="38EB18A2" w14:textId="77777777" w:rsidR="00DE4516" w:rsidRPr="00A46ADC" w:rsidRDefault="00DE4516" w:rsidP="00DE4516">
            <w:pPr>
              <w:pStyle w:val="TableBody"/>
              <w:autoSpaceDE w:val="0"/>
              <w:autoSpaceDN w:val="0"/>
              <w:adjustRightInd w:val="0"/>
              <w:jc w:val="right"/>
              <w:rPr>
                <w:rFonts w:cs="Arial"/>
                <w:color w:val="000000"/>
                <w:szCs w:val="16"/>
              </w:rPr>
            </w:pPr>
            <w:r w:rsidRPr="00A46ADC">
              <w:t>4.1</w:t>
            </w:r>
          </w:p>
        </w:tc>
        <w:tc>
          <w:tcPr>
            <w:tcW w:w="446" w:type="pct"/>
            <w:noWrap/>
            <w:hideMark/>
          </w:tcPr>
          <w:p w14:paraId="2E1CD0AD" w14:textId="77777777" w:rsidR="00DE4516" w:rsidRPr="00A46ADC" w:rsidRDefault="00DE4516" w:rsidP="00DE4516">
            <w:pPr>
              <w:pStyle w:val="TableBody"/>
              <w:autoSpaceDE w:val="0"/>
              <w:autoSpaceDN w:val="0"/>
              <w:adjustRightInd w:val="0"/>
              <w:jc w:val="right"/>
              <w:rPr>
                <w:rFonts w:cs="Arial"/>
                <w:color w:val="000000"/>
                <w:szCs w:val="16"/>
              </w:rPr>
            </w:pPr>
            <w:r w:rsidRPr="00A46ADC">
              <w:t>4.7</w:t>
            </w:r>
          </w:p>
        </w:tc>
      </w:tr>
      <w:tr w:rsidR="00DE4516" w:rsidRPr="00045A4A" w14:paraId="75C9FAC6" w14:textId="77777777" w:rsidTr="002F793E">
        <w:trPr>
          <w:cantSplit/>
        </w:trPr>
        <w:tc>
          <w:tcPr>
            <w:tcW w:w="1880" w:type="pct"/>
            <w:noWrap/>
            <w:hideMark/>
          </w:tcPr>
          <w:p w14:paraId="60161A8B" w14:textId="77777777" w:rsidR="00DE4516" w:rsidRPr="00A46ADC" w:rsidRDefault="00DE4516" w:rsidP="00DE4516">
            <w:pPr>
              <w:pStyle w:val="TableBody"/>
              <w:autoSpaceDE w:val="0"/>
              <w:autoSpaceDN w:val="0"/>
              <w:adjustRightInd w:val="0"/>
              <w:jc w:val="both"/>
              <w:rPr>
                <w:rFonts w:cs="Arial"/>
                <w:color w:val="000000"/>
                <w:szCs w:val="16"/>
              </w:rPr>
            </w:pPr>
            <w:r w:rsidRPr="00A46ADC">
              <w:t>Kuwait, State of</w:t>
            </w:r>
          </w:p>
        </w:tc>
        <w:tc>
          <w:tcPr>
            <w:tcW w:w="446" w:type="pct"/>
            <w:noWrap/>
            <w:hideMark/>
          </w:tcPr>
          <w:p w14:paraId="4B05395C" w14:textId="77777777" w:rsidR="00DE4516" w:rsidRPr="00A46ADC" w:rsidRDefault="00DE4516" w:rsidP="00DE4516">
            <w:pPr>
              <w:pStyle w:val="TableBody"/>
              <w:autoSpaceDE w:val="0"/>
              <w:autoSpaceDN w:val="0"/>
              <w:adjustRightInd w:val="0"/>
              <w:jc w:val="right"/>
              <w:rPr>
                <w:rFonts w:cs="Arial"/>
                <w:color w:val="000000"/>
                <w:szCs w:val="16"/>
              </w:rPr>
            </w:pPr>
            <w:r w:rsidRPr="00A46ADC">
              <w:t>0.8</w:t>
            </w:r>
          </w:p>
        </w:tc>
        <w:tc>
          <w:tcPr>
            <w:tcW w:w="446" w:type="pct"/>
            <w:noWrap/>
            <w:hideMark/>
          </w:tcPr>
          <w:p w14:paraId="227669B9" w14:textId="77777777" w:rsidR="00DE4516" w:rsidRPr="00A46ADC" w:rsidRDefault="00DE4516" w:rsidP="00DE4516">
            <w:pPr>
              <w:pStyle w:val="TableBody"/>
              <w:autoSpaceDE w:val="0"/>
              <w:autoSpaceDN w:val="0"/>
              <w:adjustRightInd w:val="0"/>
              <w:jc w:val="right"/>
              <w:rPr>
                <w:rFonts w:cs="Arial"/>
                <w:color w:val="000000"/>
                <w:szCs w:val="16"/>
              </w:rPr>
            </w:pPr>
            <w:r w:rsidRPr="00A46ADC">
              <w:t>0.6</w:t>
            </w:r>
          </w:p>
        </w:tc>
        <w:tc>
          <w:tcPr>
            <w:tcW w:w="446" w:type="pct"/>
            <w:noWrap/>
            <w:hideMark/>
          </w:tcPr>
          <w:p w14:paraId="33C295E1" w14:textId="77777777" w:rsidR="00DE4516" w:rsidRPr="00A46ADC" w:rsidRDefault="00DE4516" w:rsidP="00DE4516">
            <w:pPr>
              <w:pStyle w:val="TableBody"/>
              <w:autoSpaceDE w:val="0"/>
              <w:autoSpaceDN w:val="0"/>
              <w:adjustRightInd w:val="0"/>
              <w:jc w:val="right"/>
              <w:rPr>
                <w:rFonts w:cs="Arial"/>
                <w:color w:val="000000"/>
                <w:szCs w:val="16"/>
              </w:rPr>
            </w:pPr>
            <w:r w:rsidRPr="00A46ADC">
              <w:t>1.6</w:t>
            </w:r>
          </w:p>
        </w:tc>
        <w:tc>
          <w:tcPr>
            <w:tcW w:w="446" w:type="pct"/>
            <w:noWrap/>
            <w:hideMark/>
          </w:tcPr>
          <w:p w14:paraId="4AFCB101" w14:textId="77777777" w:rsidR="00DE4516" w:rsidRPr="00A46ADC" w:rsidRDefault="00DE4516" w:rsidP="00DE4516">
            <w:pPr>
              <w:pStyle w:val="TableBody"/>
              <w:autoSpaceDE w:val="0"/>
              <w:autoSpaceDN w:val="0"/>
              <w:adjustRightInd w:val="0"/>
              <w:jc w:val="right"/>
              <w:rPr>
                <w:rFonts w:cs="Arial"/>
                <w:color w:val="000000"/>
                <w:szCs w:val="16"/>
              </w:rPr>
            </w:pPr>
            <w:r w:rsidRPr="00A46ADC">
              <w:t>1.3</w:t>
            </w:r>
          </w:p>
        </w:tc>
        <w:tc>
          <w:tcPr>
            <w:tcW w:w="446" w:type="pct"/>
            <w:noWrap/>
            <w:hideMark/>
          </w:tcPr>
          <w:p w14:paraId="5B1F4C27" w14:textId="77777777" w:rsidR="00DE4516" w:rsidRPr="00A46ADC" w:rsidRDefault="00DE4516" w:rsidP="00DE4516">
            <w:pPr>
              <w:pStyle w:val="TableBody"/>
              <w:autoSpaceDE w:val="0"/>
              <w:autoSpaceDN w:val="0"/>
              <w:adjustRightInd w:val="0"/>
              <w:jc w:val="right"/>
              <w:rPr>
                <w:rFonts w:cs="Arial"/>
                <w:color w:val="000000"/>
                <w:szCs w:val="16"/>
              </w:rPr>
            </w:pPr>
            <w:r w:rsidRPr="00A46ADC">
              <w:t>0.9</w:t>
            </w:r>
          </w:p>
        </w:tc>
        <w:tc>
          <w:tcPr>
            <w:tcW w:w="446" w:type="pct"/>
            <w:noWrap/>
            <w:hideMark/>
          </w:tcPr>
          <w:p w14:paraId="5AB9575F" w14:textId="77777777" w:rsidR="00DE4516" w:rsidRPr="00A46ADC" w:rsidRDefault="00DE4516" w:rsidP="00DE4516">
            <w:pPr>
              <w:pStyle w:val="TableBody"/>
              <w:autoSpaceDE w:val="0"/>
              <w:autoSpaceDN w:val="0"/>
              <w:adjustRightInd w:val="0"/>
              <w:jc w:val="right"/>
              <w:rPr>
                <w:rFonts w:cs="Arial"/>
                <w:color w:val="000000"/>
                <w:szCs w:val="16"/>
              </w:rPr>
            </w:pPr>
            <w:r w:rsidRPr="00A46ADC">
              <w:t>0.7</w:t>
            </w:r>
          </w:p>
        </w:tc>
        <w:tc>
          <w:tcPr>
            <w:tcW w:w="446" w:type="pct"/>
            <w:noWrap/>
            <w:hideMark/>
          </w:tcPr>
          <w:p w14:paraId="1359C43C" w14:textId="77777777" w:rsidR="00DE4516" w:rsidRPr="00A46ADC" w:rsidRDefault="00DE4516" w:rsidP="00DE4516">
            <w:pPr>
              <w:pStyle w:val="TableBody"/>
              <w:autoSpaceDE w:val="0"/>
              <w:autoSpaceDN w:val="0"/>
              <w:adjustRightInd w:val="0"/>
              <w:jc w:val="right"/>
              <w:rPr>
                <w:rFonts w:cs="Arial"/>
                <w:color w:val="000000"/>
                <w:szCs w:val="16"/>
              </w:rPr>
            </w:pPr>
            <w:r w:rsidRPr="00A46ADC">
              <w:t>1.0</w:t>
            </w:r>
          </w:p>
        </w:tc>
      </w:tr>
      <w:tr w:rsidR="00DE4516" w:rsidRPr="00045A4A" w14:paraId="63172B1C"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60A67AFC" w14:textId="77777777" w:rsidR="00DE4516" w:rsidRPr="00A46ADC" w:rsidRDefault="00DE4516" w:rsidP="00DE4516">
            <w:pPr>
              <w:pStyle w:val="TableBody"/>
              <w:autoSpaceDE w:val="0"/>
              <w:autoSpaceDN w:val="0"/>
              <w:adjustRightInd w:val="0"/>
              <w:jc w:val="both"/>
              <w:rPr>
                <w:rFonts w:cs="Arial"/>
                <w:color w:val="000000"/>
                <w:szCs w:val="16"/>
              </w:rPr>
            </w:pPr>
            <w:r w:rsidRPr="00A46ADC">
              <w:t>Iran, Islamic Republic of</w:t>
            </w:r>
          </w:p>
        </w:tc>
        <w:tc>
          <w:tcPr>
            <w:tcW w:w="446" w:type="pct"/>
            <w:noWrap/>
            <w:hideMark/>
          </w:tcPr>
          <w:p w14:paraId="6DC8F587" w14:textId="77777777" w:rsidR="00DE4516" w:rsidRPr="00A46ADC" w:rsidRDefault="00DE4516" w:rsidP="00DE4516">
            <w:pPr>
              <w:pStyle w:val="TableBody"/>
              <w:autoSpaceDE w:val="0"/>
              <w:autoSpaceDN w:val="0"/>
              <w:adjustRightInd w:val="0"/>
              <w:jc w:val="right"/>
              <w:rPr>
                <w:rFonts w:cs="Arial"/>
                <w:color w:val="000000"/>
                <w:szCs w:val="16"/>
              </w:rPr>
            </w:pPr>
            <w:r w:rsidRPr="00A46ADC">
              <w:t>0.7</w:t>
            </w:r>
          </w:p>
        </w:tc>
        <w:tc>
          <w:tcPr>
            <w:tcW w:w="446" w:type="pct"/>
            <w:noWrap/>
            <w:hideMark/>
          </w:tcPr>
          <w:p w14:paraId="51803008" w14:textId="77777777" w:rsidR="00DE4516" w:rsidRPr="00A46ADC" w:rsidRDefault="00DE4516" w:rsidP="00DE4516">
            <w:pPr>
              <w:pStyle w:val="TableBody"/>
              <w:autoSpaceDE w:val="0"/>
              <w:autoSpaceDN w:val="0"/>
              <w:adjustRightInd w:val="0"/>
              <w:jc w:val="right"/>
              <w:rPr>
                <w:rFonts w:cs="Arial"/>
                <w:color w:val="000000"/>
                <w:szCs w:val="16"/>
              </w:rPr>
            </w:pPr>
            <w:r w:rsidRPr="00A46ADC">
              <w:t>0.8</w:t>
            </w:r>
          </w:p>
        </w:tc>
        <w:tc>
          <w:tcPr>
            <w:tcW w:w="446" w:type="pct"/>
            <w:noWrap/>
            <w:hideMark/>
          </w:tcPr>
          <w:p w14:paraId="3DBF83A4" w14:textId="77777777" w:rsidR="00DE4516" w:rsidRPr="00A46ADC" w:rsidRDefault="00DE4516" w:rsidP="00DE4516">
            <w:pPr>
              <w:pStyle w:val="TableBody"/>
              <w:autoSpaceDE w:val="0"/>
              <w:autoSpaceDN w:val="0"/>
              <w:adjustRightInd w:val="0"/>
              <w:jc w:val="right"/>
              <w:rPr>
                <w:rFonts w:cs="Arial"/>
                <w:color w:val="000000"/>
                <w:szCs w:val="16"/>
              </w:rPr>
            </w:pPr>
            <w:r w:rsidRPr="00A46ADC">
              <w:t>1.0</w:t>
            </w:r>
          </w:p>
        </w:tc>
        <w:tc>
          <w:tcPr>
            <w:tcW w:w="446" w:type="pct"/>
            <w:noWrap/>
            <w:hideMark/>
          </w:tcPr>
          <w:p w14:paraId="7729F128" w14:textId="77777777" w:rsidR="00DE4516" w:rsidRPr="00A46ADC" w:rsidRDefault="00DE4516" w:rsidP="00DE4516">
            <w:pPr>
              <w:pStyle w:val="TableBody"/>
              <w:autoSpaceDE w:val="0"/>
              <w:autoSpaceDN w:val="0"/>
              <w:adjustRightInd w:val="0"/>
              <w:jc w:val="right"/>
              <w:rPr>
                <w:rFonts w:cs="Arial"/>
                <w:color w:val="000000"/>
                <w:szCs w:val="16"/>
              </w:rPr>
            </w:pPr>
            <w:r w:rsidRPr="00A46ADC">
              <w:t>1.8</w:t>
            </w:r>
          </w:p>
        </w:tc>
        <w:tc>
          <w:tcPr>
            <w:tcW w:w="446" w:type="pct"/>
            <w:noWrap/>
            <w:hideMark/>
          </w:tcPr>
          <w:p w14:paraId="1F158FC8" w14:textId="77777777" w:rsidR="00DE4516" w:rsidRPr="00A46ADC" w:rsidRDefault="00DE4516" w:rsidP="00DE4516">
            <w:pPr>
              <w:pStyle w:val="TableBody"/>
              <w:autoSpaceDE w:val="0"/>
              <w:autoSpaceDN w:val="0"/>
              <w:adjustRightInd w:val="0"/>
              <w:jc w:val="right"/>
              <w:rPr>
                <w:rFonts w:cs="Arial"/>
                <w:color w:val="000000"/>
                <w:szCs w:val="16"/>
              </w:rPr>
            </w:pPr>
            <w:r w:rsidRPr="00A46ADC">
              <w:t>1.0</w:t>
            </w:r>
          </w:p>
        </w:tc>
        <w:tc>
          <w:tcPr>
            <w:tcW w:w="446" w:type="pct"/>
            <w:noWrap/>
            <w:hideMark/>
          </w:tcPr>
          <w:p w14:paraId="1939B610" w14:textId="77777777" w:rsidR="00DE4516" w:rsidRPr="00A46ADC" w:rsidRDefault="00DE4516" w:rsidP="00DE4516">
            <w:pPr>
              <w:pStyle w:val="TableBody"/>
              <w:autoSpaceDE w:val="0"/>
              <w:autoSpaceDN w:val="0"/>
              <w:adjustRightInd w:val="0"/>
              <w:jc w:val="right"/>
              <w:rPr>
                <w:rFonts w:cs="Arial"/>
                <w:color w:val="000000"/>
                <w:szCs w:val="16"/>
              </w:rPr>
            </w:pPr>
            <w:r w:rsidRPr="00A46ADC">
              <w:t>1.5</w:t>
            </w:r>
          </w:p>
        </w:tc>
        <w:tc>
          <w:tcPr>
            <w:tcW w:w="446" w:type="pct"/>
            <w:noWrap/>
            <w:hideMark/>
          </w:tcPr>
          <w:p w14:paraId="560A4573" w14:textId="77777777" w:rsidR="00DE4516" w:rsidRPr="00A46ADC" w:rsidRDefault="00DE4516" w:rsidP="00DE4516">
            <w:pPr>
              <w:pStyle w:val="TableBody"/>
              <w:autoSpaceDE w:val="0"/>
              <w:autoSpaceDN w:val="0"/>
              <w:adjustRightInd w:val="0"/>
              <w:jc w:val="right"/>
              <w:rPr>
                <w:rFonts w:cs="Arial"/>
                <w:color w:val="000000"/>
                <w:szCs w:val="16"/>
              </w:rPr>
            </w:pPr>
            <w:r w:rsidRPr="00A46ADC">
              <w:t>0.8</w:t>
            </w:r>
          </w:p>
        </w:tc>
      </w:tr>
      <w:tr w:rsidR="00DE4516" w:rsidRPr="00045A4A" w14:paraId="7271361C" w14:textId="77777777" w:rsidTr="002F793E">
        <w:trPr>
          <w:cantSplit/>
        </w:trPr>
        <w:tc>
          <w:tcPr>
            <w:tcW w:w="1880" w:type="pct"/>
            <w:noWrap/>
            <w:hideMark/>
          </w:tcPr>
          <w:p w14:paraId="0ADDC550" w14:textId="77777777" w:rsidR="00DE4516" w:rsidRPr="00A46ADC" w:rsidRDefault="00DE4516" w:rsidP="00DE4516">
            <w:pPr>
              <w:pStyle w:val="TableBody"/>
              <w:autoSpaceDE w:val="0"/>
              <w:autoSpaceDN w:val="0"/>
              <w:adjustRightInd w:val="0"/>
              <w:jc w:val="both"/>
              <w:rPr>
                <w:rFonts w:cs="Arial"/>
                <w:color w:val="000000"/>
                <w:szCs w:val="16"/>
              </w:rPr>
            </w:pPr>
            <w:r w:rsidRPr="00A46ADC">
              <w:t>Yemen</w:t>
            </w:r>
          </w:p>
        </w:tc>
        <w:tc>
          <w:tcPr>
            <w:tcW w:w="446" w:type="pct"/>
            <w:noWrap/>
            <w:hideMark/>
          </w:tcPr>
          <w:p w14:paraId="78E7565D" w14:textId="77777777" w:rsidR="00DE4516" w:rsidRPr="00A46ADC" w:rsidRDefault="00DE4516" w:rsidP="00DE4516">
            <w:pPr>
              <w:pStyle w:val="TableBody"/>
              <w:autoSpaceDE w:val="0"/>
              <w:autoSpaceDN w:val="0"/>
              <w:adjustRightInd w:val="0"/>
              <w:jc w:val="right"/>
              <w:rPr>
                <w:rFonts w:cs="Arial"/>
                <w:color w:val="000000"/>
                <w:szCs w:val="16"/>
              </w:rPr>
            </w:pPr>
            <w:r w:rsidRPr="00A46ADC">
              <w:t>0.3</w:t>
            </w:r>
          </w:p>
        </w:tc>
        <w:tc>
          <w:tcPr>
            <w:tcW w:w="446" w:type="pct"/>
            <w:noWrap/>
            <w:hideMark/>
          </w:tcPr>
          <w:p w14:paraId="5DE938DA" w14:textId="77777777" w:rsidR="00DE4516" w:rsidRPr="00A46ADC" w:rsidRDefault="00DE4516" w:rsidP="00DE4516">
            <w:pPr>
              <w:pStyle w:val="TableBody"/>
              <w:autoSpaceDE w:val="0"/>
              <w:autoSpaceDN w:val="0"/>
              <w:adjustRightInd w:val="0"/>
              <w:jc w:val="right"/>
              <w:rPr>
                <w:rFonts w:cs="Arial"/>
                <w:color w:val="000000"/>
                <w:szCs w:val="16"/>
              </w:rPr>
            </w:pPr>
            <w:r w:rsidRPr="00A46ADC">
              <w:t>1.7</w:t>
            </w:r>
          </w:p>
        </w:tc>
        <w:tc>
          <w:tcPr>
            <w:tcW w:w="446" w:type="pct"/>
            <w:noWrap/>
            <w:hideMark/>
          </w:tcPr>
          <w:p w14:paraId="5736E1D4" w14:textId="77777777" w:rsidR="00DE4516" w:rsidRPr="00A46ADC" w:rsidRDefault="00DE4516" w:rsidP="00DE4516">
            <w:pPr>
              <w:pStyle w:val="TableBody"/>
              <w:autoSpaceDE w:val="0"/>
              <w:autoSpaceDN w:val="0"/>
              <w:adjustRightInd w:val="0"/>
              <w:jc w:val="right"/>
              <w:rPr>
                <w:rFonts w:cs="Arial"/>
                <w:color w:val="000000"/>
                <w:szCs w:val="16"/>
              </w:rPr>
            </w:pPr>
            <w:r w:rsidRPr="00A46ADC">
              <w:t>2.2</w:t>
            </w:r>
          </w:p>
        </w:tc>
        <w:tc>
          <w:tcPr>
            <w:tcW w:w="446" w:type="pct"/>
            <w:noWrap/>
            <w:hideMark/>
          </w:tcPr>
          <w:p w14:paraId="6F826BA9" w14:textId="77777777" w:rsidR="00DE4516" w:rsidRPr="00A46ADC" w:rsidRDefault="00DE4516" w:rsidP="00DE4516">
            <w:pPr>
              <w:pStyle w:val="TableBody"/>
              <w:autoSpaceDE w:val="0"/>
              <w:autoSpaceDN w:val="0"/>
              <w:adjustRightInd w:val="0"/>
              <w:jc w:val="right"/>
              <w:rPr>
                <w:rFonts w:cs="Arial"/>
                <w:color w:val="000000"/>
                <w:szCs w:val="16"/>
              </w:rPr>
            </w:pPr>
            <w:r w:rsidRPr="00A46ADC">
              <w:t>1.5</w:t>
            </w:r>
          </w:p>
        </w:tc>
        <w:tc>
          <w:tcPr>
            <w:tcW w:w="446" w:type="pct"/>
            <w:noWrap/>
            <w:hideMark/>
          </w:tcPr>
          <w:p w14:paraId="796936F1" w14:textId="77777777" w:rsidR="00DE4516" w:rsidRPr="00A46ADC" w:rsidRDefault="00DE4516" w:rsidP="00DE4516">
            <w:pPr>
              <w:pStyle w:val="TableBody"/>
              <w:autoSpaceDE w:val="0"/>
              <w:autoSpaceDN w:val="0"/>
              <w:adjustRightInd w:val="0"/>
              <w:jc w:val="right"/>
              <w:rPr>
                <w:rFonts w:cs="Arial"/>
                <w:color w:val="000000"/>
                <w:szCs w:val="16"/>
              </w:rPr>
            </w:pPr>
            <w:r w:rsidRPr="00A46ADC">
              <w:t>1.4</w:t>
            </w:r>
          </w:p>
        </w:tc>
        <w:tc>
          <w:tcPr>
            <w:tcW w:w="446" w:type="pct"/>
            <w:noWrap/>
            <w:hideMark/>
          </w:tcPr>
          <w:p w14:paraId="546DA1D4" w14:textId="77777777" w:rsidR="00DE4516" w:rsidRPr="00A46ADC" w:rsidRDefault="00DE4516" w:rsidP="00DE4516">
            <w:pPr>
              <w:pStyle w:val="TableBody"/>
              <w:autoSpaceDE w:val="0"/>
              <w:autoSpaceDN w:val="0"/>
              <w:adjustRightInd w:val="0"/>
              <w:jc w:val="right"/>
              <w:rPr>
                <w:rFonts w:cs="Arial"/>
                <w:color w:val="000000"/>
                <w:szCs w:val="16"/>
              </w:rPr>
            </w:pPr>
            <w:r w:rsidRPr="00A46ADC">
              <w:t>0.4</w:t>
            </w:r>
          </w:p>
        </w:tc>
        <w:tc>
          <w:tcPr>
            <w:tcW w:w="446" w:type="pct"/>
            <w:noWrap/>
            <w:hideMark/>
          </w:tcPr>
          <w:p w14:paraId="0CE6199C" w14:textId="77777777" w:rsidR="00DE4516" w:rsidRPr="00A46ADC" w:rsidRDefault="00DE4516" w:rsidP="00DE4516">
            <w:pPr>
              <w:pStyle w:val="TableBody"/>
              <w:autoSpaceDE w:val="0"/>
              <w:autoSpaceDN w:val="0"/>
              <w:adjustRightInd w:val="0"/>
              <w:jc w:val="right"/>
              <w:rPr>
                <w:rFonts w:cs="Arial"/>
                <w:color w:val="000000"/>
                <w:szCs w:val="16"/>
              </w:rPr>
            </w:pPr>
            <w:r w:rsidRPr="00A46ADC">
              <w:t>0.7</w:t>
            </w:r>
          </w:p>
        </w:tc>
      </w:tr>
      <w:tr w:rsidR="00DE4516" w:rsidRPr="00045A4A" w14:paraId="589D978E"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7C35B21A" w14:textId="77777777" w:rsidR="00DE4516" w:rsidRPr="00A46ADC" w:rsidRDefault="00DE4516" w:rsidP="00DE4516">
            <w:pPr>
              <w:pStyle w:val="TableBody"/>
              <w:autoSpaceDE w:val="0"/>
              <w:autoSpaceDN w:val="0"/>
              <w:adjustRightInd w:val="0"/>
              <w:jc w:val="both"/>
              <w:rPr>
                <w:rFonts w:cs="Arial"/>
                <w:b/>
                <w:bCs/>
                <w:color w:val="000000"/>
                <w:szCs w:val="16"/>
              </w:rPr>
            </w:pPr>
            <w:r w:rsidRPr="00A46ADC">
              <w:rPr>
                <w:b/>
              </w:rPr>
              <w:t>Asia</w:t>
            </w:r>
          </w:p>
        </w:tc>
        <w:tc>
          <w:tcPr>
            <w:tcW w:w="446" w:type="pct"/>
            <w:noWrap/>
            <w:hideMark/>
          </w:tcPr>
          <w:p w14:paraId="32FE78DF"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74.5</w:t>
            </w:r>
          </w:p>
        </w:tc>
        <w:tc>
          <w:tcPr>
            <w:tcW w:w="446" w:type="pct"/>
            <w:noWrap/>
            <w:hideMark/>
          </w:tcPr>
          <w:p w14:paraId="676FCC5D"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68.8</w:t>
            </w:r>
          </w:p>
        </w:tc>
        <w:tc>
          <w:tcPr>
            <w:tcW w:w="446" w:type="pct"/>
            <w:noWrap/>
            <w:hideMark/>
          </w:tcPr>
          <w:p w14:paraId="47000552"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65.0</w:t>
            </w:r>
          </w:p>
        </w:tc>
        <w:tc>
          <w:tcPr>
            <w:tcW w:w="446" w:type="pct"/>
            <w:noWrap/>
            <w:hideMark/>
          </w:tcPr>
          <w:p w14:paraId="66D8E617"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64.1</w:t>
            </w:r>
          </w:p>
        </w:tc>
        <w:tc>
          <w:tcPr>
            <w:tcW w:w="446" w:type="pct"/>
            <w:noWrap/>
            <w:hideMark/>
          </w:tcPr>
          <w:p w14:paraId="29FFEF40"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67.0</w:t>
            </w:r>
          </w:p>
        </w:tc>
        <w:tc>
          <w:tcPr>
            <w:tcW w:w="446" w:type="pct"/>
            <w:noWrap/>
            <w:hideMark/>
          </w:tcPr>
          <w:p w14:paraId="5A8A3D7E"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69.3</w:t>
            </w:r>
          </w:p>
        </w:tc>
        <w:tc>
          <w:tcPr>
            <w:tcW w:w="446" w:type="pct"/>
            <w:noWrap/>
            <w:hideMark/>
          </w:tcPr>
          <w:p w14:paraId="04660369"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62.5</w:t>
            </w:r>
          </w:p>
        </w:tc>
      </w:tr>
      <w:tr w:rsidR="00DE4516" w:rsidRPr="00045A4A" w14:paraId="50B7D320" w14:textId="77777777" w:rsidTr="002F793E">
        <w:trPr>
          <w:cantSplit/>
        </w:trPr>
        <w:tc>
          <w:tcPr>
            <w:tcW w:w="1880" w:type="pct"/>
            <w:noWrap/>
            <w:hideMark/>
          </w:tcPr>
          <w:p w14:paraId="30CBF635"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China</w:t>
            </w:r>
          </w:p>
        </w:tc>
        <w:tc>
          <w:tcPr>
            <w:tcW w:w="446" w:type="pct"/>
            <w:noWrap/>
            <w:hideMark/>
          </w:tcPr>
          <w:p w14:paraId="1BB11E02" w14:textId="77777777" w:rsidR="00DE4516" w:rsidRPr="00A46ADC" w:rsidRDefault="00DE4516" w:rsidP="00DE4516">
            <w:pPr>
              <w:pStyle w:val="TableBody"/>
              <w:autoSpaceDE w:val="0"/>
              <w:autoSpaceDN w:val="0"/>
              <w:adjustRightInd w:val="0"/>
              <w:jc w:val="right"/>
              <w:rPr>
                <w:rFonts w:cs="Arial"/>
                <w:color w:val="000000"/>
                <w:szCs w:val="16"/>
              </w:rPr>
            </w:pPr>
            <w:r w:rsidRPr="00A46ADC">
              <w:t>43.0</w:t>
            </w:r>
          </w:p>
        </w:tc>
        <w:tc>
          <w:tcPr>
            <w:tcW w:w="446" w:type="pct"/>
            <w:noWrap/>
            <w:hideMark/>
          </w:tcPr>
          <w:p w14:paraId="74D8E287" w14:textId="77777777" w:rsidR="00DE4516" w:rsidRPr="00A46ADC" w:rsidRDefault="00DE4516" w:rsidP="00DE4516">
            <w:pPr>
              <w:pStyle w:val="TableBody"/>
              <w:autoSpaceDE w:val="0"/>
              <w:autoSpaceDN w:val="0"/>
              <w:adjustRightInd w:val="0"/>
              <w:jc w:val="right"/>
              <w:rPr>
                <w:rFonts w:cs="Arial"/>
                <w:color w:val="000000"/>
                <w:szCs w:val="16"/>
              </w:rPr>
            </w:pPr>
            <w:r w:rsidRPr="00A46ADC">
              <w:t>42.2</w:t>
            </w:r>
          </w:p>
        </w:tc>
        <w:tc>
          <w:tcPr>
            <w:tcW w:w="446" w:type="pct"/>
            <w:noWrap/>
            <w:hideMark/>
          </w:tcPr>
          <w:p w14:paraId="3F7750E6" w14:textId="77777777" w:rsidR="00DE4516" w:rsidRPr="00A46ADC" w:rsidRDefault="00DE4516" w:rsidP="00DE4516">
            <w:pPr>
              <w:pStyle w:val="TableBody"/>
              <w:autoSpaceDE w:val="0"/>
              <w:autoSpaceDN w:val="0"/>
              <w:adjustRightInd w:val="0"/>
              <w:jc w:val="right"/>
              <w:rPr>
                <w:rFonts w:cs="Arial"/>
                <w:color w:val="000000"/>
                <w:szCs w:val="16"/>
              </w:rPr>
            </w:pPr>
            <w:r w:rsidRPr="00A46ADC">
              <w:t>40.7</w:t>
            </w:r>
          </w:p>
        </w:tc>
        <w:tc>
          <w:tcPr>
            <w:tcW w:w="446" w:type="pct"/>
            <w:noWrap/>
            <w:hideMark/>
          </w:tcPr>
          <w:p w14:paraId="5F676B22" w14:textId="77777777" w:rsidR="00DE4516" w:rsidRPr="00A46ADC" w:rsidRDefault="00DE4516" w:rsidP="00DE4516">
            <w:pPr>
              <w:pStyle w:val="TableBody"/>
              <w:autoSpaceDE w:val="0"/>
              <w:autoSpaceDN w:val="0"/>
              <w:adjustRightInd w:val="0"/>
              <w:jc w:val="right"/>
              <w:rPr>
                <w:rFonts w:cs="Arial"/>
                <w:color w:val="000000"/>
                <w:szCs w:val="16"/>
              </w:rPr>
            </w:pPr>
            <w:r w:rsidRPr="00A46ADC">
              <w:t>34.7</w:t>
            </w:r>
          </w:p>
        </w:tc>
        <w:tc>
          <w:tcPr>
            <w:tcW w:w="446" w:type="pct"/>
            <w:noWrap/>
            <w:hideMark/>
          </w:tcPr>
          <w:p w14:paraId="1D85E08E" w14:textId="77777777" w:rsidR="00DE4516" w:rsidRPr="00A46ADC" w:rsidRDefault="00DE4516" w:rsidP="00DE4516">
            <w:pPr>
              <w:pStyle w:val="TableBody"/>
              <w:autoSpaceDE w:val="0"/>
              <w:autoSpaceDN w:val="0"/>
              <w:adjustRightInd w:val="0"/>
              <w:jc w:val="right"/>
              <w:rPr>
                <w:rFonts w:cs="Arial"/>
                <w:color w:val="000000"/>
                <w:szCs w:val="16"/>
              </w:rPr>
            </w:pPr>
            <w:r w:rsidRPr="00A46ADC">
              <w:t>42.5</w:t>
            </w:r>
          </w:p>
        </w:tc>
        <w:tc>
          <w:tcPr>
            <w:tcW w:w="446" w:type="pct"/>
            <w:noWrap/>
            <w:hideMark/>
          </w:tcPr>
          <w:p w14:paraId="34045BF6" w14:textId="77777777" w:rsidR="00DE4516" w:rsidRPr="00A46ADC" w:rsidRDefault="00DE4516" w:rsidP="00DE4516">
            <w:pPr>
              <w:pStyle w:val="TableBody"/>
              <w:autoSpaceDE w:val="0"/>
              <w:autoSpaceDN w:val="0"/>
              <w:adjustRightInd w:val="0"/>
              <w:jc w:val="right"/>
              <w:rPr>
                <w:rFonts w:cs="Arial"/>
                <w:color w:val="000000"/>
                <w:szCs w:val="16"/>
              </w:rPr>
            </w:pPr>
            <w:r w:rsidRPr="00A46ADC">
              <w:t>41.8</w:t>
            </w:r>
          </w:p>
        </w:tc>
        <w:tc>
          <w:tcPr>
            <w:tcW w:w="446" w:type="pct"/>
            <w:noWrap/>
            <w:hideMark/>
          </w:tcPr>
          <w:p w14:paraId="2648C4EF" w14:textId="77777777" w:rsidR="00DE4516" w:rsidRPr="00A46ADC" w:rsidRDefault="00DE4516" w:rsidP="00DE4516">
            <w:pPr>
              <w:pStyle w:val="TableBody"/>
              <w:autoSpaceDE w:val="0"/>
              <w:autoSpaceDN w:val="0"/>
              <w:adjustRightInd w:val="0"/>
              <w:jc w:val="right"/>
              <w:rPr>
                <w:rFonts w:cs="Arial"/>
                <w:color w:val="000000"/>
                <w:szCs w:val="16"/>
              </w:rPr>
            </w:pPr>
            <w:r w:rsidRPr="00A46ADC">
              <w:t>39.7</w:t>
            </w:r>
          </w:p>
        </w:tc>
      </w:tr>
      <w:tr w:rsidR="00DE4516" w:rsidRPr="00045A4A" w14:paraId="1CAFFC79"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372B4559"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Japan</w:t>
            </w:r>
          </w:p>
        </w:tc>
        <w:tc>
          <w:tcPr>
            <w:tcW w:w="446" w:type="pct"/>
            <w:noWrap/>
            <w:hideMark/>
          </w:tcPr>
          <w:p w14:paraId="12102F31" w14:textId="77777777" w:rsidR="00DE4516" w:rsidRPr="00A46ADC" w:rsidRDefault="00DE4516" w:rsidP="00DE4516">
            <w:pPr>
              <w:pStyle w:val="TableBody"/>
              <w:autoSpaceDE w:val="0"/>
              <w:autoSpaceDN w:val="0"/>
              <w:adjustRightInd w:val="0"/>
              <w:jc w:val="right"/>
              <w:rPr>
                <w:rFonts w:cs="Arial"/>
                <w:color w:val="000000"/>
                <w:szCs w:val="16"/>
              </w:rPr>
            </w:pPr>
            <w:r w:rsidRPr="00A46ADC">
              <w:t>3.9</w:t>
            </w:r>
          </w:p>
        </w:tc>
        <w:tc>
          <w:tcPr>
            <w:tcW w:w="446" w:type="pct"/>
            <w:noWrap/>
            <w:hideMark/>
          </w:tcPr>
          <w:p w14:paraId="11EF25B3" w14:textId="77777777" w:rsidR="00DE4516" w:rsidRPr="00A46ADC" w:rsidRDefault="00DE4516" w:rsidP="00DE4516">
            <w:pPr>
              <w:pStyle w:val="TableBody"/>
              <w:autoSpaceDE w:val="0"/>
              <w:autoSpaceDN w:val="0"/>
              <w:adjustRightInd w:val="0"/>
              <w:jc w:val="right"/>
              <w:rPr>
                <w:rFonts w:cs="Arial"/>
                <w:color w:val="000000"/>
                <w:szCs w:val="16"/>
              </w:rPr>
            </w:pPr>
            <w:r w:rsidRPr="00A46ADC">
              <w:t>3.3</w:t>
            </w:r>
          </w:p>
        </w:tc>
        <w:tc>
          <w:tcPr>
            <w:tcW w:w="446" w:type="pct"/>
            <w:noWrap/>
            <w:hideMark/>
          </w:tcPr>
          <w:p w14:paraId="1E85EEAA" w14:textId="77777777" w:rsidR="00DE4516" w:rsidRPr="00A46ADC" w:rsidRDefault="00DE4516" w:rsidP="00DE4516">
            <w:pPr>
              <w:pStyle w:val="TableBody"/>
              <w:autoSpaceDE w:val="0"/>
              <w:autoSpaceDN w:val="0"/>
              <w:adjustRightInd w:val="0"/>
              <w:jc w:val="right"/>
              <w:rPr>
                <w:rFonts w:cs="Arial"/>
                <w:color w:val="000000"/>
                <w:szCs w:val="16"/>
              </w:rPr>
            </w:pPr>
            <w:r w:rsidRPr="00A46ADC">
              <w:t>5.1</w:t>
            </w:r>
          </w:p>
        </w:tc>
        <w:tc>
          <w:tcPr>
            <w:tcW w:w="446" w:type="pct"/>
            <w:noWrap/>
            <w:hideMark/>
          </w:tcPr>
          <w:p w14:paraId="1321B0CC" w14:textId="77777777" w:rsidR="00DE4516" w:rsidRPr="00A46ADC" w:rsidRDefault="00DE4516" w:rsidP="00DE4516">
            <w:pPr>
              <w:pStyle w:val="TableBody"/>
              <w:autoSpaceDE w:val="0"/>
              <w:autoSpaceDN w:val="0"/>
              <w:adjustRightInd w:val="0"/>
              <w:jc w:val="right"/>
              <w:rPr>
                <w:rFonts w:cs="Arial"/>
                <w:color w:val="000000"/>
                <w:szCs w:val="16"/>
              </w:rPr>
            </w:pPr>
            <w:r w:rsidRPr="00A46ADC">
              <w:t>4.8</w:t>
            </w:r>
          </w:p>
        </w:tc>
        <w:tc>
          <w:tcPr>
            <w:tcW w:w="446" w:type="pct"/>
            <w:noWrap/>
            <w:hideMark/>
          </w:tcPr>
          <w:p w14:paraId="0E884F10" w14:textId="77777777" w:rsidR="00DE4516" w:rsidRPr="00A46ADC" w:rsidRDefault="00DE4516" w:rsidP="00DE4516">
            <w:pPr>
              <w:pStyle w:val="TableBody"/>
              <w:autoSpaceDE w:val="0"/>
              <w:autoSpaceDN w:val="0"/>
              <w:adjustRightInd w:val="0"/>
              <w:jc w:val="right"/>
              <w:rPr>
                <w:rFonts w:cs="Arial"/>
                <w:color w:val="000000"/>
                <w:szCs w:val="16"/>
              </w:rPr>
            </w:pPr>
            <w:r w:rsidRPr="00A46ADC">
              <w:t>5.8</w:t>
            </w:r>
          </w:p>
        </w:tc>
        <w:tc>
          <w:tcPr>
            <w:tcW w:w="446" w:type="pct"/>
            <w:noWrap/>
            <w:hideMark/>
          </w:tcPr>
          <w:p w14:paraId="1E4DE132" w14:textId="77777777" w:rsidR="00DE4516" w:rsidRPr="00A46ADC" w:rsidRDefault="00DE4516" w:rsidP="00DE4516">
            <w:pPr>
              <w:pStyle w:val="TableBody"/>
              <w:autoSpaceDE w:val="0"/>
              <w:autoSpaceDN w:val="0"/>
              <w:adjustRightInd w:val="0"/>
              <w:jc w:val="right"/>
              <w:rPr>
                <w:rFonts w:cs="Arial"/>
                <w:color w:val="000000"/>
                <w:szCs w:val="16"/>
              </w:rPr>
            </w:pPr>
            <w:r w:rsidRPr="00A46ADC">
              <w:t>6.7</w:t>
            </w:r>
          </w:p>
        </w:tc>
        <w:tc>
          <w:tcPr>
            <w:tcW w:w="446" w:type="pct"/>
            <w:noWrap/>
            <w:hideMark/>
          </w:tcPr>
          <w:p w14:paraId="2CC50079" w14:textId="77777777" w:rsidR="00DE4516" w:rsidRPr="00A46ADC" w:rsidRDefault="00DE4516" w:rsidP="00DE4516">
            <w:pPr>
              <w:pStyle w:val="TableBody"/>
              <w:autoSpaceDE w:val="0"/>
              <w:autoSpaceDN w:val="0"/>
              <w:adjustRightInd w:val="0"/>
              <w:jc w:val="right"/>
              <w:rPr>
                <w:rFonts w:cs="Arial"/>
                <w:color w:val="000000"/>
                <w:szCs w:val="16"/>
              </w:rPr>
            </w:pPr>
            <w:r w:rsidRPr="00A46ADC">
              <w:t>3.7</w:t>
            </w:r>
          </w:p>
        </w:tc>
      </w:tr>
      <w:tr w:rsidR="00DE4516" w:rsidRPr="00045A4A" w14:paraId="79EDDDEB" w14:textId="77777777" w:rsidTr="002F793E">
        <w:trPr>
          <w:cantSplit/>
        </w:trPr>
        <w:tc>
          <w:tcPr>
            <w:tcW w:w="1880" w:type="pct"/>
            <w:noWrap/>
            <w:hideMark/>
          </w:tcPr>
          <w:p w14:paraId="2675719F"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Other Asia</w:t>
            </w:r>
          </w:p>
        </w:tc>
        <w:tc>
          <w:tcPr>
            <w:tcW w:w="446" w:type="pct"/>
            <w:noWrap/>
            <w:hideMark/>
          </w:tcPr>
          <w:p w14:paraId="02949511" w14:textId="77777777" w:rsidR="00DE4516" w:rsidRPr="00A46ADC" w:rsidRDefault="00DE4516" w:rsidP="00DE4516">
            <w:pPr>
              <w:pStyle w:val="TableBody"/>
              <w:autoSpaceDE w:val="0"/>
              <w:autoSpaceDN w:val="0"/>
              <w:adjustRightInd w:val="0"/>
              <w:jc w:val="right"/>
              <w:rPr>
                <w:rFonts w:cs="Arial"/>
                <w:color w:val="000000"/>
                <w:szCs w:val="16"/>
              </w:rPr>
            </w:pPr>
            <w:r w:rsidRPr="00A46ADC">
              <w:t>27.5</w:t>
            </w:r>
          </w:p>
        </w:tc>
        <w:tc>
          <w:tcPr>
            <w:tcW w:w="446" w:type="pct"/>
            <w:noWrap/>
            <w:hideMark/>
          </w:tcPr>
          <w:p w14:paraId="19275869" w14:textId="77777777" w:rsidR="00DE4516" w:rsidRPr="00A46ADC" w:rsidRDefault="00DE4516" w:rsidP="00DE4516">
            <w:pPr>
              <w:pStyle w:val="TableBody"/>
              <w:autoSpaceDE w:val="0"/>
              <w:autoSpaceDN w:val="0"/>
              <w:adjustRightInd w:val="0"/>
              <w:jc w:val="right"/>
              <w:rPr>
                <w:rFonts w:cs="Arial"/>
                <w:color w:val="000000"/>
                <w:szCs w:val="16"/>
              </w:rPr>
            </w:pPr>
            <w:r w:rsidRPr="00A46ADC">
              <w:t>23.4</w:t>
            </w:r>
          </w:p>
        </w:tc>
        <w:tc>
          <w:tcPr>
            <w:tcW w:w="446" w:type="pct"/>
            <w:noWrap/>
            <w:hideMark/>
          </w:tcPr>
          <w:p w14:paraId="15778692" w14:textId="77777777" w:rsidR="00DE4516" w:rsidRPr="00A46ADC" w:rsidRDefault="00DE4516" w:rsidP="00DE4516">
            <w:pPr>
              <w:pStyle w:val="TableBody"/>
              <w:autoSpaceDE w:val="0"/>
              <w:autoSpaceDN w:val="0"/>
              <w:adjustRightInd w:val="0"/>
              <w:jc w:val="right"/>
              <w:rPr>
                <w:rFonts w:cs="Arial"/>
                <w:color w:val="000000"/>
                <w:szCs w:val="16"/>
              </w:rPr>
            </w:pPr>
            <w:r w:rsidRPr="00A46ADC">
              <w:t>19.2</w:t>
            </w:r>
          </w:p>
        </w:tc>
        <w:tc>
          <w:tcPr>
            <w:tcW w:w="446" w:type="pct"/>
            <w:noWrap/>
            <w:hideMark/>
          </w:tcPr>
          <w:p w14:paraId="25725207" w14:textId="77777777" w:rsidR="00DE4516" w:rsidRPr="00A46ADC" w:rsidRDefault="00DE4516" w:rsidP="00DE4516">
            <w:pPr>
              <w:pStyle w:val="TableBody"/>
              <w:autoSpaceDE w:val="0"/>
              <w:autoSpaceDN w:val="0"/>
              <w:adjustRightInd w:val="0"/>
              <w:jc w:val="right"/>
              <w:rPr>
                <w:rFonts w:cs="Arial"/>
                <w:color w:val="000000"/>
                <w:szCs w:val="16"/>
              </w:rPr>
            </w:pPr>
            <w:r w:rsidRPr="00A46ADC">
              <w:t>24.6</w:t>
            </w:r>
          </w:p>
        </w:tc>
        <w:tc>
          <w:tcPr>
            <w:tcW w:w="446" w:type="pct"/>
            <w:noWrap/>
            <w:hideMark/>
          </w:tcPr>
          <w:p w14:paraId="2DC198DB" w14:textId="77777777" w:rsidR="00DE4516" w:rsidRPr="00A46ADC" w:rsidRDefault="00DE4516" w:rsidP="00DE4516">
            <w:pPr>
              <w:pStyle w:val="TableBody"/>
              <w:autoSpaceDE w:val="0"/>
              <w:autoSpaceDN w:val="0"/>
              <w:adjustRightInd w:val="0"/>
              <w:jc w:val="right"/>
              <w:rPr>
                <w:rFonts w:cs="Arial"/>
                <w:color w:val="000000"/>
                <w:szCs w:val="16"/>
              </w:rPr>
            </w:pPr>
            <w:r w:rsidRPr="00A46ADC">
              <w:t>18.6</w:t>
            </w:r>
          </w:p>
        </w:tc>
        <w:tc>
          <w:tcPr>
            <w:tcW w:w="446" w:type="pct"/>
            <w:noWrap/>
            <w:hideMark/>
          </w:tcPr>
          <w:p w14:paraId="7711D9E1" w14:textId="77777777" w:rsidR="00DE4516" w:rsidRPr="00A46ADC" w:rsidRDefault="00DE4516" w:rsidP="00DE4516">
            <w:pPr>
              <w:pStyle w:val="TableBody"/>
              <w:autoSpaceDE w:val="0"/>
              <w:autoSpaceDN w:val="0"/>
              <w:adjustRightInd w:val="0"/>
              <w:jc w:val="right"/>
              <w:rPr>
                <w:rFonts w:cs="Arial"/>
                <w:color w:val="000000"/>
                <w:szCs w:val="16"/>
              </w:rPr>
            </w:pPr>
            <w:r w:rsidRPr="00A46ADC">
              <w:t>20.8</w:t>
            </w:r>
          </w:p>
        </w:tc>
        <w:tc>
          <w:tcPr>
            <w:tcW w:w="446" w:type="pct"/>
            <w:noWrap/>
            <w:hideMark/>
          </w:tcPr>
          <w:p w14:paraId="02E08228" w14:textId="77777777" w:rsidR="00DE4516" w:rsidRPr="00A46ADC" w:rsidRDefault="00DE4516" w:rsidP="00DE4516">
            <w:pPr>
              <w:pStyle w:val="TableBody"/>
              <w:autoSpaceDE w:val="0"/>
              <w:autoSpaceDN w:val="0"/>
              <w:adjustRightInd w:val="0"/>
              <w:jc w:val="right"/>
              <w:rPr>
                <w:rFonts w:cs="Arial"/>
                <w:color w:val="000000"/>
                <w:szCs w:val="16"/>
              </w:rPr>
            </w:pPr>
            <w:r w:rsidRPr="00A46ADC">
              <w:t>19.2</w:t>
            </w:r>
          </w:p>
        </w:tc>
      </w:tr>
      <w:tr w:rsidR="00DE4516" w:rsidRPr="00045A4A" w14:paraId="0C73A498"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356772B7" w14:textId="77777777" w:rsidR="00DE4516" w:rsidRPr="00A46ADC" w:rsidRDefault="00DE4516" w:rsidP="00DE4516">
            <w:pPr>
              <w:pStyle w:val="TableBody"/>
              <w:autoSpaceDE w:val="0"/>
              <w:autoSpaceDN w:val="0"/>
              <w:adjustRightInd w:val="0"/>
              <w:ind w:left="519"/>
              <w:jc w:val="both"/>
              <w:rPr>
                <w:rFonts w:cs="Arial"/>
                <w:color w:val="000000"/>
                <w:szCs w:val="16"/>
              </w:rPr>
            </w:pPr>
            <w:r w:rsidRPr="00A46ADC">
              <w:t>Korea, Republic of</w:t>
            </w:r>
          </w:p>
        </w:tc>
        <w:tc>
          <w:tcPr>
            <w:tcW w:w="446" w:type="pct"/>
            <w:noWrap/>
            <w:hideMark/>
          </w:tcPr>
          <w:p w14:paraId="5CA8A813" w14:textId="77777777" w:rsidR="00DE4516" w:rsidRPr="00A46ADC" w:rsidRDefault="00DE4516" w:rsidP="00DE4516">
            <w:pPr>
              <w:pStyle w:val="TableBody"/>
              <w:autoSpaceDE w:val="0"/>
              <w:autoSpaceDN w:val="0"/>
              <w:adjustRightInd w:val="0"/>
              <w:jc w:val="right"/>
              <w:rPr>
                <w:rFonts w:cs="Arial"/>
                <w:color w:val="000000"/>
                <w:szCs w:val="16"/>
              </w:rPr>
            </w:pPr>
            <w:r w:rsidRPr="00A46ADC">
              <w:t>8.2</w:t>
            </w:r>
          </w:p>
        </w:tc>
        <w:tc>
          <w:tcPr>
            <w:tcW w:w="446" w:type="pct"/>
            <w:noWrap/>
            <w:hideMark/>
          </w:tcPr>
          <w:p w14:paraId="4D44D9B0" w14:textId="77777777" w:rsidR="00DE4516" w:rsidRPr="00A46ADC" w:rsidRDefault="00DE4516" w:rsidP="00DE4516">
            <w:pPr>
              <w:pStyle w:val="TableBody"/>
              <w:autoSpaceDE w:val="0"/>
              <w:autoSpaceDN w:val="0"/>
              <w:adjustRightInd w:val="0"/>
              <w:jc w:val="right"/>
              <w:rPr>
                <w:rFonts w:cs="Arial"/>
                <w:color w:val="000000"/>
                <w:szCs w:val="16"/>
              </w:rPr>
            </w:pPr>
            <w:r w:rsidRPr="00A46ADC">
              <w:t>7.4</w:t>
            </w:r>
          </w:p>
        </w:tc>
        <w:tc>
          <w:tcPr>
            <w:tcW w:w="446" w:type="pct"/>
            <w:noWrap/>
            <w:hideMark/>
          </w:tcPr>
          <w:p w14:paraId="65600748" w14:textId="77777777" w:rsidR="00DE4516" w:rsidRPr="00A46ADC" w:rsidRDefault="00DE4516" w:rsidP="00DE4516">
            <w:pPr>
              <w:pStyle w:val="TableBody"/>
              <w:autoSpaceDE w:val="0"/>
              <w:autoSpaceDN w:val="0"/>
              <w:adjustRightInd w:val="0"/>
              <w:jc w:val="right"/>
              <w:rPr>
                <w:rFonts w:cs="Arial"/>
                <w:color w:val="000000"/>
                <w:szCs w:val="16"/>
              </w:rPr>
            </w:pPr>
            <w:r w:rsidRPr="00A46ADC">
              <w:t>7.1</w:t>
            </w:r>
          </w:p>
        </w:tc>
        <w:tc>
          <w:tcPr>
            <w:tcW w:w="446" w:type="pct"/>
            <w:noWrap/>
            <w:hideMark/>
          </w:tcPr>
          <w:p w14:paraId="300446E6" w14:textId="77777777" w:rsidR="00DE4516" w:rsidRPr="00A46ADC" w:rsidRDefault="00DE4516" w:rsidP="00DE4516">
            <w:pPr>
              <w:pStyle w:val="TableBody"/>
              <w:autoSpaceDE w:val="0"/>
              <w:autoSpaceDN w:val="0"/>
              <w:adjustRightInd w:val="0"/>
              <w:jc w:val="right"/>
              <w:rPr>
                <w:rFonts w:cs="Arial"/>
                <w:color w:val="000000"/>
                <w:szCs w:val="16"/>
              </w:rPr>
            </w:pPr>
            <w:r w:rsidRPr="00A46ADC">
              <w:t>6.7</w:t>
            </w:r>
          </w:p>
        </w:tc>
        <w:tc>
          <w:tcPr>
            <w:tcW w:w="446" w:type="pct"/>
            <w:noWrap/>
            <w:hideMark/>
          </w:tcPr>
          <w:p w14:paraId="2F20B50E" w14:textId="77777777" w:rsidR="00DE4516" w:rsidRPr="00A46ADC" w:rsidRDefault="00DE4516" w:rsidP="00DE4516">
            <w:pPr>
              <w:pStyle w:val="TableBody"/>
              <w:autoSpaceDE w:val="0"/>
              <w:autoSpaceDN w:val="0"/>
              <w:adjustRightInd w:val="0"/>
              <w:jc w:val="right"/>
              <w:rPr>
                <w:rFonts w:cs="Arial"/>
                <w:color w:val="000000"/>
                <w:szCs w:val="16"/>
              </w:rPr>
            </w:pPr>
            <w:r w:rsidRPr="00A46ADC">
              <w:t>5.9</w:t>
            </w:r>
          </w:p>
        </w:tc>
        <w:tc>
          <w:tcPr>
            <w:tcW w:w="446" w:type="pct"/>
            <w:noWrap/>
            <w:hideMark/>
          </w:tcPr>
          <w:p w14:paraId="14CEA937" w14:textId="77777777" w:rsidR="00DE4516" w:rsidRPr="00A46ADC" w:rsidRDefault="00DE4516" w:rsidP="00DE4516">
            <w:pPr>
              <w:pStyle w:val="TableBody"/>
              <w:autoSpaceDE w:val="0"/>
              <w:autoSpaceDN w:val="0"/>
              <w:adjustRightInd w:val="0"/>
              <w:jc w:val="right"/>
              <w:rPr>
                <w:rFonts w:cs="Arial"/>
                <w:color w:val="000000"/>
                <w:szCs w:val="16"/>
              </w:rPr>
            </w:pPr>
            <w:r w:rsidRPr="00A46ADC">
              <w:t>7.9</w:t>
            </w:r>
          </w:p>
        </w:tc>
        <w:tc>
          <w:tcPr>
            <w:tcW w:w="446" w:type="pct"/>
            <w:noWrap/>
            <w:hideMark/>
          </w:tcPr>
          <w:p w14:paraId="573E4F43" w14:textId="77777777" w:rsidR="00DE4516" w:rsidRPr="00A46ADC" w:rsidRDefault="00DE4516" w:rsidP="00DE4516">
            <w:pPr>
              <w:pStyle w:val="TableBody"/>
              <w:autoSpaceDE w:val="0"/>
              <w:autoSpaceDN w:val="0"/>
              <w:adjustRightInd w:val="0"/>
              <w:jc w:val="right"/>
              <w:rPr>
                <w:rFonts w:cs="Arial"/>
                <w:color w:val="000000"/>
                <w:szCs w:val="16"/>
              </w:rPr>
            </w:pPr>
            <w:r w:rsidRPr="00A46ADC">
              <w:t>6.3</w:t>
            </w:r>
          </w:p>
        </w:tc>
      </w:tr>
      <w:tr w:rsidR="00DE4516" w:rsidRPr="00045A4A" w14:paraId="23BE1DFA" w14:textId="77777777" w:rsidTr="002F793E">
        <w:trPr>
          <w:cantSplit/>
        </w:trPr>
        <w:tc>
          <w:tcPr>
            <w:tcW w:w="1880" w:type="pct"/>
            <w:noWrap/>
            <w:hideMark/>
          </w:tcPr>
          <w:p w14:paraId="4B7E1A3C" w14:textId="77777777" w:rsidR="00DE4516" w:rsidRPr="00A46ADC" w:rsidRDefault="00DE4516" w:rsidP="00DE4516">
            <w:pPr>
              <w:pStyle w:val="TableBody"/>
              <w:autoSpaceDE w:val="0"/>
              <w:autoSpaceDN w:val="0"/>
              <w:adjustRightInd w:val="0"/>
              <w:ind w:left="519"/>
              <w:jc w:val="both"/>
              <w:rPr>
                <w:rFonts w:cs="Arial"/>
                <w:color w:val="000000"/>
                <w:szCs w:val="16"/>
              </w:rPr>
            </w:pPr>
            <w:r w:rsidRPr="00A46ADC">
              <w:t>India</w:t>
            </w:r>
          </w:p>
        </w:tc>
        <w:tc>
          <w:tcPr>
            <w:tcW w:w="446" w:type="pct"/>
            <w:noWrap/>
            <w:hideMark/>
          </w:tcPr>
          <w:p w14:paraId="3FC1406C" w14:textId="77777777" w:rsidR="00DE4516" w:rsidRPr="00A46ADC" w:rsidRDefault="00DE4516" w:rsidP="00DE4516">
            <w:pPr>
              <w:pStyle w:val="TableBody"/>
              <w:autoSpaceDE w:val="0"/>
              <w:autoSpaceDN w:val="0"/>
              <w:adjustRightInd w:val="0"/>
              <w:jc w:val="right"/>
              <w:rPr>
                <w:rFonts w:cs="Arial"/>
                <w:color w:val="000000"/>
                <w:szCs w:val="16"/>
              </w:rPr>
            </w:pPr>
            <w:r w:rsidRPr="00A46ADC">
              <w:t>3.0</w:t>
            </w:r>
          </w:p>
        </w:tc>
        <w:tc>
          <w:tcPr>
            <w:tcW w:w="446" w:type="pct"/>
            <w:noWrap/>
            <w:hideMark/>
          </w:tcPr>
          <w:p w14:paraId="73D133CA" w14:textId="77777777" w:rsidR="00DE4516" w:rsidRPr="00A46ADC" w:rsidRDefault="00DE4516" w:rsidP="00DE4516">
            <w:pPr>
              <w:pStyle w:val="TableBody"/>
              <w:autoSpaceDE w:val="0"/>
              <w:autoSpaceDN w:val="0"/>
              <w:adjustRightInd w:val="0"/>
              <w:jc w:val="right"/>
              <w:rPr>
                <w:rFonts w:cs="Arial"/>
                <w:color w:val="000000"/>
                <w:szCs w:val="16"/>
              </w:rPr>
            </w:pPr>
            <w:r w:rsidRPr="00A46ADC">
              <w:t>3.1</w:t>
            </w:r>
          </w:p>
        </w:tc>
        <w:tc>
          <w:tcPr>
            <w:tcW w:w="446" w:type="pct"/>
            <w:noWrap/>
            <w:hideMark/>
          </w:tcPr>
          <w:p w14:paraId="3BBCD44E" w14:textId="77777777" w:rsidR="00DE4516" w:rsidRPr="00A46ADC" w:rsidRDefault="00DE4516" w:rsidP="00DE4516">
            <w:pPr>
              <w:pStyle w:val="TableBody"/>
              <w:autoSpaceDE w:val="0"/>
              <w:autoSpaceDN w:val="0"/>
              <w:adjustRightInd w:val="0"/>
              <w:jc w:val="right"/>
              <w:rPr>
                <w:rFonts w:cs="Arial"/>
                <w:color w:val="000000"/>
                <w:szCs w:val="16"/>
              </w:rPr>
            </w:pPr>
            <w:r w:rsidRPr="00A46ADC">
              <w:t>3.6</w:t>
            </w:r>
          </w:p>
        </w:tc>
        <w:tc>
          <w:tcPr>
            <w:tcW w:w="446" w:type="pct"/>
            <w:noWrap/>
            <w:hideMark/>
          </w:tcPr>
          <w:p w14:paraId="56297AFE" w14:textId="77777777" w:rsidR="00DE4516" w:rsidRPr="00A46ADC" w:rsidRDefault="00DE4516" w:rsidP="00DE4516">
            <w:pPr>
              <w:pStyle w:val="TableBody"/>
              <w:autoSpaceDE w:val="0"/>
              <w:autoSpaceDN w:val="0"/>
              <w:adjustRightInd w:val="0"/>
              <w:jc w:val="right"/>
              <w:rPr>
                <w:rFonts w:cs="Arial"/>
                <w:color w:val="000000"/>
                <w:szCs w:val="16"/>
              </w:rPr>
            </w:pPr>
            <w:r w:rsidRPr="00A46ADC">
              <w:t>7.4</w:t>
            </w:r>
          </w:p>
        </w:tc>
        <w:tc>
          <w:tcPr>
            <w:tcW w:w="446" w:type="pct"/>
            <w:noWrap/>
            <w:hideMark/>
          </w:tcPr>
          <w:p w14:paraId="10604721" w14:textId="77777777" w:rsidR="00DE4516" w:rsidRPr="00A46ADC" w:rsidRDefault="00DE4516" w:rsidP="00DE4516">
            <w:pPr>
              <w:pStyle w:val="TableBody"/>
              <w:autoSpaceDE w:val="0"/>
              <w:autoSpaceDN w:val="0"/>
              <w:adjustRightInd w:val="0"/>
              <w:jc w:val="right"/>
              <w:rPr>
                <w:rFonts w:cs="Arial"/>
                <w:color w:val="000000"/>
                <w:szCs w:val="16"/>
              </w:rPr>
            </w:pPr>
            <w:r w:rsidRPr="00A46ADC">
              <w:t>6.1</w:t>
            </w:r>
          </w:p>
        </w:tc>
        <w:tc>
          <w:tcPr>
            <w:tcW w:w="446" w:type="pct"/>
            <w:noWrap/>
            <w:hideMark/>
          </w:tcPr>
          <w:p w14:paraId="58958332" w14:textId="77777777" w:rsidR="00DE4516" w:rsidRPr="00A46ADC" w:rsidRDefault="00DE4516" w:rsidP="00DE4516">
            <w:pPr>
              <w:pStyle w:val="TableBody"/>
              <w:autoSpaceDE w:val="0"/>
              <w:autoSpaceDN w:val="0"/>
              <w:adjustRightInd w:val="0"/>
              <w:jc w:val="right"/>
              <w:rPr>
                <w:rFonts w:cs="Arial"/>
                <w:color w:val="000000"/>
                <w:szCs w:val="16"/>
              </w:rPr>
            </w:pPr>
            <w:r w:rsidRPr="00A46ADC">
              <w:t>4.9</w:t>
            </w:r>
          </w:p>
        </w:tc>
        <w:tc>
          <w:tcPr>
            <w:tcW w:w="446" w:type="pct"/>
            <w:noWrap/>
            <w:hideMark/>
          </w:tcPr>
          <w:p w14:paraId="7AD6F691" w14:textId="77777777" w:rsidR="00DE4516" w:rsidRPr="00A46ADC" w:rsidRDefault="00DE4516" w:rsidP="00DE4516">
            <w:pPr>
              <w:pStyle w:val="TableBody"/>
              <w:autoSpaceDE w:val="0"/>
              <w:autoSpaceDN w:val="0"/>
              <w:adjustRightInd w:val="0"/>
              <w:jc w:val="right"/>
              <w:rPr>
                <w:rFonts w:cs="Arial"/>
                <w:color w:val="000000"/>
                <w:szCs w:val="16"/>
              </w:rPr>
            </w:pPr>
            <w:r w:rsidRPr="00A46ADC">
              <w:t>6.0</w:t>
            </w:r>
          </w:p>
        </w:tc>
      </w:tr>
      <w:tr w:rsidR="00DE4516" w:rsidRPr="00045A4A" w14:paraId="3B468B92"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4F90B8B1" w14:textId="77777777" w:rsidR="00DE4516" w:rsidRPr="00A46ADC" w:rsidRDefault="00DE4516" w:rsidP="00DE4516">
            <w:pPr>
              <w:pStyle w:val="TableBody"/>
              <w:autoSpaceDE w:val="0"/>
              <w:autoSpaceDN w:val="0"/>
              <w:adjustRightInd w:val="0"/>
              <w:ind w:left="519"/>
              <w:jc w:val="both"/>
              <w:rPr>
                <w:rFonts w:cs="Arial"/>
                <w:color w:val="000000"/>
                <w:szCs w:val="16"/>
              </w:rPr>
            </w:pPr>
            <w:r w:rsidRPr="00A46ADC">
              <w:t>Malaysia</w:t>
            </w:r>
          </w:p>
        </w:tc>
        <w:tc>
          <w:tcPr>
            <w:tcW w:w="446" w:type="pct"/>
            <w:noWrap/>
            <w:hideMark/>
          </w:tcPr>
          <w:p w14:paraId="7E0A32F7" w14:textId="77777777" w:rsidR="00DE4516" w:rsidRPr="00A46ADC" w:rsidRDefault="00DE4516" w:rsidP="00DE4516">
            <w:pPr>
              <w:pStyle w:val="TableBody"/>
              <w:autoSpaceDE w:val="0"/>
              <w:autoSpaceDN w:val="0"/>
              <w:adjustRightInd w:val="0"/>
              <w:jc w:val="right"/>
              <w:rPr>
                <w:rFonts w:cs="Arial"/>
                <w:color w:val="000000"/>
                <w:szCs w:val="16"/>
              </w:rPr>
            </w:pPr>
            <w:r w:rsidRPr="00A46ADC">
              <w:t>0.5</w:t>
            </w:r>
          </w:p>
        </w:tc>
        <w:tc>
          <w:tcPr>
            <w:tcW w:w="446" w:type="pct"/>
            <w:noWrap/>
            <w:hideMark/>
          </w:tcPr>
          <w:p w14:paraId="685237AC" w14:textId="77777777" w:rsidR="00DE4516" w:rsidRPr="00A46ADC" w:rsidRDefault="00DE4516" w:rsidP="00DE4516">
            <w:pPr>
              <w:pStyle w:val="TableBody"/>
              <w:autoSpaceDE w:val="0"/>
              <w:autoSpaceDN w:val="0"/>
              <w:adjustRightInd w:val="0"/>
              <w:jc w:val="right"/>
              <w:rPr>
                <w:rFonts w:cs="Arial"/>
                <w:color w:val="000000"/>
                <w:szCs w:val="16"/>
              </w:rPr>
            </w:pPr>
            <w:r w:rsidRPr="00A46ADC">
              <w:t>0.9</w:t>
            </w:r>
          </w:p>
        </w:tc>
        <w:tc>
          <w:tcPr>
            <w:tcW w:w="446" w:type="pct"/>
            <w:noWrap/>
            <w:hideMark/>
          </w:tcPr>
          <w:p w14:paraId="352EAAC2" w14:textId="77777777" w:rsidR="00DE4516" w:rsidRPr="00A46ADC" w:rsidRDefault="00DE4516" w:rsidP="00DE4516">
            <w:pPr>
              <w:pStyle w:val="TableBody"/>
              <w:autoSpaceDE w:val="0"/>
              <w:autoSpaceDN w:val="0"/>
              <w:adjustRightInd w:val="0"/>
              <w:jc w:val="right"/>
              <w:rPr>
                <w:rFonts w:cs="Arial"/>
                <w:color w:val="000000"/>
                <w:szCs w:val="16"/>
              </w:rPr>
            </w:pPr>
            <w:r w:rsidRPr="00A46ADC">
              <w:t>1.0</w:t>
            </w:r>
          </w:p>
        </w:tc>
        <w:tc>
          <w:tcPr>
            <w:tcW w:w="446" w:type="pct"/>
            <w:noWrap/>
            <w:hideMark/>
          </w:tcPr>
          <w:p w14:paraId="5A59B62F" w14:textId="77777777" w:rsidR="00DE4516" w:rsidRPr="00A46ADC" w:rsidRDefault="00DE4516" w:rsidP="00DE4516">
            <w:pPr>
              <w:pStyle w:val="TableBody"/>
              <w:autoSpaceDE w:val="0"/>
              <w:autoSpaceDN w:val="0"/>
              <w:adjustRightInd w:val="0"/>
              <w:jc w:val="right"/>
              <w:rPr>
                <w:rFonts w:cs="Arial"/>
                <w:color w:val="000000"/>
                <w:szCs w:val="16"/>
              </w:rPr>
            </w:pPr>
            <w:r w:rsidRPr="00A46ADC">
              <w:t>1.8</w:t>
            </w:r>
          </w:p>
        </w:tc>
        <w:tc>
          <w:tcPr>
            <w:tcW w:w="446" w:type="pct"/>
            <w:noWrap/>
            <w:hideMark/>
          </w:tcPr>
          <w:p w14:paraId="3EAEFD85" w14:textId="77777777" w:rsidR="00DE4516" w:rsidRPr="00A46ADC" w:rsidRDefault="00DE4516" w:rsidP="00DE4516">
            <w:pPr>
              <w:pStyle w:val="TableBody"/>
              <w:autoSpaceDE w:val="0"/>
              <w:autoSpaceDN w:val="0"/>
              <w:adjustRightInd w:val="0"/>
              <w:jc w:val="right"/>
              <w:rPr>
                <w:rFonts w:cs="Arial"/>
                <w:color w:val="000000"/>
                <w:szCs w:val="16"/>
              </w:rPr>
            </w:pPr>
            <w:r w:rsidRPr="00A46ADC">
              <w:t>0.8</w:t>
            </w:r>
          </w:p>
        </w:tc>
        <w:tc>
          <w:tcPr>
            <w:tcW w:w="446" w:type="pct"/>
            <w:noWrap/>
            <w:hideMark/>
          </w:tcPr>
          <w:p w14:paraId="5A40A5FD" w14:textId="77777777" w:rsidR="00DE4516" w:rsidRPr="00A46ADC" w:rsidRDefault="00DE4516" w:rsidP="00DE4516">
            <w:pPr>
              <w:pStyle w:val="TableBody"/>
              <w:autoSpaceDE w:val="0"/>
              <w:autoSpaceDN w:val="0"/>
              <w:adjustRightInd w:val="0"/>
              <w:jc w:val="right"/>
              <w:rPr>
                <w:rFonts w:cs="Arial"/>
                <w:color w:val="000000"/>
                <w:szCs w:val="16"/>
              </w:rPr>
            </w:pPr>
            <w:r w:rsidRPr="00A46ADC">
              <w:t>1.1</w:t>
            </w:r>
          </w:p>
        </w:tc>
        <w:tc>
          <w:tcPr>
            <w:tcW w:w="446" w:type="pct"/>
            <w:noWrap/>
            <w:hideMark/>
          </w:tcPr>
          <w:p w14:paraId="7D2CD078" w14:textId="77777777" w:rsidR="00DE4516" w:rsidRPr="00A46ADC" w:rsidRDefault="00DE4516" w:rsidP="00DE4516">
            <w:pPr>
              <w:pStyle w:val="TableBody"/>
              <w:autoSpaceDE w:val="0"/>
              <w:autoSpaceDN w:val="0"/>
              <w:adjustRightInd w:val="0"/>
              <w:jc w:val="right"/>
              <w:rPr>
                <w:rFonts w:cs="Arial"/>
                <w:color w:val="000000"/>
                <w:szCs w:val="16"/>
              </w:rPr>
            </w:pPr>
            <w:r w:rsidRPr="00A46ADC">
              <w:t>2.1</w:t>
            </w:r>
          </w:p>
        </w:tc>
      </w:tr>
      <w:tr w:rsidR="00DE4516" w:rsidRPr="00045A4A" w14:paraId="262E5482" w14:textId="77777777" w:rsidTr="002F793E">
        <w:trPr>
          <w:cantSplit/>
        </w:trPr>
        <w:tc>
          <w:tcPr>
            <w:tcW w:w="1880" w:type="pct"/>
            <w:noWrap/>
            <w:hideMark/>
          </w:tcPr>
          <w:p w14:paraId="1C65432C" w14:textId="77777777" w:rsidR="00DE4516" w:rsidRPr="00A46ADC" w:rsidRDefault="00DE4516" w:rsidP="00DE4516">
            <w:pPr>
              <w:pStyle w:val="TableBody"/>
              <w:autoSpaceDE w:val="0"/>
              <w:autoSpaceDN w:val="0"/>
              <w:adjustRightInd w:val="0"/>
              <w:ind w:left="519"/>
              <w:jc w:val="both"/>
              <w:rPr>
                <w:rFonts w:cs="Arial"/>
                <w:color w:val="000000"/>
                <w:szCs w:val="16"/>
              </w:rPr>
            </w:pPr>
            <w:r w:rsidRPr="00A46ADC">
              <w:t>Singapore</w:t>
            </w:r>
          </w:p>
        </w:tc>
        <w:tc>
          <w:tcPr>
            <w:tcW w:w="446" w:type="pct"/>
            <w:noWrap/>
            <w:hideMark/>
          </w:tcPr>
          <w:p w14:paraId="73CEAE5F" w14:textId="77777777" w:rsidR="00DE4516" w:rsidRPr="00A46ADC" w:rsidRDefault="00DE4516" w:rsidP="00DE4516">
            <w:pPr>
              <w:pStyle w:val="TableBody"/>
              <w:autoSpaceDE w:val="0"/>
              <w:autoSpaceDN w:val="0"/>
              <w:adjustRightInd w:val="0"/>
              <w:jc w:val="right"/>
              <w:rPr>
                <w:rFonts w:cs="Arial"/>
                <w:color w:val="000000"/>
                <w:szCs w:val="16"/>
              </w:rPr>
            </w:pPr>
            <w:r w:rsidRPr="00A46ADC">
              <w:t>1.0</w:t>
            </w:r>
          </w:p>
        </w:tc>
        <w:tc>
          <w:tcPr>
            <w:tcW w:w="446" w:type="pct"/>
            <w:noWrap/>
            <w:hideMark/>
          </w:tcPr>
          <w:p w14:paraId="5B0465FA" w14:textId="77777777" w:rsidR="00DE4516" w:rsidRPr="00A46ADC" w:rsidRDefault="00DE4516" w:rsidP="00DE4516">
            <w:pPr>
              <w:pStyle w:val="TableBody"/>
              <w:autoSpaceDE w:val="0"/>
              <w:autoSpaceDN w:val="0"/>
              <w:adjustRightInd w:val="0"/>
              <w:jc w:val="right"/>
              <w:rPr>
                <w:rFonts w:cs="Arial"/>
                <w:color w:val="000000"/>
                <w:szCs w:val="16"/>
              </w:rPr>
            </w:pPr>
            <w:r w:rsidRPr="00A46ADC">
              <w:t>2.1</w:t>
            </w:r>
          </w:p>
        </w:tc>
        <w:tc>
          <w:tcPr>
            <w:tcW w:w="446" w:type="pct"/>
            <w:noWrap/>
            <w:hideMark/>
          </w:tcPr>
          <w:p w14:paraId="52C8FE36" w14:textId="77777777" w:rsidR="00DE4516" w:rsidRPr="00A46ADC" w:rsidRDefault="00DE4516" w:rsidP="00DE4516">
            <w:pPr>
              <w:pStyle w:val="TableBody"/>
              <w:autoSpaceDE w:val="0"/>
              <w:autoSpaceDN w:val="0"/>
              <w:adjustRightInd w:val="0"/>
              <w:jc w:val="right"/>
              <w:rPr>
                <w:rFonts w:cs="Arial"/>
                <w:color w:val="000000"/>
                <w:szCs w:val="16"/>
              </w:rPr>
            </w:pPr>
            <w:r w:rsidRPr="00A46ADC">
              <w:t>1.1</w:t>
            </w:r>
          </w:p>
        </w:tc>
        <w:tc>
          <w:tcPr>
            <w:tcW w:w="446" w:type="pct"/>
            <w:noWrap/>
            <w:hideMark/>
          </w:tcPr>
          <w:p w14:paraId="03CD4805" w14:textId="77777777" w:rsidR="00DE4516" w:rsidRPr="00A46ADC" w:rsidRDefault="00DE4516" w:rsidP="00DE4516">
            <w:pPr>
              <w:pStyle w:val="TableBody"/>
              <w:autoSpaceDE w:val="0"/>
              <w:autoSpaceDN w:val="0"/>
              <w:adjustRightInd w:val="0"/>
              <w:jc w:val="right"/>
              <w:rPr>
                <w:rFonts w:cs="Arial"/>
                <w:color w:val="000000"/>
                <w:szCs w:val="16"/>
              </w:rPr>
            </w:pPr>
            <w:r w:rsidRPr="00A46ADC">
              <w:t>0.6</w:t>
            </w:r>
          </w:p>
        </w:tc>
        <w:tc>
          <w:tcPr>
            <w:tcW w:w="446" w:type="pct"/>
            <w:noWrap/>
            <w:hideMark/>
          </w:tcPr>
          <w:p w14:paraId="75509898" w14:textId="77777777" w:rsidR="00DE4516" w:rsidRPr="00A46ADC" w:rsidRDefault="00DE4516" w:rsidP="00DE4516">
            <w:pPr>
              <w:pStyle w:val="TableBody"/>
              <w:autoSpaceDE w:val="0"/>
              <w:autoSpaceDN w:val="0"/>
              <w:adjustRightInd w:val="0"/>
              <w:jc w:val="right"/>
              <w:rPr>
                <w:rFonts w:cs="Arial"/>
                <w:color w:val="000000"/>
                <w:szCs w:val="16"/>
              </w:rPr>
            </w:pPr>
            <w:r w:rsidRPr="00A46ADC">
              <w:t>1.6</w:t>
            </w:r>
          </w:p>
        </w:tc>
        <w:tc>
          <w:tcPr>
            <w:tcW w:w="446" w:type="pct"/>
            <w:noWrap/>
            <w:hideMark/>
          </w:tcPr>
          <w:p w14:paraId="2FFAE293" w14:textId="77777777" w:rsidR="00DE4516" w:rsidRPr="00A46ADC" w:rsidRDefault="00DE4516" w:rsidP="00DE4516">
            <w:pPr>
              <w:pStyle w:val="TableBody"/>
              <w:autoSpaceDE w:val="0"/>
              <w:autoSpaceDN w:val="0"/>
              <w:adjustRightInd w:val="0"/>
              <w:jc w:val="right"/>
              <w:rPr>
                <w:rFonts w:cs="Arial"/>
                <w:color w:val="000000"/>
                <w:szCs w:val="16"/>
              </w:rPr>
            </w:pPr>
            <w:r w:rsidRPr="00A46ADC">
              <w:t>2.6</w:t>
            </w:r>
          </w:p>
        </w:tc>
        <w:tc>
          <w:tcPr>
            <w:tcW w:w="446" w:type="pct"/>
            <w:noWrap/>
            <w:hideMark/>
          </w:tcPr>
          <w:p w14:paraId="46D2F5D9" w14:textId="77777777" w:rsidR="00DE4516" w:rsidRPr="00A46ADC" w:rsidRDefault="00DE4516" w:rsidP="00DE4516">
            <w:pPr>
              <w:pStyle w:val="TableBody"/>
              <w:autoSpaceDE w:val="0"/>
              <w:autoSpaceDN w:val="0"/>
              <w:adjustRightInd w:val="0"/>
              <w:jc w:val="right"/>
              <w:rPr>
                <w:rFonts w:cs="Arial"/>
                <w:color w:val="000000"/>
                <w:szCs w:val="16"/>
              </w:rPr>
            </w:pPr>
            <w:r w:rsidRPr="00A46ADC">
              <w:t>1.7</w:t>
            </w:r>
          </w:p>
        </w:tc>
      </w:tr>
      <w:tr w:rsidR="00DE4516" w:rsidRPr="00045A4A" w14:paraId="260728FA"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5A6CCE6D" w14:textId="77777777" w:rsidR="00DE4516" w:rsidRPr="00A46ADC" w:rsidRDefault="00DE4516" w:rsidP="00DE4516">
            <w:pPr>
              <w:pStyle w:val="TableBody"/>
              <w:autoSpaceDE w:val="0"/>
              <w:autoSpaceDN w:val="0"/>
              <w:adjustRightInd w:val="0"/>
              <w:ind w:left="519"/>
              <w:jc w:val="both"/>
              <w:rPr>
                <w:rFonts w:cs="Arial"/>
                <w:color w:val="000000"/>
                <w:szCs w:val="16"/>
              </w:rPr>
            </w:pPr>
            <w:r w:rsidRPr="00A46ADC">
              <w:t>Hong Kong, China</w:t>
            </w:r>
          </w:p>
        </w:tc>
        <w:tc>
          <w:tcPr>
            <w:tcW w:w="446" w:type="pct"/>
            <w:noWrap/>
            <w:hideMark/>
          </w:tcPr>
          <w:p w14:paraId="1B380537" w14:textId="77777777" w:rsidR="00DE4516" w:rsidRPr="00A46ADC" w:rsidRDefault="00DE4516" w:rsidP="00DE4516">
            <w:pPr>
              <w:pStyle w:val="TableBody"/>
              <w:autoSpaceDE w:val="0"/>
              <w:autoSpaceDN w:val="0"/>
              <w:adjustRightInd w:val="0"/>
              <w:jc w:val="right"/>
              <w:rPr>
                <w:rFonts w:cs="Arial"/>
                <w:color w:val="000000"/>
                <w:szCs w:val="16"/>
              </w:rPr>
            </w:pPr>
            <w:r w:rsidRPr="00A46ADC">
              <w:t>0.2</w:t>
            </w:r>
          </w:p>
        </w:tc>
        <w:tc>
          <w:tcPr>
            <w:tcW w:w="446" w:type="pct"/>
            <w:noWrap/>
            <w:hideMark/>
          </w:tcPr>
          <w:p w14:paraId="4F2CCBBF" w14:textId="77777777" w:rsidR="00DE4516" w:rsidRPr="00A46ADC" w:rsidRDefault="00DE4516" w:rsidP="00DE4516">
            <w:pPr>
              <w:pStyle w:val="TableBody"/>
              <w:autoSpaceDE w:val="0"/>
              <w:autoSpaceDN w:val="0"/>
              <w:adjustRightInd w:val="0"/>
              <w:jc w:val="right"/>
              <w:rPr>
                <w:rFonts w:cs="Arial"/>
                <w:color w:val="000000"/>
                <w:szCs w:val="16"/>
              </w:rPr>
            </w:pPr>
            <w:r w:rsidRPr="00A46ADC">
              <w:t>0.2</w:t>
            </w:r>
          </w:p>
        </w:tc>
        <w:tc>
          <w:tcPr>
            <w:tcW w:w="446" w:type="pct"/>
            <w:noWrap/>
            <w:hideMark/>
          </w:tcPr>
          <w:p w14:paraId="04914425" w14:textId="77777777" w:rsidR="00DE4516" w:rsidRPr="00A46ADC" w:rsidRDefault="00DE4516" w:rsidP="00DE4516">
            <w:pPr>
              <w:pStyle w:val="TableBody"/>
              <w:autoSpaceDE w:val="0"/>
              <w:autoSpaceDN w:val="0"/>
              <w:adjustRightInd w:val="0"/>
              <w:jc w:val="right"/>
              <w:rPr>
                <w:rFonts w:cs="Arial"/>
                <w:color w:val="000000"/>
                <w:szCs w:val="16"/>
              </w:rPr>
            </w:pPr>
            <w:r w:rsidRPr="00A46ADC">
              <w:t>0.4</w:t>
            </w:r>
          </w:p>
        </w:tc>
        <w:tc>
          <w:tcPr>
            <w:tcW w:w="446" w:type="pct"/>
            <w:noWrap/>
            <w:hideMark/>
          </w:tcPr>
          <w:p w14:paraId="53EFE62E" w14:textId="77777777" w:rsidR="00DE4516" w:rsidRPr="00A46ADC" w:rsidRDefault="00DE4516" w:rsidP="00DE4516">
            <w:pPr>
              <w:pStyle w:val="TableBody"/>
              <w:autoSpaceDE w:val="0"/>
              <w:autoSpaceDN w:val="0"/>
              <w:adjustRightInd w:val="0"/>
              <w:jc w:val="right"/>
              <w:rPr>
                <w:rFonts w:cs="Arial"/>
                <w:color w:val="000000"/>
                <w:szCs w:val="16"/>
              </w:rPr>
            </w:pPr>
            <w:r w:rsidRPr="00A46ADC">
              <w:t>0.4</w:t>
            </w:r>
          </w:p>
        </w:tc>
        <w:tc>
          <w:tcPr>
            <w:tcW w:w="446" w:type="pct"/>
            <w:noWrap/>
            <w:hideMark/>
          </w:tcPr>
          <w:p w14:paraId="355E4908" w14:textId="77777777" w:rsidR="00DE4516" w:rsidRPr="00A46ADC" w:rsidRDefault="00DE4516" w:rsidP="00DE4516">
            <w:pPr>
              <w:pStyle w:val="TableBody"/>
              <w:autoSpaceDE w:val="0"/>
              <w:autoSpaceDN w:val="0"/>
              <w:adjustRightInd w:val="0"/>
              <w:jc w:val="right"/>
              <w:rPr>
                <w:rFonts w:cs="Arial"/>
                <w:color w:val="000000"/>
                <w:szCs w:val="16"/>
              </w:rPr>
            </w:pPr>
            <w:r w:rsidRPr="00A46ADC">
              <w:t>0.3</w:t>
            </w:r>
          </w:p>
        </w:tc>
        <w:tc>
          <w:tcPr>
            <w:tcW w:w="446" w:type="pct"/>
            <w:noWrap/>
            <w:hideMark/>
          </w:tcPr>
          <w:p w14:paraId="7D2474F8" w14:textId="77777777" w:rsidR="00DE4516" w:rsidRPr="00A46ADC" w:rsidRDefault="00DE4516" w:rsidP="00DE4516">
            <w:pPr>
              <w:pStyle w:val="TableBody"/>
              <w:autoSpaceDE w:val="0"/>
              <w:autoSpaceDN w:val="0"/>
              <w:adjustRightInd w:val="0"/>
              <w:jc w:val="right"/>
              <w:rPr>
                <w:rFonts w:cs="Arial"/>
                <w:color w:val="000000"/>
                <w:szCs w:val="16"/>
              </w:rPr>
            </w:pPr>
            <w:r w:rsidRPr="00A46ADC">
              <w:t>0.2</w:t>
            </w:r>
          </w:p>
        </w:tc>
        <w:tc>
          <w:tcPr>
            <w:tcW w:w="446" w:type="pct"/>
            <w:noWrap/>
            <w:hideMark/>
          </w:tcPr>
          <w:p w14:paraId="7AA84FB7" w14:textId="77777777" w:rsidR="00DE4516" w:rsidRPr="00A46ADC" w:rsidRDefault="00DE4516" w:rsidP="00DE4516">
            <w:pPr>
              <w:pStyle w:val="TableBody"/>
              <w:autoSpaceDE w:val="0"/>
              <w:autoSpaceDN w:val="0"/>
              <w:adjustRightInd w:val="0"/>
              <w:jc w:val="right"/>
              <w:rPr>
                <w:rFonts w:cs="Arial"/>
                <w:color w:val="000000"/>
                <w:szCs w:val="16"/>
              </w:rPr>
            </w:pPr>
            <w:r w:rsidRPr="00A46ADC">
              <w:t>0.5</w:t>
            </w:r>
          </w:p>
        </w:tc>
      </w:tr>
      <w:tr w:rsidR="00DE4516" w:rsidRPr="00045A4A" w14:paraId="50845067" w14:textId="77777777" w:rsidTr="002F793E">
        <w:trPr>
          <w:cantSplit/>
        </w:trPr>
        <w:tc>
          <w:tcPr>
            <w:tcW w:w="1880" w:type="pct"/>
            <w:noWrap/>
            <w:hideMark/>
          </w:tcPr>
          <w:p w14:paraId="7BBBBE48" w14:textId="77777777" w:rsidR="00DE4516" w:rsidRPr="00A46ADC" w:rsidRDefault="00DE4516" w:rsidP="00DE4516">
            <w:pPr>
              <w:pStyle w:val="TableBody"/>
              <w:autoSpaceDE w:val="0"/>
              <w:autoSpaceDN w:val="0"/>
              <w:adjustRightInd w:val="0"/>
              <w:jc w:val="both"/>
              <w:rPr>
                <w:rFonts w:cs="Arial"/>
                <w:b/>
                <w:bCs/>
                <w:color w:val="000000"/>
                <w:szCs w:val="16"/>
              </w:rPr>
            </w:pPr>
            <w:r w:rsidRPr="00A46ADC">
              <w:rPr>
                <w:b/>
              </w:rPr>
              <w:t>Other</w:t>
            </w:r>
          </w:p>
        </w:tc>
        <w:tc>
          <w:tcPr>
            <w:tcW w:w="446" w:type="pct"/>
            <w:noWrap/>
            <w:hideMark/>
          </w:tcPr>
          <w:p w14:paraId="6C7FCA96"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1.5</w:t>
            </w:r>
          </w:p>
        </w:tc>
        <w:tc>
          <w:tcPr>
            <w:tcW w:w="446" w:type="pct"/>
            <w:noWrap/>
            <w:hideMark/>
          </w:tcPr>
          <w:p w14:paraId="7D8BD533"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1.4</w:t>
            </w:r>
          </w:p>
        </w:tc>
        <w:tc>
          <w:tcPr>
            <w:tcW w:w="446" w:type="pct"/>
            <w:noWrap/>
            <w:hideMark/>
          </w:tcPr>
          <w:p w14:paraId="787EF757"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1.8</w:t>
            </w:r>
          </w:p>
        </w:tc>
        <w:tc>
          <w:tcPr>
            <w:tcW w:w="446" w:type="pct"/>
            <w:noWrap/>
            <w:hideMark/>
          </w:tcPr>
          <w:p w14:paraId="39E3C183"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3.2</w:t>
            </w:r>
          </w:p>
        </w:tc>
        <w:tc>
          <w:tcPr>
            <w:tcW w:w="446" w:type="pct"/>
            <w:noWrap/>
            <w:hideMark/>
          </w:tcPr>
          <w:p w14:paraId="718390A2"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6.5</w:t>
            </w:r>
          </w:p>
        </w:tc>
        <w:tc>
          <w:tcPr>
            <w:tcW w:w="446" w:type="pct"/>
            <w:noWrap/>
            <w:hideMark/>
          </w:tcPr>
          <w:p w14:paraId="5F509315"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6.2</w:t>
            </w:r>
          </w:p>
        </w:tc>
        <w:tc>
          <w:tcPr>
            <w:tcW w:w="446" w:type="pct"/>
            <w:noWrap/>
            <w:hideMark/>
          </w:tcPr>
          <w:p w14:paraId="31276CC3" w14:textId="77777777" w:rsidR="00DE4516" w:rsidRPr="00A46ADC" w:rsidRDefault="00DE4516" w:rsidP="00DE4516">
            <w:pPr>
              <w:pStyle w:val="TableBody"/>
              <w:autoSpaceDE w:val="0"/>
              <w:autoSpaceDN w:val="0"/>
              <w:adjustRightInd w:val="0"/>
              <w:jc w:val="right"/>
              <w:rPr>
                <w:rFonts w:cs="Arial"/>
                <w:b/>
                <w:bCs/>
                <w:color w:val="000000"/>
                <w:szCs w:val="16"/>
              </w:rPr>
            </w:pPr>
            <w:r w:rsidRPr="00A46ADC">
              <w:rPr>
                <w:b/>
              </w:rPr>
              <w:t>5.4</w:t>
            </w:r>
          </w:p>
        </w:tc>
      </w:tr>
      <w:tr w:rsidR="00DE4516" w:rsidRPr="00045A4A" w14:paraId="68296E92"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7F0D57E8" w14:textId="77777777" w:rsidR="00DE4516" w:rsidRPr="00A46ADC" w:rsidRDefault="00DE4516" w:rsidP="00DE4516">
            <w:pPr>
              <w:pStyle w:val="TableBody"/>
              <w:autoSpaceDE w:val="0"/>
              <w:autoSpaceDN w:val="0"/>
              <w:adjustRightInd w:val="0"/>
              <w:jc w:val="both"/>
              <w:rPr>
                <w:rFonts w:cs="Arial"/>
                <w:color w:val="000000"/>
                <w:szCs w:val="16"/>
              </w:rPr>
            </w:pPr>
            <w:r w:rsidRPr="00A46ADC">
              <w:t>Memo:</w:t>
            </w:r>
          </w:p>
        </w:tc>
        <w:tc>
          <w:tcPr>
            <w:tcW w:w="446" w:type="pct"/>
            <w:noWrap/>
            <w:hideMark/>
          </w:tcPr>
          <w:p w14:paraId="3DF24CFA" w14:textId="77777777" w:rsidR="00DE4516" w:rsidRPr="00A46ADC" w:rsidRDefault="00DE4516" w:rsidP="00DE4516">
            <w:pPr>
              <w:pStyle w:val="TableBody"/>
              <w:autoSpaceDE w:val="0"/>
              <w:autoSpaceDN w:val="0"/>
              <w:adjustRightInd w:val="0"/>
            </w:pPr>
          </w:p>
        </w:tc>
        <w:tc>
          <w:tcPr>
            <w:tcW w:w="446" w:type="pct"/>
            <w:noWrap/>
            <w:hideMark/>
          </w:tcPr>
          <w:p w14:paraId="137FE9AA" w14:textId="77777777" w:rsidR="00DE4516" w:rsidRPr="00A46ADC" w:rsidRDefault="00DE4516" w:rsidP="00DE4516">
            <w:pPr>
              <w:pStyle w:val="TableBody"/>
              <w:autoSpaceDE w:val="0"/>
              <w:autoSpaceDN w:val="0"/>
              <w:adjustRightInd w:val="0"/>
            </w:pPr>
          </w:p>
        </w:tc>
        <w:tc>
          <w:tcPr>
            <w:tcW w:w="446" w:type="pct"/>
            <w:noWrap/>
            <w:hideMark/>
          </w:tcPr>
          <w:p w14:paraId="2D33E63E" w14:textId="77777777" w:rsidR="00DE4516" w:rsidRPr="00A46ADC" w:rsidRDefault="00DE4516" w:rsidP="00DE4516">
            <w:pPr>
              <w:pStyle w:val="TableBody"/>
              <w:autoSpaceDE w:val="0"/>
              <w:autoSpaceDN w:val="0"/>
              <w:adjustRightInd w:val="0"/>
            </w:pPr>
          </w:p>
        </w:tc>
        <w:tc>
          <w:tcPr>
            <w:tcW w:w="446" w:type="pct"/>
            <w:noWrap/>
            <w:hideMark/>
          </w:tcPr>
          <w:p w14:paraId="3B1496F0" w14:textId="77777777" w:rsidR="00DE4516" w:rsidRPr="00A46ADC" w:rsidRDefault="00DE4516" w:rsidP="00DE4516">
            <w:pPr>
              <w:pStyle w:val="TableBody"/>
              <w:autoSpaceDE w:val="0"/>
              <w:autoSpaceDN w:val="0"/>
              <w:adjustRightInd w:val="0"/>
            </w:pPr>
          </w:p>
        </w:tc>
        <w:tc>
          <w:tcPr>
            <w:tcW w:w="446" w:type="pct"/>
            <w:noWrap/>
            <w:hideMark/>
          </w:tcPr>
          <w:p w14:paraId="1FEF5ACB" w14:textId="77777777" w:rsidR="00DE4516" w:rsidRPr="00A46ADC" w:rsidRDefault="00DE4516" w:rsidP="00DE4516">
            <w:pPr>
              <w:pStyle w:val="TableBody"/>
              <w:autoSpaceDE w:val="0"/>
              <w:autoSpaceDN w:val="0"/>
              <w:adjustRightInd w:val="0"/>
            </w:pPr>
          </w:p>
        </w:tc>
        <w:tc>
          <w:tcPr>
            <w:tcW w:w="446" w:type="pct"/>
            <w:noWrap/>
            <w:hideMark/>
          </w:tcPr>
          <w:p w14:paraId="3C7ADCE9" w14:textId="77777777" w:rsidR="00DE4516" w:rsidRPr="00A46ADC" w:rsidRDefault="00DE4516" w:rsidP="00DE4516">
            <w:pPr>
              <w:pStyle w:val="TableBody"/>
              <w:autoSpaceDE w:val="0"/>
              <w:autoSpaceDN w:val="0"/>
              <w:adjustRightInd w:val="0"/>
            </w:pPr>
          </w:p>
        </w:tc>
        <w:tc>
          <w:tcPr>
            <w:tcW w:w="446" w:type="pct"/>
            <w:noWrap/>
            <w:hideMark/>
          </w:tcPr>
          <w:p w14:paraId="5079B534" w14:textId="77777777" w:rsidR="00DE4516" w:rsidRPr="00A46ADC" w:rsidRDefault="00DE4516" w:rsidP="00DE4516">
            <w:pPr>
              <w:pStyle w:val="TableBody"/>
              <w:autoSpaceDE w:val="0"/>
              <w:autoSpaceDN w:val="0"/>
              <w:adjustRightInd w:val="0"/>
            </w:pPr>
          </w:p>
        </w:tc>
      </w:tr>
      <w:tr w:rsidR="00DE4516" w:rsidRPr="00045A4A" w14:paraId="74554914" w14:textId="77777777" w:rsidTr="002F793E">
        <w:trPr>
          <w:cantSplit/>
        </w:trPr>
        <w:tc>
          <w:tcPr>
            <w:tcW w:w="1880" w:type="pct"/>
            <w:noWrap/>
            <w:hideMark/>
          </w:tcPr>
          <w:p w14:paraId="1883B959" w14:textId="77777777" w:rsidR="00DE4516" w:rsidRPr="00A46ADC" w:rsidRDefault="00DE4516" w:rsidP="00DE4516">
            <w:pPr>
              <w:pStyle w:val="TableBody"/>
              <w:autoSpaceDE w:val="0"/>
              <w:autoSpaceDN w:val="0"/>
              <w:adjustRightInd w:val="0"/>
              <w:rPr>
                <w:rFonts w:cs="Arial"/>
                <w:color w:val="000000"/>
                <w:szCs w:val="16"/>
              </w:rPr>
            </w:pPr>
            <w:r w:rsidRPr="00A46ADC">
              <w:t>EU-28</w:t>
            </w:r>
          </w:p>
        </w:tc>
        <w:tc>
          <w:tcPr>
            <w:tcW w:w="446" w:type="pct"/>
            <w:noWrap/>
            <w:hideMark/>
          </w:tcPr>
          <w:p w14:paraId="106A4ACD" w14:textId="77777777" w:rsidR="00DE4516" w:rsidRPr="00A46ADC" w:rsidRDefault="00DE4516" w:rsidP="00DE4516">
            <w:pPr>
              <w:pStyle w:val="TableBody"/>
              <w:autoSpaceDE w:val="0"/>
              <w:autoSpaceDN w:val="0"/>
              <w:adjustRightInd w:val="0"/>
              <w:jc w:val="right"/>
              <w:rPr>
                <w:rFonts w:cs="Arial"/>
                <w:color w:val="000000"/>
                <w:szCs w:val="16"/>
              </w:rPr>
            </w:pPr>
            <w:r w:rsidRPr="00A46ADC">
              <w:t>1.3</w:t>
            </w:r>
          </w:p>
        </w:tc>
        <w:tc>
          <w:tcPr>
            <w:tcW w:w="446" w:type="pct"/>
            <w:noWrap/>
            <w:hideMark/>
          </w:tcPr>
          <w:p w14:paraId="58C4482D" w14:textId="77777777" w:rsidR="00DE4516" w:rsidRPr="00A46ADC" w:rsidRDefault="00DE4516" w:rsidP="00DE4516">
            <w:pPr>
              <w:pStyle w:val="TableBody"/>
              <w:autoSpaceDE w:val="0"/>
              <w:autoSpaceDN w:val="0"/>
              <w:adjustRightInd w:val="0"/>
              <w:jc w:val="right"/>
              <w:rPr>
                <w:rFonts w:cs="Arial"/>
                <w:color w:val="000000"/>
                <w:szCs w:val="16"/>
              </w:rPr>
            </w:pPr>
            <w:r w:rsidRPr="00A46ADC">
              <w:t>1.5</w:t>
            </w:r>
          </w:p>
        </w:tc>
        <w:tc>
          <w:tcPr>
            <w:tcW w:w="446" w:type="pct"/>
            <w:noWrap/>
            <w:hideMark/>
          </w:tcPr>
          <w:p w14:paraId="7D11DEE7" w14:textId="77777777" w:rsidR="00DE4516" w:rsidRPr="00A46ADC" w:rsidRDefault="00DE4516" w:rsidP="00DE4516">
            <w:pPr>
              <w:pStyle w:val="TableBody"/>
              <w:autoSpaceDE w:val="0"/>
              <w:autoSpaceDN w:val="0"/>
              <w:adjustRightInd w:val="0"/>
              <w:jc w:val="right"/>
              <w:rPr>
                <w:rFonts w:cs="Arial"/>
                <w:color w:val="000000"/>
                <w:szCs w:val="16"/>
              </w:rPr>
            </w:pPr>
            <w:r w:rsidRPr="00A46ADC">
              <w:t>1.9</w:t>
            </w:r>
          </w:p>
        </w:tc>
        <w:tc>
          <w:tcPr>
            <w:tcW w:w="446" w:type="pct"/>
            <w:noWrap/>
            <w:hideMark/>
          </w:tcPr>
          <w:p w14:paraId="31A14E16" w14:textId="77777777" w:rsidR="00DE4516" w:rsidRPr="00A46ADC" w:rsidRDefault="00DE4516" w:rsidP="00DE4516">
            <w:pPr>
              <w:pStyle w:val="TableBody"/>
              <w:autoSpaceDE w:val="0"/>
              <w:autoSpaceDN w:val="0"/>
              <w:adjustRightInd w:val="0"/>
              <w:jc w:val="right"/>
              <w:rPr>
                <w:rFonts w:cs="Arial"/>
                <w:color w:val="000000"/>
                <w:szCs w:val="16"/>
              </w:rPr>
            </w:pPr>
            <w:r w:rsidRPr="00A46ADC">
              <w:t>1.4</w:t>
            </w:r>
          </w:p>
        </w:tc>
        <w:tc>
          <w:tcPr>
            <w:tcW w:w="446" w:type="pct"/>
            <w:noWrap/>
            <w:hideMark/>
          </w:tcPr>
          <w:p w14:paraId="143D79BC" w14:textId="77777777" w:rsidR="00DE4516" w:rsidRPr="00A46ADC" w:rsidRDefault="00DE4516" w:rsidP="00DE4516">
            <w:pPr>
              <w:pStyle w:val="TableBody"/>
              <w:autoSpaceDE w:val="0"/>
              <w:autoSpaceDN w:val="0"/>
              <w:adjustRightInd w:val="0"/>
              <w:jc w:val="right"/>
              <w:rPr>
                <w:rFonts w:cs="Arial"/>
                <w:color w:val="000000"/>
                <w:szCs w:val="16"/>
              </w:rPr>
            </w:pPr>
            <w:r w:rsidRPr="00A46ADC">
              <w:t>1.7</w:t>
            </w:r>
          </w:p>
        </w:tc>
        <w:tc>
          <w:tcPr>
            <w:tcW w:w="446" w:type="pct"/>
            <w:noWrap/>
            <w:hideMark/>
          </w:tcPr>
          <w:p w14:paraId="1573EFAD" w14:textId="77777777" w:rsidR="00DE4516" w:rsidRPr="00A46ADC" w:rsidRDefault="00DE4516" w:rsidP="00DE4516">
            <w:pPr>
              <w:pStyle w:val="TableBody"/>
              <w:autoSpaceDE w:val="0"/>
              <w:autoSpaceDN w:val="0"/>
              <w:adjustRightInd w:val="0"/>
              <w:jc w:val="right"/>
              <w:rPr>
                <w:rFonts w:cs="Arial"/>
                <w:color w:val="000000"/>
                <w:szCs w:val="16"/>
              </w:rPr>
            </w:pPr>
            <w:r w:rsidRPr="00A46ADC">
              <w:t>1.9</w:t>
            </w:r>
          </w:p>
        </w:tc>
        <w:tc>
          <w:tcPr>
            <w:tcW w:w="446" w:type="pct"/>
            <w:noWrap/>
            <w:hideMark/>
          </w:tcPr>
          <w:p w14:paraId="1BBE732D" w14:textId="77777777" w:rsidR="00DE4516" w:rsidRPr="00A46ADC" w:rsidRDefault="00DE4516" w:rsidP="00DE4516">
            <w:pPr>
              <w:pStyle w:val="TableBody"/>
              <w:autoSpaceDE w:val="0"/>
              <w:autoSpaceDN w:val="0"/>
              <w:adjustRightInd w:val="0"/>
              <w:jc w:val="right"/>
              <w:rPr>
                <w:rFonts w:cs="Arial"/>
                <w:color w:val="000000"/>
                <w:szCs w:val="16"/>
              </w:rPr>
            </w:pPr>
            <w:r w:rsidRPr="00A46ADC">
              <w:t>1.9</w:t>
            </w:r>
          </w:p>
        </w:tc>
      </w:tr>
      <w:tr w:rsidR="00DE4516" w:rsidRPr="00045A4A" w14:paraId="50295BCA"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tcBorders>
              <w:bottom w:val="single" w:sz="4" w:space="0" w:color="auto"/>
            </w:tcBorders>
            <w:noWrap/>
            <w:hideMark/>
          </w:tcPr>
          <w:p w14:paraId="06E18C44" w14:textId="77777777" w:rsidR="00DE4516" w:rsidRPr="00A46ADC" w:rsidRDefault="00DE4516" w:rsidP="00DE4516">
            <w:pPr>
              <w:pStyle w:val="TableBody"/>
              <w:autoSpaceDE w:val="0"/>
              <w:autoSpaceDN w:val="0"/>
              <w:adjustRightInd w:val="0"/>
              <w:jc w:val="both"/>
              <w:rPr>
                <w:rFonts w:cs="Arial"/>
                <w:color w:val="000000"/>
                <w:szCs w:val="16"/>
              </w:rPr>
            </w:pPr>
            <w:r w:rsidRPr="00A46ADC">
              <w:t>GCC</w:t>
            </w:r>
          </w:p>
        </w:tc>
        <w:tc>
          <w:tcPr>
            <w:tcW w:w="446" w:type="pct"/>
            <w:tcBorders>
              <w:bottom w:val="single" w:sz="4" w:space="0" w:color="auto"/>
            </w:tcBorders>
            <w:noWrap/>
            <w:hideMark/>
          </w:tcPr>
          <w:p w14:paraId="15CEB3E5" w14:textId="77777777" w:rsidR="00DE4516" w:rsidRPr="00A46ADC" w:rsidRDefault="00DE4516" w:rsidP="00DE4516">
            <w:pPr>
              <w:pStyle w:val="TableBody"/>
              <w:autoSpaceDE w:val="0"/>
              <w:autoSpaceDN w:val="0"/>
              <w:adjustRightInd w:val="0"/>
              <w:jc w:val="right"/>
              <w:rPr>
                <w:rFonts w:cs="Arial"/>
                <w:color w:val="000000"/>
                <w:szCs w:val="16"/>
              </w:rPr>
            </w:pPr>
            <w:r w:rsidRPr="00A46ADC">
              <w:t>15.8</w:t>
            </w:r>
          </w:p>
        </w:tc>
        <w:tc>
          <w:tcPr>
            <w:tcW w:w="446" w:type="pct"/>
            <w:tcBorders>
              <w:bottom w:val="single" w:sz="4" w:space="0" w:color="auto"/>
            </w:tcBorders>
            <w:noWrap/>
            <w:hideMark/>
          </w:tcPr>
          <w:p w14:paraId="35D80B98" w14:textId="77777777" w:rsidR="00DE4516" w:rsidRPr="00A46ADC" w:rsidRDefault="00DE4516" w:rsidP="00DE4516">
            <w:pPr>
              <w:pStyle w:val="TableBody"/>
              <w:autoSpaceDE w:val="0"/>
              <w:autoSpaceDN w:val="0"/>
              <w:adjustRightInd w:val="0"/>
              <w:jc w:val="right"/>
              <w:rPr>
                <w:rFonts w:cs="Arial"/>
                <w:color w:val="000000"/>
                <w:szCs w:val="16"/>
              </w:rPr>
            </w:pPr>
            <w:r w:rsidRPr="00A46ADC">
              <w:t>18.7</w:t>
            </w:r>
          </w:p>
        </w:tc>
        <w:tc>
          <w:tcPr>
            <w:tcW w:w="446" w:type="pct"/>
            <w:tcBorders>
              <w:bottom w:val="single" w:sz="4" w:space="0" w:color="auto"/>
            </w:tcBorders>
            <w:noWrap/>
            <w:hideMark/>
          </w:tcPr>
          <w:p w14:paraId="3C4190EC" w14:textId="77777777" w:rsidR="00DE4516" w:rsidRPr="00A46ADC" w:rsidRDefault="00DE4516" w:rsidP="00DE4516">
            <w:pPr>
              <w:pStyle w:val="TableBody"/>
              <w:autoSpaceDE w:val="0"/>
              <w:autoSpaceDN w:val="0"/>
              <w:adjustRightInd w:val="0"/>
              <w:jc w:val="right"/>
              <w:rPr>
                <w:rFonts w:cs="Arial"/>
                <w:color w:val="000000"/>
                <w:szCs w:val="16"/>
              </w:rPr>
            </w:pPr>
            <w:r w:rsidRPr="00A46ADC">
              <w:t>17.9</w:t>
            </w:r>
          </w:p>
        </w:tc>
        <w:tc>
          <w:tcPr>
            <w:tcW w:w="446" w:type="pct"/>
            <w:tcBorders>
              <w:bottom w:val="single" w:sz="4" w:space="0" w:color="auto"/>
            </w:tcBorders>
            <w:noWrap/>
            <w:hideMark/>
          </w:tcPr>
          <w:p w14:paraId="3A618B3F" w14:textId="77777777" w:rsidR="00DE4516" w:rsidRPr="00A46ADC" w:rsidRDefault="00DE4516" w:rsidP="00DE4516">
            <w:pPr>
              <w:pStyle w:val="TableBody"/>
              <w:autoSpaceDE w:val="0"/>
              <w:autoSpaceDN w:val="0"/>
              <w:adjustRightInd w:val="0"/>
              <w:jc w:val="right"/>
              <w:rPr>
                <w:rFonts w:cs="Arial"/>
                <w:color w:val="000000"/>
                <w:szCs w:val="16"/>
              </w:rPr>
            </w:pPr>
            <w:r w:rsidRPr="00A46ADC">
              <w:t>20.7</w:t>
            </w:r>
          </w:p>
        </w:tc>
        <w:tc>
          <w:tcPr>
            <w:tcW w:w="446" w:type="pct"/>
            <w:tcBorders>
              <w:bottom w:val="single" w:sz="4" w:space="0" w:color="auto"/>
            </w:tcBorders>
            <w:noWrap/>
            <w:hideMark/>
          </w:tcPr>
          <w:p w14:paraId="4B27BDBD" w14:textId="77777777" w:rsidR="00DE4516" w:rsidRPr="00A46ADC" w:rsidRDefault="00DE4516" w:rsidP="00DE4516">
            <w:pPr>
              <w:pStyle w:val="TableBody"/>
              <w:autoSpaceDE w:val="0"/>
              <w:autoSpaceDN w:val="0"/>
              <w:adjustRightInd w:val="0"/>
              <w:jc w:val="right"/>
              <w:rPr>
                <w:rFonts w:cs="Arial"/>
                <w:color w:val="000000"/>
                <w:szCs w:val="16"/>
              </w:rPr>
            </w:pPr>
            <w:r w:rsidRPr="00A46ADC">
              <w:t>16.9</w:t>
            </w:r>
          </w:p>
        </w:tc>
        <w:tc>
          <w:tcPr>
            <w:tcW w:w="446" w:type="pct"/>
            <w:tcBorders>
              <w:bottom w:val="single" w:sz="4" w:space="0" w:color="auto"/>
            </w:tcBorders>
            <w:noWrap/>
            <w:hideMark/>
          </w:tcPr>
          <w:p w14:paraId="4EA6CAEF" w14:textId="77777777" w:rsidR="00DE4516" w:rsidRPr="00A46ADC" w:rsidRDefault="00DE4516" w:rsidP="00DE4516">
            <w:pPr>
              <w:pStyle w:val="TableBody"/>
              <w:autoSpaceDE w:val="0"/>
              <w:autoSpaceDN w:val="0"/>
              <w:adjustRightInd w:val="0"/>
              <w:jc w:val="right"/>
              <w:rPr>
                <w:rFonts w:cs="Arial"/>
                <w:color w:val="000000"/>
                <w:szCs w:val="16"/>
              </w:rPr>
            </w:pPr>
            <w:r w:rsidRPr="00A46ADC">
              <w:t>16.0</w:t>
            </w:r>
          </w:p>
        </w:tc>
        <w:tc>
          <w:tcPr>
            <w:tcW w:w="446" w:type="pct"/>
            <w:tcBorders>
              <w:bottom w:val="single" w:sz="4" w:space="0" w:color="auto"/>
            </w:tcBorders>
            <w:noWrap/>
            <w:hideMark/>
          </w:tcPr>
          <w:p w14:paraId="6FC41367" w14:textId="77777777" w:rsidR="00DE4516" w:rsidRPr="00A46ADC" w:rsidRDefault="00DE4516" w:rsidP="00DE4516">
            <w:pPr>
              <w:pStyle w:val="TableBody"/>
              <w:autoSpaceDE w:val="0"/>
              <w:autoSpaceDN w:val="0"/>
              <w:adjustRightInd w:val="0"/>
              <w:jc w:val="right"/>
              <w:rPr>
                <w:rFonts w:cs="Arial"/>
                <w:color w:val="000000"/>
                <w:szCs w:val="16"/>
              </w:rPr>
            </w:pPr>
            <w:r w:rsidRPr="00A46ADC">
              <w:t>22.5</w:t>
            </w:r>
          </w:p>
        </w:tc>
      </w:tr>
    </w:tbl>
    <w:p w14:paraId="3FD87D2B" w14:textId="20797AC8" w:rsidR="00DE4516" w:rsidRDefault="00DE4516">
      <w:pPr>
        <w:pStyle w:val="TableNote"/>
        <w:autoSpaceDE w:val="0"/>
        <w:autoSpaceDN w:val="0"/>
        <w:adjustRightInd w:val="0"/>
        <w:contextualSpacing w:val="0"/>
      </w:pPr>
      <w:r>
        <w:t>a</w:t>
      </w:r>
      <w:r>
        <w:tab/>
        <w:t>Commonwealth of Independent States, including certain associate and former member States.</w:t>
      </w:r>
    </w:p>
    <w:p w14:paraId="6F46C2B2" w14:textId="77777777" w:rsidR="00DE4516" w:rsidRDefault="00DE4516">
      <w:pPr>
        <w:pStyle w:val="TableSource"/>
        <w:autoSpaceDE w:val="0"/>
        <w:autoSpaceDN w:val="0"/>
        <w:adjustRightInd w:val="0"/>
        <w:rPr>
          <w:szCs w:val="24"/>
        </w:rPr>
      </w:pPr>
      <w:r>
        <w:rPr>
          <w:szCs w:val="24"/>
        </w:rPr>
        <w:t>Source:</w:t>
      </w:r>
      <w:r>
        <w:rPr>
          <w:szCs w:val="24"/>
        </w:rPr>
        <w:tab/>
        <w:t>Information provided by the authorities.</w:t>
      </w:r>
    </w:p>
    <w:p w14:paraId="08A80BF9" w14:textId="77777777" w:rsidR="00DE4516" w:rsidRDefault="00DE4516">
      <w:pPr>
        <w:pStyle w:val="TableTitle"/>
        <w:autoSpaceDE w:val="0"/>
        <w:autoSpaceDN w:val="0"/>
        <w:adjustRightInd w:val="0"/>
      </w:pPr>
      <w:r>
        <w:t>Table A1.4 Merchandise imports by origin, 2014-20</w:t>
      </w:r>
    </w:p>
    <w:tbl>
      <w:tblPr>
        <w:tblStyle w:val="WTOTable1"/>
        <w:tblW w:w="5000" w:type="pct"/>
        <w:tblLook w:val="05E0" w:firstRow="1" w:lastRow="1" w:firstColumn="1" w:lastColumn="1" w:noHBand="0" w:noVBand="1"/>
      </w:tblPr>
      <w:tblGrid>
        <w:gridCol w:w="3391"/>
        <w:gridCol w:w="804"/>
        <w:gridCol w:w="804"/>
        <w:gridCol w:w="804"/>
        <w:gridCol w:w="804"/>
        <w:gridCol w:w="804"/>
        <w:gridCol w:w="804"/>
        <w:gridCol w:w="801"/>
      </w:tblGrid>
      <w:tr w:rsidR="00DE4516" w:rsidRPr="007F015E" w14:paraId="4E62E4D8" w14:textId="77777777" w:rsidTr="002F793E">
        <w:trPr>
          <w:cnfStyle w:val="100000000000" w:firstRow="1" w:lastRow="0" w:firstColumn="0" w:lastColumn="0" w:oddVBand="0" w:evenVBand="0" w:oddHBand="0" w:evenHBand="0" w:firstRowFirstColumn="0" w:firstRowLastColumn="0" w:lastRowFirstColumn="0" w:lastRowLastColumn="0"/>
          <w:cantSplit/>
        </w:trPr>
        <w:tc>
          <w:tcPr>
            <w:tcW w:w="1880" w:type="pct"/>
            <w:tcBorders>
              <w:top w:val="single" w:sz="4" w:space="0" w:color="auto"/>
            </w:tcBorders>
            <w:noWrap/>
            <w:hideMark/>
          </w:tcPr>
          <w:p w14:paraId="7770786D" w14:textId="77777777" w:rsidR="00DE4516" w:rsidRPr="007F015E" w:rsidRDefault="00DE4516" w:rsidP="00DE4516">
            <w:pPr>
              <w:pStyle w:val="TableHead"/>
              <w:autoSpaceDE w:val="0"/>
              <w:autoSpaceDN w:val="0"/>
              <w:adjustRightInd w:val="0"/>
              <w:rPr>
                <w:b/>
              </w:rPr>
            </w:pPr>
          </w:p>
        </w:tc>
        <w:tc>
          <w:tcPr>
            <w:tcW w:w="446" w:type="pct"/>
            <w:tcBorders>
              <w:top w:val="single" w:sz="4" w:space="0" w:color="auto"/>
            </w:tcBorders>
            <w:noWrap/>
            <w:hideMark/>
          </w:tcPr>
          <w:p w14:paraId="30C8F525"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2014</w:t>
            </w:r>
          </w:p>
        </w:tc>
        <w:tc>
          <w:tcPr>
            <w:tcW w:w="446" w:type="pct"/>
            <w:tcBorders>
              <w:top w:val="single" w:sz="4" w:space="0" w:color="auto"/>
            </w:tcBorders>
            <w:noWrap/>
            <w:hideMark/>
          </w:tcPr>
          <w:p w14:paraId="2871568C"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2015</w:t>
            </w:r>
          </w:p>
        </w:tc>
        <w:tc>
          <w:tcPr>
            <w:tcW w:w="446" w:type="pct"/>
            <w:tcBorders>
              <w:top w:val="single" w:sz="4" w:space="0" w:color="auto"/>
            </w:tcBorders>
            <w:noWrap/>
            <w:hideMark/>
          </w:tcPr>
          <w:p w14:paraId="1F1204FD"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2016</w:t>
            </w:r>
          </w:p>
        </w:tc>
        <w:tc>
          <w:tcPr>
            <w:tcW w:w="446" w:type="pct"/>
            <w:tcBorders>
              <w:top w:val="single" w:sz="4" w:space="0" w:color="auto"/>
            </w:tcBorders>
            <w:noWrap/>
            <w:hideMark/>
          </w:tcPr>
          <w:p w14:paraId="1156265E"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2017</w:t>
            </w:r>
          </w:p>
        </w:tc>
        <w:tc>
          <w:tcPr>
            <w:tcW w:w="446" w:type="pct"/>
            <w:tcBorders>
              <w:top w:val="single" w:sz="4" w:space="0" w:color="auto"/>
            </w:tcBorders>
            <w:noWrap/>
            <w:hideMark/>
          </w:tcPr>
          <w:p w14:paraId="310AB06D"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2018</w:t>
            </w:r>
          </w:p>
        </w:tc>
        <w:tc>
          <w:tcPr>
            <w:tcW w:w="446" w:type="pct"/>
            <w:tcBorders>
              <w:top w:val="single" w:sz="4" w:space="0" w:color="auto"/>
            </w:tcBorders>
            <w:noWrap/>
            <w:hideMark/>
          </w:tcPr>
          <w:p w14:paraId="021F1BFE"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2019</w:t>
            </w:r>
          </w:p>
        </w:tc>
        <w:tc>
          <w:tcPr>
            <w:tcW w:w="446" w:type="pct"/>
            <w:tcBorders>
              <w:top w:val="single" w:sz="4" w:space="0" w:color="auto"/>
            </w:tcBorders>
            <w:noWrap/>
            <w:hideMark/>
          </w:tcPr>
          <w:p w14:paraId="7E81A34E" w14:textId="77777777" w:rsidR="00DE4516" w:rsidRPr="007F015E" w:rsidRDefault="00DE4516" w:rsidP="00DE4516">
            <w:pPr>
              <w:pStyle w:val="TableHead"/>
              <w:autoSpaceDE w:val="0"/>
              <w:autoSpaceDN w:val="0"/>
              <w:adjustRightInd w:val="0"/>
              <w:jc w:val="right"/>
              <w:rPr>
                <w:rFonts w:cs="Calibri"/>
                <w:b/>
                <w:color w:val="FFFFFF" w:themeColor="background1"/>
                <w:szCs w:val="16"/>
              </w:rPr>
            </w:pPr>
            <w:r w:rsidRPr="007F015E">
              <w:rPr>
                <w:b/>
              </w:rPr>
              <w:t>2020</w:t>
            </w:r>
          </w:p>
        </w:tc>
      </w:tr>
      <w:tr w:rsidR="00DE4516" w:rsidRPr="00045A4A" w14:paraId="2ED305C0" w14:textId="77777777" w:rsidTr="002F793E">
        <w:trPr>
          <w:cantSplit/>
        </w:trPr>
        <w:tc>
          <w:tcPr>
            <w:tcW w:w="1880" w:type="pct"/>
            <w:noWrap/>
            <w:hideMark/>
          </w:tcPr>
          <w:p w14:paraId="42F20677" w14:textId="77777777" w:rsidR="00DE4516" w:rsidRPr="00A46ADC" w:rsidRDefault="00DE4516" w:rsidP="00DE4516">
            <w:pPr>
              <w:pStyle w:val="TableBody"/>
              <w:autoSpaceDE w:val="0"/>
              <w:autoSpaceDN w:val="0"/>
              <w:adjustRightInd w:val="0"/>
              <w:jc w:val="both"/>
              <w:rPr>
                <w:rFonts w:cs="Calibri"/>
                <w:b/>
                <w:bCs/>
                <w:szCs w:val="16"/>
              </w:rPr>
            </w:pPr>
            <w:r w:rsidRPr="00A46ADC">
              <w:rPr>
                <w:b/>
              </w:rPr>
              <w:t>Total imports (USD billion)</w:t>
            </w:r>
          </w:p>
        </w:tc>
        <w:tc>
          <w:tcPr>
            <w:tcW w:w="446" w:type="pct"/>
            <w:noWrap/>
            <w:hideMark/>
          </w:tcPr>
          <w:p w14:paraId="59EECE7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29.3</w:t>
            </w:r>
          </w:p>
        </w:tc>
        <w:tc>
          <w:tcPr>
            <w:tcW w:w="446" w:type="pct"/>
            <w:noWrap/>
            <w:hideMark/>
          </w:tcPr>
          <w:p w14:paraId="3973466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29.0</w:t>
            </w:r>
          </w:p>
        </w:tc>
        <w:tc>
          <w:tcPr>
            <w:tcW w:w="446" w:type="pct"/>
            <w:noWrap/>
            <w:hideMark/>
          </w:tcPr>
          <w:p w14:paraId="1661C15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23.1</w:t>
            </w:r>
          </w:p>
        </w:tc>
        <w:tc>
          <w:tcPr>
            <w:tcW w:w="446" w:type="pct"/>
            <w:noWrap/>
            <w:hideMark/>
          </w:tcPr>
          <w:p w14:paraId="3F42856A"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25.8</w:t>
            </w:r>
          </w:p>
        </w:tc>
        <w:tc>
          <w:tcPr>
            <w:tcW w:w="446" w:type="pct"/>
            <w:noWrap/>
            <w:hideMark/>
          </w:tcPr>
          <w:p w14:paraId="7604FB7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25.2</w:t>
            </w:r>
          </w:p>
        </w:tc>
        <w:tc>
          <w:tcPr>
            <w:tcW w:w="446" w:type="pct"/>
            <w:noWrap/>
            <w:hideMark/>
          </w:tcPr>
          <w:p w14:paraId="382EDFEA"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22.1</w:t>
            </w:r>
          </w:p>
        </w:tc>
        <w:tc>
          <w:tcPr>
            <w:tcW w:w="446" w:type="pct"/>
            <w:noWrap/>
            <w:hideMark/>
          </w:tcPr>
          <w:p w14:paraId="7950E0F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20.7</w:t>
            </w:r>
          </w:p>
        </w:tc>
      </w:tr>
      <w:tr w:rsidR="00DE4516" w:rsidRPr="00045A4A" w14:paraId="2334EC53"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70905C35" w14:textId="77777777" w:rsidR="00DE4516" w:rsidRPr="00A46ADC" w:rsidRDefault="00DE4516" w:rsidP="00DE4516">
            <w:pPr>
              <w:pStyle w:val="TableBody"/>
              <w:autoSpaceDE w:val="0"/>
              <w:autoSpaceDN w:val="0"/>
              <w:adjustRightInd w:val="0"/>
              <w:jc w:val="right"/>
            </w:pPr>
          </w:p>
        </w:tc>
        <w:tc>
          <w:tcPr>
            <w:tcW w:w="3120" w:type="pct"/>
            <w:gridSpan w:val="7"/>
            <w:noWrap/>
            <w:hideMark/>
          </w:tcPr>
          <w:p w14:paraId="6D2E45B4" w14:textId="77777777" w:rsidR="00DE4516" w:rsidRPr="00A46ADC" w:rsidRDefault="00DE4516" w:rsidP="00DE4516">
            <w:pPr>
              <w:pStyle w:val="TableBody"/>
              <w:autoSpaceDE w:val="0"/>
              <w:autoSpaceDN w:val="0"/>
              <w:adjustRightInd w:val="0"/>
              <w:jc w:val="center"/>
              <w:rPr>
                <w:rFonts w:cs="Calibri"/>
                <w:color w:val="000000"/>
                <w:szCs w:val="16"/>
              </w:rPr>
            </w:pPr>
            <w:r w:rsidRPr="00A46ADC">
              <w:t>(% of total)</w:t>
            </w:r>
          </w:p>
        </w:tc>
      </w:tr>
      <w:tr w:rsidR="00DE4516" w:rsidRPr="00045A4A" w14:paraId="5401A36C" w14:textId="77777777" w:rsidTr="002F793E">
        <w:trPr>
          <w:cantSplit/>
        </w:trPr>
        <w:tc>
          <w:tcPr>
            <w:tcW w:w="1880" w:type="pct"/>
            <w:noWrap/>
            <w:hideMark/>
          </w:tcPr>
          <w:p w14:paraId="405AEF37"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Americas</w:t>
            </w:r>
          </w:p>
        </w:tc>
        <w:tc>
          <w:tcPr>
            <w:tcW w:w="446" w:type="pct"/>
            <w:noWrap/>
            <w:hideMark/>
          </w:tcPr>
          <w:p w14:paraId="7B97DA4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8.8</w:t>
            </w:r>
          </w:p>
        </w:tc>
        <w:tc>
          <w:tcPr>
            <w:tcW w:w="446" w:type="pct"/>
            <w:noWrap/>
            <w:hideMark/>
          </w:tcPr>
          <w:p w14:paraId="0B9D088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7.8</w:t>
            </w:r>
          </w:p>
        </w:tc>
        <w:tc>
          <w:tcPr>
            <w:tcW w:w="446" w:type="pct"/>
            <w:noWrap/>
            <w:hideMark/>
          </w:tcPr>
          <w:p w14:paraId="225D8BFF"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6.9</w:t>
            </w:r>
          </w:p>
        </w:tc>
        <w:tc>
          <w:tcPr>
            <w:tcW w:w="446" w:type="pct"/>
            <w:noWrap/>
            <w:hideMark/>
          </w:tcPr>
          <w:p w14:paraId="79D084C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7.8</w:t>
            </w:r>
          </w:p>
        </w:tc>
        <w:tc>
          <w:tcPr>
            <w:tcW w:w="446" w:type="pct"/>
            <w:noWrap/>
            <w:hideMark/>
          </w:tcPr>
          <w:p w14:paraId="4F81FF7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6.2</w:t>
            </w:r>
          </w:p>
        </w:tc>
        <w:tc>
          <w:tcPr>
            <w:tcW w:w="446" w:type="pct"/>
            <w:noWrap/>
            <w:hideMark/>
          </w:tcPr>
          <w:p w14:paraId="49331F5F"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8.4</w:t>
            </w:r>
          </w:p>
        </w:tc>
        <w:tc>
          <w:tcPr>
            <w:tcW w:w="446" w:type="pct"/>
            <w:noWrap/>
            <w:hideMark/>
          </w:tcPr>
          <w:p w14:paraId="49476BD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7.7</w:t>
            </w:r>
          </w:p>
        </w:tc>
      </w:tr>
      <w:tr w:rsidR="00DE4516" w:rsidRPr="00045A4A" w14:paraId="5AB23F44"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5DE75188"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United States</w:t>
            </w:r>
          </w:p>
        </w:tc>
        <w:tc>
          <w:tcPr>
            <w:tcW w:w="446" w:type="pct"/>
            <w:noWrap/>
            <w:hideMark/>
          </w:tcPr>
          <w:p w14:paraId="0E2FAC72" w14:textId="77777777" w:rsidR="00DE4516" w:rsidRPr="00A46ADC" w:rsidRDefault="00DE4516" w:rsidP="00DE4516">
            <w:pPr>
              <w:pStyle w:val="TableBody"/>
              <w:autoSpaceDE w:val="0"/>
              <w:autoSpaceDN w:val="0"/>
              <w:adjustRightInd w:val="0"/>
              <w:jc w:val="right"/>
              <w:rPr>
                <w:rFonts w:cs="Calibri"/>
                <w:color w:val="000000"/>
                <w:szCs w:val="16"/>
              </w:rPr>
            </w:pPr>
            <w:r w:rsidRPr="00A46ADC">
              <w:t>4.3</w:t>
            </w:r>
          </w:p>
        </w:tc>
        <w:tc>
          <w:tcPr>
            <w:tcW w:w="446" w:type="pct"/>
            <w:noWrap/>
            <w:hideMark/>
          </w:tcPr>
          <w:p w14:paraId="55F74351" w14:textId="77777777" w:rsidR="00DE4516" w:rsidRPr="00A46ADC" w:rsidRDefault="00DE4516" w:rsidP="00DE4516">
            <w:pPr>
              <w:pStyle w:val="TableBody"/>
              <w:autoSpaceDE w:val="0"/>
              <w:autoSpaceDN w:val="0"/>
              <w:adjustRightInd w:val="0"/>
              <w:jc w:val="right"/>
              <w:rPr>
                <w:rFonts w:cs="Calibri"/>
                <w:color w:val="000000"/>
                <w:szCs w:val="16"/>
              </w:rPr>
            </w:pPr>
            <w:r w:rsidRPr="00A46ADC">
              <w:t>5.0</w:t>
            </w:r>
          </w:p>
        </w:tc>
        <w:tc>
          <w:tcPr>
            <w:tcW w:w="446" w:type="pct"/>
            <w:noWrap/>
            <w:hideMark/>
          </w:tcPr>
          <w:p w14:paraId="09DE5338" w14:textId="77777777" w:rsidR="00DE4516" w:rsidRPr="00A46ADC" w:rsidRDefault="00DE4516" w:rsidP="00DE4516">
            <w:pPr>
              <w:pStyle w:val="TableBody"/>
              <w:autoSpaceDE w:val="0"/>
              <w:autoSpaceDN w:val="0"/>
              <w:adjustRightInd w:val="0"/>
              <w:jc w:val="right"/>
              <w:rPr>
                <w:rFonts w:cs="Calibri"/>
                <w:color w:val="000000"/>
                <w:szCs w:val="16"/>
              </w:rPr>
            </w:pPr>
            <w:r w:rsidRPr="00A46ADC">
              <w:t>4.7</w:t>
            </w:r>
          </w:p>
        </w:tc>
        <w:tc>
          <w:tcPr>
            <w:tcW w:w="446" w:type="pct"/>
            <w:noWrap/>
            <w:hideMark/>
          </w:tcPr>
          <w:p w14:paraId="312B4830" w14:textId="77777777" w:rsidR="00DE4516" w:rsidRPr="00A46ADC" w:rsidRDefault="00DE4516" w:rsidP="00DE4516">
            <w:pPr>
              <w:pStyle w:val="TableBody"/>
              <w:autoSpaceDE w:val="0"/>
              <w:autoSpaceDN w:val="0"/>
              <w:adjustRightInd w:val="0"/>
              <w:jc w:val="right"/>
              <w:rPr>
                <w:rFonts w:cs="Calibri"/>
                <w:color w:val="000000"/>
                <w:szCs w:val="16"/>
              </w:rPr>
            </w:pPr>
            <w:r w:rsidRPr="00A46ADC">
              <w:t>4.1</w:t>
            </w:r>
          </w:p>
        </w:tc>
        <w:tc>
          <w:tcPr>
            <w:tcW w:w="446" w:type="pct"/>
            <w:noWrap/>
            <w:hideMark/>
          </w:tcPr>
          <w:p w14:paraId="647D1FCB" w14:textId="77777777" w:rsidR="00DE4516" w:rsidRPr="00A46ADC" w:rsidRDefault="00DE4516" w:rsidP="00DE4516">
            <w:pPr>
              <w:pStyle w:val="TableBody"/>
              <w:autoSpaceDE w:val="0"/>
              <w:autoSpaceDN w:val="0"/>
              <w:adjustRightInd w:val="0"/>
              <w:jc w:val="right"/>
              <w:rPr>
                <w:rFonts w:cs="Calibri"/>
                <w:color w:val="000000"/>
                <w:szCs w:val="16"/>
              </w:rPr>
            </w:pPr>
            <w:r w:rsidRPr="00A46ADC">
              <w:t>3.3</w:t>
            </w:r>
          </w:p>
        </w:tc>
        <w:tc>
          <w:tcPr>
            <w:tcW w:w="446" w:type="pct"/>
            <w:noWrap/>
            <w:hideMark/>
          </w:tcPr>
          <w:p w14:paraId="2F399E17" w14:textId="77777777" w:rsidR="00DE4516" w:rsidRPr="00A46ADC" w:rsidRDefault="00DE4516" w:rsidP="00DE4516">
            <w:pPr>
              <w:pStyle w:val="TableBody"/>
              <w:autoSpaceDE w:val="0"/>
              <w:autoSpaceDN w:val="0"/>
              <w:adjustRightInd w:val="0"/>
              <w:jc w:val="right"/>
              <w:rPr>
                <w:rFonts w:cs="Calibri"/>
                <w:color w:val="000000"/>
                <w:szCs w:val="16"/>
              </w:rPr>
            </w:pPr>
            <w:r w:rsidRPr="00A46ADC">
              <w:t>3.0</w:t>
            </w:r>
          </w:p>
        </w:tc>
        <w:tc>
          <w:tcPr>
            <w:tcW w:w="446" w:type="pct"/>
            <w:noWrap/>
            <w:hideMark/>
          </w:tcPr>
          <w:p w14:paraId="5072AF0C"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r>
      <w:tr w:rsidR="00DE4516" w:rsidRPr="00045A4A" w14:paraId="07B603E6" w14:textId="77777777" w:rsidTr="002F793E">
        <w:trPr>
          <w:cantSplit/>
        </w:trPr>
        <w:tc>
          <w:tcPr>
            <w:tcW w:w="1880" w:type="pct"/>
            <w:noWrap/>
            <w:hideMark/>
          </w:tcPr>
          <w:p w14:paraId="033200BA"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Other America</w:t>
            </w:r>
          </w:p>
        </w:tc>
        <w:tc>
          <w:tcPr>
            <w:tcW w:w="446" w:type="pct"/>
            <w:noWrap/>
            <w:hideMark/>
          </w:tcPr>
          <w:p w14:paraId="30529E10" w14:textId="77777777" w:rsidR="00DE4516" w:rsidRPr="00A46ADC" w:rsidRDefault="00DE4516" w:rsidP="00DE4516">
            <w:pPr>
              <w:pStyle w:val="TableBody"/>
              <w:autoSpaceDE w:val="0"/>
              <w:autoSpaceDN w:val="0"/>
              <w:adjustRightInd w:val="0"/>
              <w:jc w:val="right"/>
              <w:rPr>
                <w:rFonts w:cs="Calibri"/>
                <w:color w:val="000000"/>
                <w:szCs w:val="16"/>
              </w:rPr>
            </w:pPr>
            <w:r w:rsidRPr="00A46ADC">
              <w:t>4.5</w:t>
            </w:r>
          </w:p>
        </w:tc>
        <w:tc>
          <w:tcPr>
            <w:tcW w:w="446" w:type="pct"/>
            <w:noWrap/>
            <w:hideMark/>
          </w:tcPr>
          <w:p w14:paraId="6C869205" w14:textId="77777777" w:rsidR="00DE4516" w:rsidRPr="00A46ADC" w:rsidRDefault="00DE4516" w:rsidP="00DE4516">
            <w:pPr>
              <w:pStyle w:val="TableBody"/>
              <w:autoSpaceDE w:val="0"/>
              <w:autoSpaceDN w:val="0"/>
              <w:adjustRightInd w:val="0"/>
              <w:jc w:val="right"/>
              <w:rPr>
                <w:rFonts w:cs="Calibri"/>
                <w:color w:val="000000"/>
                <w:szCs w:val="16"/>
              </w:rPr>
            </w:pPr>
            <w:r w:rsidRPr="00A46ADC">
              <w:t>2.8</w:t>
            </w:r>
          </w:p>
        </w:tc>
        <w:tc>
          <w:tcPr>
            <w:tcW w:w="446" w:type="pct"/>
            <w:noWrap/>
            <w:hideMark/>
          </w:tcPr>
          <w:p w14:paraId="019CC23B" w14:textId="77777777" w:rsidR="00DE4516" w:rsidRPr="00A46ADC" w:rsidRDefault="00DE4516" w:rsidP="00DE4516">
            <w:pPr>
              <w:pStyle w:val="TableBody"/>
              <w:autoSpaceDE w:val="0"/>
              <w:autoSpaceDN w:val="0"/>
              <w:adjustRightInd w:val="0"/>
              <w:jc w:val="right"/>
              <w:rPr>
                <w:rFonts w:cs="Calibri"/>
                <w:color w:val="000000"/>
                <w:szCs w:val="16"/>
              </w:rPr>
            </w:pPr>
            <w:r w:rsidRPr="00A46ADC">
              <w:t>2.2</w:t>
            </w:r>
          </w:p>
        </w:tc>
        <w:tc>
          <w:tcPr>
            <w:tcW w:w="446" w:type="pct"/>
            <w:noWrap/>
            <w:hideMark/>
          </w:tcPr>
          <w:p w14:paraId="75D40103" w14:textId="77777777" w:rsidR="00DE4516" w:rsidRPr="00A46ADC" w:rsidRDefault="00DE4516" w:rsidP="00DE4516">
            <w:pPr>
              <w:pStyle w:val="TableBody"/>
              <w:autoSpaceDE w:val="0"/>
              <w:autoSpaceDN w:val="0"/>
              <w:adjustRightInd w:val="0"/>
              <w:jc w:val="right"/>
              <w:rPr>
                <w:rFonts w:cs="Calibri"/>
                <w:color w:val="000000"/>
                <w:szCs w:val="16"/>
              </w:rPr>
            </w:pPr>
            <w:r w:rsidRPr="00A46ADC">
              <w:t>3.7</w:t>
            </w:r>
          </w:p>
        </w:tc>
        <w:tc>
          <w:tcPr>
            <w:tcW w:w="446" w:type="pct"/>
            <w:noWrap/>
            <w:hideMark/>
          </w:tcPr>
          <w:p w14:paraId="6137B70A"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c>
          <w:tcPr>
            <w:tcW w:w="446" w:type="pct"/>
            <w:noWrap/>
            <w:hideMark/>
          </w:tcPr>
          <w:p w14:paraId="3175F60A" w14:textId="77777777" w:rsidR="00DE4516" w:rsidRPr="00A46ADC" w:rsidRDefault="00DE4516" w:rsidP="00DE4516">
            <w:pPr>
              <w:pStyle w:val="TableBody"/>
              <w:autoSpaceDE w:val="0"/>
              <w:autoSpaceDN w:val="0"/>
              <w:adjustRightInd w:val="0"/>
              <w:jc w:val="right"/>
              <w:rPr>
                <w:rFonts w:cs="Calibri"/>
                <w:color w:val="000000"/>
                <w:szCs w:val="16"/>
              </w:rPr>
            </w:pPr>
            <w:r w:rsidRPr="00A46ADC">
              <w:t>5.4</w:t>
            </w:r>
          </w:p>
        </w:tc>
        <w:tc>
          <w:tcPr>
            <w:tcW w:w="446" w:type="pct"/>
            <w:noWrap/>
            <w:hideMark/>
          </w:tcPr>
          <w:p w14:paraId="156CBDB2" w14:textId="77777777" w:rsidR="00DE4516" w:rsidRPr="00A46ADC" w:rsidRDefault="00DE4516" w:rsidP="00DE4516">
            <w:pPr>
              <w:pStyle w:val="TableBody"/>
              <w:autoSpaceDE w:val="0"/>
              <w:autoSpaceDN w:val="0"/>
              <w:adjustRightInd w:val="0"/>
              <w:jc w:val="right"/>
              <w:rPr>
                <w:rFonts w:cs="Calibri"/>
                <w:color w:val="000000"/>
                <w:szCs w:val="16"/>
              </w:rPr>
            </w:pPr>
            <w:r w:rsidRPr="00A46ADC">
              <w:t>4.8</w:t>
            </w:r>
          </w:p>
        </w:tc>
      </w:tr>
      <w:tr w:rsidR="00DE4516" w:rsidRPr="00045A4A" w14:paraId="7B415267"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6CC044CD"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t>Brazil</w:t>
            </w:r>
          </w:p>
        </w:tc>
        <w:tc>
          <w:tcPr>
            <w:tcW w:w="446" w:type="pct"/>
            <w:noWrap/>
            <w:hideMark/>
          </w:tcPr>
          <w:p w14:paraId="271C59CB" w14:textId="77777777" w:rsidR="00DE4516" w:rsidRPr="00A46ADC" w:rsidRDefault="00DE4516" w:rsidP="00DE4516">
            <w:pPr>
              <w:pStyle w:val="TableBody"/>
              <w:autoSpaceDE w:val="0"/>
              <w:autoSpaceDN w:val="0"/>
              <w:adjustRightInd w:val="0"/>
              <w:jc w:val="right"/>
              <w:rPr>
                <w:rFonts w:cs="Calibri"/>
                <w:color w:val="000000"/>
                <w:szCs w:val="16"/>
              </w:rPr>
            </w:pPr>
            <w:r w:rsidRPr="00A46ADC">
              <w:t>3.9</w:t>
            </w:r>
          </w:p>
        </w:tc>
        <w:tc>
          <w:tcPr>
            <w:tcW w:w="446" w:type="pct"/>
            <w:noWrap/>
            <w:hideMark/>
          </w:tcPr>
          <w:p w14:paraId="05AD9B30" w14:textId="77777777" w:rsidR="00DE4516" w:rsidRPr="00A46ADC" w:rsidRDefault="00DE4516" w:rsidP="00DE4516">
            <w:pPr>
              <w:pStyle w:val="TableBody"/>
              <w:autoSpaceDE w:val="0"/>
              <w:autoSpaceDN w:val="0"/>
              <w:adjustRightInd w:val="0"/>
              <w:jc w:val="right"/>
              <w:rPr>
                <w:rFonts w:cs="Calibri"/>
                <w:color w:val="000000"/>
                <w:szCs w:val="16"/>
              </w:rPr>
            </w:pPr>
            <w:r w:rsidRPr="00A46ADC">
              <w:t>2.1</w:t>
            </w:r>
          </w:p>
        </w:tc>
        <w:tc>
          <w:tcPr>
            <w:tcW w:w="446" w:type="pct"/>
            <w:noWrap/>
            <w:hideMark/>
          </w:tcPr>
          <w:p w14:paraId="70273D20" w14:textId="77777777" w:rsidR="00DE4516" w:rsidRPr="00A46ADC" w:rsidRDefault="00DE4516" w:rsidP="00DE4516">
            <w:pPr>
              <w:pStyle w:val="TableBody"/>
              <w:autoSpaceDE w:val="0"/>
              <w:autoSpaceDN w:val="0"/>
              <w:adjustRightInd w:val="0"/>
              <w:jc w:val="right"/>
              <w:rPr>
                <w:rFonts w:cs="Calibri"/>
                <w:color w:val="000000"/>
                <w:szCs w:val="16"/>
              </w:rPr>
            </w:pPr>
            <w:r w:rsidRPr="00A46ADC">
              <w:t>1.6</w:t>
            </w:r>
          </w:p>
        </w:tc>
        <w:tc>
          <w:tcPr>
            <w:tcW w:w="446" w:type="pct"/>
            <w:noWrap/>
            <w:hideMark/>
          </w:tcPr>
          <w:p w14:paraId="2C60F9C6" w14:textId="77777777" w:rsidR="00DE4516" w:rsidRPr="00A46ADC" w:rsidRDefault="00DE4516" w:rsidP="00DE4516">
            <w:pPr>
              <w:pStyle w:val="TableBody"/>
              <w:autoSpaceDE w:val="0"/>
              <w:autoSpaceDN w:val="0"/>
              <w:adjustRightInd w:val="0"/>
              <w:jc w:val="right"/>
              <w:rPr>
                <w:rFonts w:cs="Calibri"/>
                <w:color w:val="000000"/>
                <w:szCs w:val="16"/>
              </w:rPr>
            </w:pPr>
            <w:r w:rsidRPr="00A46ADC">
              <w:t>2.8</w:t>
            </w:r>
          </w:p>
        </w:tc>
        <w:tc>
          <w:tcPr>
            <w:tcW w:w="446" w:type="pct"/>
            <w:noWrap/>
            <w:hideMark/>
          </w:tcPr>
          <w:p w14:paraId="1F5AF23B" w14:textId="77777777" w:rsidR="00DE4516" w:rsidRPr="00A46ADC" w:rsidRDefault="00DE4516" w:rsidP="00DE4516">
            <w:pPr>
              <w:pStyle w:val="TableBody"/>
              <w:autoSpaceDE w:val="0"/>
              <w:autoSpaceDN w:val="0"/>
              <w:adjustRightInd w:val="0"/>
              <w:jc w:val="right"/>
              <w:rPr>
                <w:rFonts w:cs="Calibri"/>
                <w:color w:val="000000"/>
                <w:szCs w:val="16"/>
              </w:rPr>
            </w:pPr>
            <w:r w:rsidRPr="00A46ADC">
              <w:t>2.4</w:t>
            </w:r>
          </w:p>
        </w:tc>
        <w:tc>
          <w:tcPr>
            <w:tcW w:w="446" w:type="pct"/>
            <w:noWrap/>
            <w:hideMark/>
          </w:tcPr>
          <w:p w14:paraId="7F0B77FA" w14:textId="77777777" w:rsidR="00DE4516" w:rsidRPr="00A46ADC" w:rsidRDefault="00DE4516" w:rsidP="00DE4516">
            <w:pPr>
              <w:pStyle w:val="TableBody"/>
              <w:autoSpaceDE w:val="0"/>
              <w:autoSpaceDN w:val="0"/>
              <w:adjustRightInd w:val="0"/>
              <w:jc w:val="right"/>
              <w:rPr>
                <w:rFonts w:cs="Calibri"/>
                <w:color w:val="000000"/>
                <w:szCs w:val="16"/>
              </w:rPr>
            </w:pPr>
            <w:r w:rsidRPr="00A46ADC">
              <w:t>4.5</w:t>
            </w:r>
          </w:p>
        </w:tc>
        <w:tc>
          <w:tcPr>
            <w:tcW w:w="446" w:type="pct"/>
            <w:noWrap/>
            <w:hideMark/>
          </w:tcPr>
          <w:p w14:paraId="7606BB03" w14:textId="77777777" w:rsidR="00DE4516" w:rsidRPr="00A46ADC" w:rsidRDefault="00DE4516" w:rsidP="00DE4516">
            <w:pPr>
              <w:pStyle w:val="TableBody"/>
              <w:autoSpaceDE w:val="0"/>
              <w:autoSpaceDN w:val="0"/>
              <w:adjustRightInd w:val="0"/>
              <w:jc w:val="right"/>
              <w:rPr>
                <w:rFonts w:cs="Calibri"/>
                <w:color w:val="000000"/>
                <w:szCs w:val="16"/>
              </w:rPr>
            </w:pPr>
            <w:r w:rsidRPr="00A46ADC">
              <w:t>3.8</w:t>
            </w:r>
          </w:p>
        </w:tc>
      </w:tr>
      <w:tr w:rsidR="00DE4516" w:rsidRPr="00045A4A" w14:paraId="738E831E" w14:textId="77777777" w:rsidTr="002F793E">
        <w:trPr>
          <w:cantSplit/>
        </w:trPr>
        <w:tc>
          <w:tcPr>
            <w:tcW w:w="1880" w:type="pct"/>
            <w:noWrap/>
            <w:hideMark/>
          </w:tcPr>
          <w:p w14:paraId="1403446A"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Europe</w:t>
            </w:r>
          </w:p>
        </w:tc>
        <w:tc>
          <w:tcPr>
            <w:tcW w:w="446" w:type="pct"/>
            <w:noWrap/>
            <w:hideMark/>
          </w:tcPr>
          <w:p w14:paraId="5C6447E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14.6</w:t>
            </w:r>
          </w:p>
        </w:tc>
        <w:tc>
          <w:tcPr>
            <w:tcW w:w="446" w:type="pct"/>
            <w:noWrap/>
            <w:hideMark/>
          </w:tcPr>
          <w:p w14:paraId="0E269DD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15.8</w:t>
            </w:r>
          </w:p>
        </w:tc>
        <w:tc>
          <w:tcPr>
            <w:tcW w:w="446" w:type="pct"/>
            <w:noWrap/>
            <w:hideMark/>
          </w:tcPr>
          <w:p w14:paraId="7A821ACB"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10.7</w:t>
            </w:r>
          </w:p>
        </w:tc>
        <w:tc>
          <w:tcPr>
            <w:tcW w:w="446" w:type="pct"/>
            <w:noWrap/>
            <w:hideMark/>
          </w:tcPr>
          <w:p w14:paraId="6C4AC7D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13.0</w:t>
            </w:r>
          </w:p>
        </w:tc>
        <w:tc>
          <w:tcPr>
            <w:tcW w:w="446" w:type="pct"/>
            <w:noWrap/>
            <w:hideMark/>
          </w:tcPr>
          <w:p w14:paraId="0BE18B1B"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13.7</w:t>
            </w:r>
          </w:p>
        </w:tc>
        <w:tc>
          <w:tcPr>
            <w:tcW w:w="446" w:type="pct"/>
            <w:noWrap/>
            <w:hideMark/>
          </w:tcPr>
          <w:p w14:paraId="66A231F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14.6</w:t>
            </w:r>
          </w:p>
        </w:tc>
        <w:tc>
          <w:tcPr>
            <w:tcW w:w="446" w:type="pct"/>
            <w:noWrap/>
            <w:hideMark/>
          </w:tcPr>
          <w:p w14:paraId="7764DD6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13.1</w:t>
            </w:r>
          </w:p>
        </w:tc>
      </w:tr>
      <w:tr w:rsidR="00DE4516" w:rsidRPr="00045A4A" w14:paraId="0C8700F6"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3D4919D9" w14:textId="77777777" w:rsidR="00DE4516" w:rsidRPr="00A46ADC" w:rsidRDefault="00DE4516" w:rsidP="00DE4516">
            <w:pPr>
              <w:pStyle w:val="TableBody"/>
              <w:autoSpaceDE w:val="0"/>
              <w:autoSpaceDN w:val="0"/>
              <w:adjustRightInd w:val="0"/>
              <w:ind w:left="159"/>
              <w:jc w:val="both"/>
              <w:rPr>
                <w:rFonts w:cs="Calibri"/>
                <w:color w:val="000000"/>
                <w:szCs w:val="16"/>
              </w:rPr>
            </w:pPr>
            <w:r w:rsidRPr="00A46ADC">
              <w:t>EU-27</w:t>
            </w:r>
          </w:p>
        </w:tc>
        <w:tc>
          <w:tcPr>
            <w:tcW w:w="446" w:type="pct"/>
            <w:noWrap/>
            <w:hideMark/>
          </w:tcPr>
          <w:p w14:paraId="38716EBA" w14:textId="77777777" w:rsidR="00DE4516" w:rsidRPr="00A46ADC" w:rsidRDefault="00DE4516" w:rsidP="00DE4516">
            <w:pPr>
              <w:pStyle w:val="TableBody"/>
              <w:autoSpaceDE w:val="0"/>
              <w:autoSpaceDN w:val="0"/>
              <w:adjustRightInd w:val="0"/>
              <w:jc w:val="right"/>
              <w:rPr>
                <w:rFonts w:cs="Calibri"/>
                <w:color w:val="000000"/>
                <w:szCs w:val="16"/>
              </w:rPr>
            </w:pPr>
            <w:r w:rsidRPr="00A46ADC">
              <w:t>10.9</w:t>
            </w:r>
          </w:p>
        </w:tc>
        <w:tc>
          <w:tcPr>
            <w:tcW w:w="446" w:type="pct"/>
            <w:noWrap/>
            <w:hideMark/>
          </w:tcPr>
          <w:p w14:paraId="72B1A7B0" w14:textId="77777777" w:rsidR="00DE4516" w:rsidRPr="00A46ADC" w:rsidRDefault="00DE4516" w:rsidP="00DE4516">
            <w:pPr>
              <w:pStyle w:val="TableBody"/>
              <w:autoSpaceDE w:val="0"/>
              <w:autoSpaceDN w:val="0"/>
              <w:adjustRightInd w:val="0"/>
              <w:jc w:val="right"/>
              <w:rPr>
                <w:rFonts w:cs="Calibri"/>
                <w:color w:val="000000"/>
                <w:szCs w:val="16"/>
              </w:rPr>
            </w:pPr>
            <w:r w:rsidRPr="00A46ADC">
              <w:t>12.3</w:t>
            </w:r>
          </w:p>
        </w:tc>
        <w:tc>
          <w:tcPr>
            <w:tcW w:w="446" w:type="pct"/>
            <w:noWrap/>
            <w:hideMark/>
          </w:tcPr>
          <w:p w14:paraId="247B0E24" w14:textId="77777777" w:rsidR="00DE4516" w:rsidRPr="00A46ADC" w:rsidRDefault="00DE4516" w:rsidP="00DE4516">
            <w:pPr>
              <w:pStyle w:val="TableBody"/>
              <w:autoSpaceDE w:val="0"/>
              <w:autoSpaceDN w:val="0"/>
              <w:adjustRightInd w:val="0"/>
              <w:jc w:val="right"/>
              <w:rPr>
                <w:rFonts w:cs="Calibri"/>
                <w:color w:val="000000"/>
                <w:szCs w:val="16"/>
              </w:rPr>
            </w:pPr>
            <w:r w:rsidRPr="00A46ADC">
              <w:t>7.8</w:t>
            </w:r>
          </w:p>
        </w:tc>
        <w:tc>
          <w:tcPr>
            <w:tcW w:w="446" w:type="pct"/>
            <w:noWrap/>
            <w:hideMark/>
          </w:tcPr>
          <w:p w14:paraId="1FDA30A7" w14:textId="77777777" w:rsidR="00DE4516" w:rsidRPr="00A46ADC" w:rsidRDefault="00DE4516" w:rsidP="00DE4516">
            <w:pPr>
              <w:pStyle w:val="TableBody"/>
              <w:autoSpaceDE w:val="0"/>
              <w:autoSpaceDN w:val="0"/>
              <w:adjustRightInd w:val="0"/>
              <w:jc w:val="right"/>
              <w:rPr>
                <w:rFonts w:cs="Calibri"/>
                <w:color w:val="000000"/>
                <w:szCs w:val="16"/>
              </w:rPr>
            </w:pPr>
            <w:r w:rsidRPr="00A46ADC">
              <w:t>9.8</w:t>
            </w:r>
          </w:p>
        </w:tc>
        <w:tc>
          <w:tcPr>
            <w:tcW w:w="446" w:type="pct"/>
            <w:noWrap/>
            <w:hideMark/>
          </w:tcPr>
          <w:p w14:paraId="10894BA4" w14:textId="77777777" w:rsidR="00DE4516" w:rsidRPr="00A46ADC" w:rsidRDefault="00DE4516" w:rsidP="00DE4516">
            <w:pPr>
              <w:pStyle w:val="TableBody"/>
              <w:autoSpaceDE w:val="0"/>
              <w:autoSpaceDN w:val="0"/>
              <w:adjustRightInd w:val="0"/>
              <w:jc w:val="right"/>
              <w:rPr>
                <w:rFonts w:cs="Calibri"/>
                <w:color w:val="000000"/>
                <w:szCs w:val="16"/>
              </w:rPr>
            </w:pPr>
            <w:r w:rsidRPr="00A46ADC">
              <w:t>10.8</w:t>
            </w:r>
          </w:p>
        </w:tc>
        <w:tc>
          <w:tcPr>
            <w:tcW w:w="446" w:type="pct"/>
            <w:noWrap/>
            <w:hideMark/>
          </w:tcPr>
          <w:p w14:paraId="7E27854D" w14:textId="77777777" w:rsidR="00DE4516" w:rsidRPr="00A46ADC" w:rsidRDefault="00DE4516" w:rsidP="00DE4516">
            <w:pPr>
              <w:pStyle w:val="TableBody"/>
              <w:autoSpaceDE w:val="0"/>
              <w:autoSpaceDN w:val="0"/>
              <w:adjustRightInd w:val="0"/>
              <w:jc w:val="right"/>
              <w:rPr>
                <w:rFonts w:cs="Calibri"/>
                <w:color w:val="000000"/>
                <w:szCs w:val="16"/>
              </w:rPr>
            </w:pPr>
            <w:r w:rsidRPr="00A46ADC">
              <w:t>10.8</w:t>
            </w:r>
          </w:p>
        </w:tc>
        <w:tc>
          <w:tcPr>
            <w:tcW w:w="446" w:type="pct"/>
            <w:noWrap/>
            <w:hideMark/>
          </w:tcPr>
          <w:p w14:paraId="4D31DA0D" w14:textId="77777777" w:rsidR="00DE4516" w:rsidRPr="00A46ADC" w:rsidRDefault="00DE4516" w:rsidP="00DE4516">
            <w:pPr>
              <w:pStyle w:val="TableBody"/>
              <w:autoSpaceDE w:val="0"/>
              <w:autoSpaceDN w:val="0"/>
              <w:adjustRightInd w:val="0"/>
              <w:jc w:val="right"/>
              <w:rPr>
                <w:rFonts w:cs="Calibri"/>
                <w:color w:val="000000"/>
                <w:szCs w:val="16"/>
              </w:rPr>
            </w:pPr>
            <w:r w:rsidRPr="00A46ADC">
              <w:t>9.4</w:t>
            </w:r>
          </w:p>
        </w:tc>
      </w:tr>
      <w:tr w:rsidR="00DE4516" w:rsidRPr="00045A4A" w14:paraId="5AD7B033" w14:textId="77777777" w:rsidTr="002F793E">
        <w:trPr>
          <w:cantSplit/>
        </w:trPr>
        <w:tc>
          <w:tcPr>
            <w:tcW w:w="1880" w:type="pct"/>
            <w:noWrap/>
            <w:hideMark/>
          </w:tcPr>
          <w:p w14:paraId="323CA7D9"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t>Germany</w:t>
            </w:r>
          </w:p>
        </w:tc>
        <w:tc>
          <w:tcPr>
            <w:tcW w:w="446" w:type="pct"/>
            <w:noWrap/>
            <w:hideMark/>
          </w:tcPr>
          <w:p w14:paraId="5BFFF870"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c>
          <w:tcPr>
            <w:tcW w:w="446" w:type="pct"/>
            <w:noWrap/>
            <w:hideMark/>
          </w:tcPr>
          <w:p w14:paraId="05EABAE8" w14:textId="77777777" w:rsidR="00DE4516" w:rsidRPr="00A46ADC" w:rsidRDefault="00DE4516" w:rsidP="00DE4516">
            <w:pPr>
              <w:pStyle w:val="TableBody"/>
              <w:autoSpaceDE w:val="0"/>
              <w:autoSpaceDN w:val="0"/>
              <w:adjustRightInd w:val="0"/>
              <w:jc w:val="right"/>
              <w:rPr>
                <w:rFonts w:cs="Calibri"/>
                <w:color w:val="000000"/>
                <w:szCs w:val="16"/>
              </w:rPr>
            </w:pPr>
            <w:r w:rsidRPr="00A46ADC">
              <w:t>3.0</w:t>
            </w:r>
          </w:p>
        </w:tc>
        <w:tc>
          <w:tcPr>
            <w:tcW w:w="446" w:type="pct"/>
            <w:noWrap/>
            <w:hideMark/>
          </w:tcPr>
          <w:p w14:paraId="1910FE12" w14:textId="77777777" w:rsidR="00DE4516" w:rsidRPr="00A46ADC" w:rsidRDefault="00DE4516" w:rsidP="00DE4516">
            <w:pPr>
              <w:pStyle w:val="TableBody"/>
              <w:autoSpaceDE w:val="0"/>
              <w:autoSpaceDN w:val="0"/>
              <w:adjustRightInd w:val="0"/>
              <w:jc w:val="right"/>
              <w:rPr>
                <w:rFonts w:cs="Calibri"/>
                <w:color w:val="000000"/>
                <w:szCs w:val="16"/>
              </w:rPr>
            </w:pPr>
            <w:r w:rsidRPr="00A46ADC">
              <w:t>2.2</w:t>
            </w:r>
          </w:p>
        </w:tc>
        <w:tc>
          <w:tcPr>
            <w:tcW w:w="446" w:type="pct"/>
            <w:noWrap/>
            <w:hideMark/>
          </w:tcPr>
          <w:p w14:paraId="3BEFBD53" w14:textId="77777777" w:rsidR="00DE4516" w:rsidRPr="00A46ADC" w:rsidRDefault="00DE4516" w:rsidP="00DE4516">
            <w:pPr>
              <w:pStyle w:val="TableBody"/>
              <w:autoSpaceDE w:val="0"/>
              <w:autoSpaceDN w:val="0"/>
              <w:adjustRightInd w:val="0"/>
              <w:jc w:val="right"/>
              <w:rPr>
                <w:rFonts w:cs="Calibri"/>
                <w:color w:val="000000"/>
                <w:szCs w:val="16"/>
              </w:rPr>
            </w:pPr>
            <w:r w:rsidRPr="00A46ADC">
              <w:t>2.4</w:t>
            </w:r>
          </w:p>
        </w:tc>
        <w:tc>
          <w:tcPr>
            <w:tcW w:w="446" w:type="pct"/>
            <w:noWrap/>
            <w:hideMark/>
          </w:tcPr>
          <w:p w14:paraId="773EE93F" w14:textId="77777777" w:rsidR="00DE4516" w:rsidRPr="00A46ADC" w:rsidRDefault="00DE4516" w:rsidP="00DE4516">
            <w:pPr>
              <w:pStyle w:val="TableBody"/>
              <w:autoSpaceDE w:val="0"/>
              <w:autoSpaceDN w:val="0"/>
              <w:adjustRightInd w:val="0"/>
              <w:jc w:val="right"/>
              <w:rPr>
                <w:rFonts w:cs="Calibri"/>
                <w:color w:val="000000"/>
                <w:szCs w:val="16"/>
              </w:rPr>
            </w:pPr>
            <w:r w:rsidRPr="00A46ADC">
              <w:t>2.5</w:t>
            </w:r>
          </w:p>
        </w:tc>
        <w:tc>
          <w:tcPr>
            <w:tcW w:w="446" w:type="pct"/>
            <w:noWrap/>
            <w:hideMark/>
          </w:tcPr>
          <w:p w14:paraId="43871CC2" w14:textId="77777777" w:rsidR="00DE4516" w:rsidRPr="00A46ADC" w:rsidRDefault="00DE4516" w:rsidP="00DE4516">
            <w:pPr>
              <w:pStyle w:val="TableBody"/>
              <w:autoSpaceDE w:val="0"/>
              <w:autoSpaceDN w:val="0"/>
              <w:adjustRightInd w:val="0"/>
              <w:jc w:val="right"/>
              <w:rPr>
                <w:rFonts w:cs="Calibri"/>
                <w:color w:val="000000"/>
                <w:szCs w:val="16"/>
              </w:rPr>
            </w:pPr>
            <w:r w:rsidRPr="00A46ADC">
              <w:t>2.4</w:t>
            </w:r>
          </w:p>
        </w:tc>
        <w:tc>
          <w:tcPr>
            <w:tcW w:w="446" w:type="pct"/>
            <w:noWrap/>
            <w:hideMark/>
          </w:tcPr>
          <w:p w14:paraId="31671685" w14:textId="77777777" w:rsidR="00DE4516" w:rsidRPr="00A46ADC" w:rsidRDefault="00DE4516" w:rsidP="00DE4516">
            <w:pPr>
              <w:pStyle w:val="TableBody"/>
              <w:autoSpaceDE w:val="0"/>
              <w:autoSpaceDN w:val="0"/>
              <w:adjustRightInd w:val="0"/>
              <w:jc w:val="right"/>
              <w:rPr>
                <w:rFonts w:cs="Calibri"/>
                <w:color w:val="000000"/>
                <w:szCs w:val="16"/>
              </w:rPr>
            </w:pPr>
            <w:r w:rsidRPr="00A46ADC">
              <w:t>2.1</w:t>
            </w:r>
          </w:p>
        </w:tc>
      </w:tr>
      <w:tr w:rsidR="00DE4516" w:rsidRPr="00045A4A" w14:paraId="2648CF10"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1F8F8419"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t>Luxembourg</w:t>
            </w:r>
          </w:p>
        </w:tc>
        <w:tc>
          <w:tcPr>
            <w:tcW w:w="446" w:type="pct"/>
            <w:noWrap/>
            <w:hideMark/>
          </w:tcPr>
          <w:p w14:paraId="5FCB7850" w14:textId="77777777" w:rsidR="00DE4516" w:rsidRPr="00A46ADC" w:rsidRDefault="00DE4516" w:rsidP="00DE4516">
            <w:pPr>
              <w:pStyle w:val="TableBody"/>
              <w:autoSpaceDE w:val="0"/>
              <w:autoSpaceDN w:val="0"/>
              <w:adjustRightInd w:val="0"/>
              <w:jc w:val="right"/>
              <w:rPr>
                <w:rFonts w:cs="Calibri"/>
                <w:color w:val="000000"/>
                <w:szCs w:val="16"/>
              </w:rPr>
            </w:pPr>
            <w:r w:rsidRPr="00A46ADC">
              <w:t>0.0</w:t>
            </w:r>
          </w:p>
        </w:tc>
        <w:tc>
          <w:tcPr>
            <w:tcW w:w="446" w:type="pct"/>
            <w:noWrap/>
            <w:hideMark/>
          </w:tcPr>
          <w:p w14:paraId="1BD38EF9" w14:textId="77777777" w:rsidR="00DE4516" w:rsidRPr="00A46ADC" w:rsidRDefault="00DE4516" w:rsidP="00DE4516">
            <w:pPr>
              <w:pStyle w:val="TableBody"/>
              <w:autoSpaceDE w:val="0"/>
              <w:autoSpaceDN w:val="0"/>
              <w:adjustRightInd w:val="0"/>
              <w:jc w:val="right"/>
              <w:rPr>
                <w:rFonts w:cs="Calibri"/>
                <w:color w:val="000000"/>
                <w:szCs w:val="16"/>
              </w:rPr>
            </w:pPr>
            <w:r w:rsidRPr="00A46ADC">
              <w:t>0.1</w:t>
            </w:r>
          </w:p>
        </w:tc>
        <w:tc>
          <w:tcPr>
            <w:tcW w:w="446" w:type="pct"/>
            <w:noWrap/>
            <w:hideMark/>
          </w:tcPr>
          <w:p w14:paraId="1E20AE3E" w14:textId="77777777" w:rsidR="00DE4516" w:rsidRPr="00A46ADC" w:rsidRDefault="00DE4516" w:rsidP="00DE4516">
            <w:pPr>
              <w:pStyle w:val="TableBody"/>
              <w:autoSpaceDE w:val="0"/>
              <w:autoSpaceDN w:val="0"/>
              <w:adjustRightInd w:val="0"/>
              <w:jc w:val="right"/>
              <w:rPr>
                <w:rFonts w:cs="Calibri"/>
                <w:color w:val="000000"/>
                <w:szCs w:val="16"/>
              </w:rPr>
            </w:pPr>
            <w:r w:rsidRPr="00A46ADC">
              <w:t>0.0</w:t>
            </w:r>
          </w:p>
        </w:tc>
        <w:tc>
          <w:tcPr>
            <w:tcW w:w="446" w:type="pct"/>
            <w:noWrap/>
            <w:hideMark/>
          </w:tcPr>
          <w:p w14:paraId="66C93472" w14:textId="77777777" w:rsidR="00DE4516" w:rsidRPr="00A46ADC" w:rsidRDefault="00DE4516" w:rsidP="00DE4516">
            <w:pPr>
              <w:pStyle w:val="TableBody"/>
              <w:autoSpaceDE w:val="0"/>
              <w:autoSpaceDN w:val="0"/>
              <w:adjustRightInd w:val="0"/>
              <w:jc w:val="right"/>
              <w:rPr>
                <w:rFonts w:cs="Calibri"/>
                <w:color w:val="000000"/>
                <w:szCs w:val="16"/>
              </w:rPr>
            </w:pPr>
            <w:r w:rsidRPr="00A46ADC">
              <w:t>0.0</w:t>
            </w:r>
          </w:p>
        </w:tc>
        <w:tc>
          <w:tcPr>
            <w:tcW w:w="446" w:type="pct"/>
            <w:noWrap/>
            <w:hideMark/>
          </w:tcPr>
          <w:p w14:paraId="4FEDF4E5"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c>
          <w:tcPr>
            <w:tcW w:w="446" w:type="pct"/>
            <w:noWrap/>
            <w:hideMark/>
          </w:tcPr>
          <w:p w14:paraId="76D8DC37"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446" w:type="pct"/>
            <w:noWrap/>
            <w:hideMark/>
          </w:tcPr>
          <w:p w14:paraId="788520D0" w14:textId="77777777" w:rsidR="00DE4516" w:rsidRPr="00A46ADC" w:rsidRDefault="00DE4516" w:rsidP="00DE4516">
            <w:pPr>
              <w:pStyle w:val="TableBody"/>
              <w:autoSpaceDE w:val="0"/>
              <w:autoSpaceDN w:val="0"/>
              <w:adjustRightInd w:val="0"/>
              <w:jc w:val="right"/>
              <w:rPr>
                <w:rFonts w:cs="Calibri"/>
                <w:color w:val="000000"/>
                <w:szCs w:val="16"/>
              </w:rPr>
            </w:pPr>
            <w:r w:rsidRPr="00A46ADC">
              <w:t>1.6</w:t>
            </w:r>
          </w:p>
        </w:tc>
      </w:tr>
      <w:tr w:rsidR="00DE4516" w:rsidRPr="00045A4A" w14:paraId="49E5CAC3" w14:textId="77777777" w:rsidTr="002F793E">
        <w:trPr>
          <w:cantSplit/>
        </w:trPr>
        <w:tc>
          <w:tcPr>
            <w:tcW w:w="1880" w:type="pct"/>
            <w:noWrap/>
            <w:hideMark/>
          </w:tcPr>
          <w:p w14:paraId="523C6A42"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lastRenderedPageBreak/>
              <w:t>Netherlands</w:t>
            </w:r>
          </w:p>
        </w:tc>
        <w:tc>
          <w:tcPr>
            <w:tcW w:w="446" w:type="pct"/>
            <w:noWrap/>
            <w:hideMark/>
          </w:tcPr>
          <w:p w14:paraId="72C550D2" w14:textId="77777777" w:rsidR="00DE4516" w:rsidRPr="00A46ADC" w:rsidRDefault="00DE4516" w:rsidP="00DE4516">
            <w:pPr>
              <w:pStyle w:val="TableBody"/>
              <w:autoSpaceDE w:val="0"/>
              <w:autoSpaceDN w:val="0"/>
              <w:adjustRightInd w:val="0"/>
              <w:jc w:val="right"/>
              <w:rPr>
                <w:rFonts w:cs="Calibri"/>
                <w:color w:val="000000"/>
                <w:szCs w:val="16"/>
              </w:rPr>
            </w:pPr>
            <w:r w:rsidRPr="00A46ADC">
              <w:t>1.5</w:t>
            </w:r>
          </w:p>
        </w:tc>
        <w:tc>
          <w:tcPr>
            <w:tcW w:w="446" w:type="pct"/>
            <w:noWrap/>
            <w:hideMark/>
          </w:tcPr>
          <w:p w14:paraId="16BA893E" w14:textId="77777777" w:rsidR="00DE4516" w:rsidRPr="00A46ADC" w:rsidRDefault="00DE4516" w:rsidP="00DE4516">
            <w:pPr>
              <w:pStyle w:val="TableBody"/>
              <w:autoSpaceDE w:val="0"/>
              <w:autoSpaceDN w:val="0"/>
              <w:adjustRightInd w:val="0"/>
              <w:jc w:val="right"/>
              <w:rPr>
                <w:rFonts w:cs="Calibri"/>
                <w:color w:val="000000"/>
                <w:szCs w:val="16"/>
              </w:rPr>
            </w:pPr>
            <w:r w:rsidRPr="00A46ADC">
              <w:t>2.3</w:t>
            </w:r>
          </w:p>
        </w:tc>
        <w:tc>
          <w:tcPr>
            <w:tcW w:w="446" w:type="pct"/>
            <w:noWrap/>
            <w:hideMark/>
          </w:tcPr>
          <w:p w14:paraId="0D2FDA3B" w14:textId="77777777" w:rsidR="00DE4516" w:rsidRPr="00A46ADC" w:rsidRDefault="00DE4516" w:rsidP="00DE4516">
            <w:pPr>
              <w:pStyle w:val="TableBody"/>
              <w:autoSpaceDE w:val="0"/>
              <w:autoSpaceDN w:val="0"/>
              <w:adjustRightInd w:val="0"/>
              <w:jc w:val="right"/>
              <w:rPr>
                <w:rFonts w:cs="Calibri"/>
                <w:color w:val="000000"/>
                <w:szCs w:val="16"/>
              </w:rPr>
            </w:pPr>
            <w:r w:rsidRPr="00A46ADC">
              <w:t>0.6</w:t>
            </w:r>
          </w:p>
        </w:tc>
        <w:tc>
          <w:tcPr>
            <w:tcW w:w="446" w:type="pct"/>
            <w:noWrap/>
            <w:hideMark/>
          </w:tcPr>
          <w:p w14:paraId="7FD3C094" w14:textId="77777777" w:rsidR="00DE4516" w:rsidRPr="00A46ADC" w:rsidRDefault="00DE4516" w:rsidP="00DE4516">
            <w:pPr>
              <w:pStyle w:val="TableBody"/>
              <w:autoSpaceDE w:val="0"/>
              <w:autoSpaceDN w:val="0"/>
              <w:adjustRightInd w:val="0"/>
              <w:jc w:val="right"/>
              <w:rPr>
                <w:rFonts w:cs="Calibri"/>
                <w:color w:val="000000"/>
                <w:szCs w:val="16"/>
              </w:rPr>
            </w:pPr>
            <w:r w:rsidRPr="00A46ADC">
              <w:t>1.7</w:t>
            </w:r>
          </w:p>
        </w:tc>
        <w:tc>
          <w:tcPr>
            <w:tcW w:w="446" w:type="pct"/>
            <w:noWrap/>
            <w:hideMark/>
          </w:tcPr>
          <w:p w14:paraId="798FE1FA"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c>
          <w:tcPr>
            <w:tcW w:w="446" w:type="pct"/>
            <w:noWrap/>
            <w:hideMark/>
          </w:tcPr>
          <w:p w14:paraId="1FDD2989" w14:textId="77777777" w:rsidR="00DE4516" w:rsidRPr="00A46ADC" w:rsidRDefault="00DE4516" w:rsidP="00DE4516">
            <w:pPr>
              <w:pStyle w:val="TableBody"/>
              <w:autoSpaceDE w:val="0"/>
              <w:autoSpaceDN w:val="0"/>
              <w:adjustRightInd w:val="0"/>
              <w:jc w:val="right"/>
              <w:rPr>
                <w:rFonts w:cs="Calibri"/>
                <w:color w:val="000000"/>
                <w:szCs w:val="16"/>
              </w:rPr>
            </w:pPr>
            <w:r w:rsidRPr="00A46ADC">
              <w:t>1.3</w:t>
            </w:r>
          </w:p>
        </w:tc>
        <w:tc>
          <w:tcPr>
            <w:tcW w:w="446" w:type="pct"/>
            <w:noWrap/>
            <w:hideMark/>
          </w:tcPr>
          <w:p w14:paraId="028F2E09" w14:textId="77777777" w:rsidR="00DE4516" w:rsidRPr="00A46ADC" w:rsidRDefault="00DE4516" w:rsidP="00DE4516">
            <w:pPr>
              <w:pStyle w:val="TableBody"/>
              <w:autoSpaceDE w:val="0"/>
              <w:autoSpaceDN w:val="0"/>
              <w:adjustRightInd w:val="0"/>
              <w:jc w:val="right"/>
              <w:rPr>
                <w:rFonts w:cs="Calibri"/>
                <w:color w:val="000000"/>
                <w:szCs w:val="16"/>
              </w:rPr>
            </w:pPr>
            <w:r w:rsidRPr="00A46ADC">
              <w:t>1.4</w:t>
            </w:r>
          </w:p>
        </w:tc>
      </w:tr>
      <w:tr w:rsidR="00DE4516" w:rsidRPr="00045A4A" w14:paraId="240FAA47"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0FA07D3A"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t>Belgium</w:t>
            </w:r>
          </w:p>
        </w:tc>
        <w:tc>
          <w:tcPr>
            <w:tcW w:w="446" w:type="pct"/>
            <w:noWrap/>
            <w:hideMark/>
          </w:tcPr>
          <w:p w14:paraId="1AF0D125" w14:textId="77777777" w:rsidR="00DE4516" w:rsidRPr="00A46ADC" w:rsidRDefault="00DE4516" w:rsidP="00DE4516">
            <w:pPr>
              <w:pStyle w:val="TableBody"/>
              <w:autoSpaceDE w:val="0"/>
              <w:autoSpaceDN w:val="0"/>
              <w:adjustRightInd w:val="0"/>
              <w:jc w:val="right"/>
              <w:rPr>
                <w:rFonts w:cs="Calibri"/>
                <w:color w:val="000000"/>
                <w:szCs w:val="16"/>
              </w:rPr>
            </w:pPr>
            <w:r w:rsidRPr="00A46ADC">
              <w:t>1.2</w:t>
            </w:r>
          </w:p>
        </w:tc>
        <w:tc>
          <w:tcPr>
            <w:tcW w:w="446" w:type="pct"/>
            <w:noWrap/>
            <w:hideMark/>
          </w:tcPr>
          <w:p w14:paraId="23943F53"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c>
          <w:tcPr>
            <w:tcW w:w="446" w:type="pct"/>
            <w:noWrap/>
            <w:hideMark/>
          </w:tcPr>
          <w:p w14:paraId="094E268D" w14:textId="77777777" w:rsidR="00DE4516" w:rsidRPr="00A46ADC" w:rsidRDefault="00DE4516" w:rsidP="00DE4516">
            <w:pPr>
              <w:pStyle w:val="TableBody"/>
              <w:autoSpaceDE w:val="0"/>
              <w:autoSpaceDN w:val="0"/>
              <w:adjustRightInd w:val="0"/>
              <w:jc w:val="right"/>
              <w:rPr>
                <w:rFonts w:cs="Calibri"/>
                <w:color w:val="000000"/>
                <w:szCs w:val="16"/>
              </w:rPr>
            </w:pPr>
            <w:r w:rsidRPr="00A46ADC">
              <w:t>1.6</w:t>
            </w:r>
          </w:p>
        </w:tc>
        <w:tc>
          <w:tcPr>
            <w:tcW w:w="446" w:type="pct"/>
            <w:noWrap/>
            <w:hideMark/>
          </w:tcPr>
          <w:p w14:paraId="1629A912"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46" w:type="pct"/>
            <w:noWrap/>
            <w:hideMark/>
          </w:tcPr>
          <w:p w14:paraId="5747D3B5" w14:textId="77777777" w:rsidR="00DE4516" w:rsidRPr="00A46ADC" w:rsidRDefault="00DE4516" w:rsidP="00DE4516">
            <w:pPr>
              <w:pStyle w:val="TableBody"/>
              <w:autoSpaceDE w:val="0"/>
              <w:autoSpaceDN w:val="0"/>
              <w:adjustRightInd w:val="0"/>
              <w:jc w:val="right"/>
              <w:rPr>
                <w:rFonts w:cs="Calibri"/>
                <w:color w:val="000000"/>
                <w:szCs w:val="16"/>
              </w:rPr>
            </w:pPr>
            <w:r w:rsidRPr="00A46ADC">
              <w:t>1.2</w:t>
            </w:r>
          </w:p>
        </w:tc>
        <w:tc>
          <w:tcPr>
            <w:tcW w:w="446" w:type="pct"/>
            <w:noWrap/>
            <w:hideMark/>
          </w:tcPr>
          <w:p w14:paraId="79919B1F"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46" w:type="pct"/>
            <w:noWrap/>
            <w:hideMark/>
          </w:tcPr>
          <w:p w14:paraId="61F8E254"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r>
      <w:tr w:rsidR="00DE4516" w:rsidRPr="00045A4A" w14:paraId="2F670501" w14:textId="77777777" w:rsidTr="002F793E">
        <w:trPr>
          <w:cantSplit/>
        </w:trPr>
        <w:tc>
          <w:tcPr>
            <w:tcW w:w="1880" w:type="pct"/>
            <w:noWrap/>
            <w:hideMark/>
          </w:tcPr>
          <w:p w14:paraId="08041FA4"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EFTA</w:t>
            </w:r>
          </w:p>
        </w:tc>
        <w:tc>
          <w:tcPr>
            <w:tcW w:w="446" w:type="pct"/>
            <w:noWrap/>
            <w:hideMark/>
          </w:tcPr>
          <w:p w14:paraId="213E92BF" w14:textId="77777777" w:rsidR="00DE4516" w:rsidRPr="00A46ADC" w:rsidRDefault="00DE4516" w:rsidP="00DE4516">
            <w:pPr>
              <w:pStyle w:val="TableBody"/>
              <w:autoSpaceDE w:val="0"/>
              <w:autoSpaceDN w:val="0"/>
              <w:adjustRightInd w:val="0"/>
              <w:jc w:val="right"/>
              <w:rPr>
                <w:rFonts w:cs="Calibri"/>
                <w:color w:val="000000"/>
                <w:szCs w:val="16"/>
              </w:rPr>
            </w:pPr>
            <w:r w:rsidRPr="00A46ADC">
              <w:t>0.6</w:t>
            </w:r>
          </w:p>
        </w:tc>
        <w:tc>
          <w:tcPr>
            <w:tcW w:w="446" w:type="pct"/>
            <w:noWrap/>
            <w:hideMark/>
          </w:tcPr>
          <w:p w14:paraId="78907DC1" w14:textId="77777777" w:rsidR="00DE4516" w:rsidRPr="00A46ADC" w:rsidRDefault="00DE4516" w:rsidP="00DE4516">
            <w:pPr>
              <w:pStyle w:val="TableBody"/>
              <w:autoSpaceDE w:val="0"/>
              <w:autoSpaceDN w:val="0"/>
              <w:adjustRightInd w:val="0"/>
              <w:jc w:val="right"/>
              <w:rPr>
                <w:rFonts w:cs="Calibri"/>
                <w:color w:val="000000"/>
                <w:szCs w:val="16"/>
              </w:rPr>
            </w:pPr>
            <w:r w:rsidRPr="00A46ADC">
              <w:t>0.6</w:t>
            </w:r>
          </w:p>
        </w:tc>
        <w:tc>
          <w:tcPr>
            <w:tcW w:w="446" w:type="pct"/>
            <w:noWrap/>
            <w:hideMark/>
          </w:tcPr>
          <w:p w14:paraId="5A35432F" w14:textId="77777777" w:rsidR="00DE4516" w:rsidRPr="00A46ADC" w:rsidRDefault="00DE4516" w:rsidP="00DE4516">
            <w:pPr>
              <w:pStyle w:val="TableBody"/>
              <w:autoSpaceDE w:val="0"/>
              <w:autoSpaceDN w:val="0"/>
              <w:adjustRightInd w:val="0"/>
              <w:jc w:val="right"/>
              <w:rPr>
                <w:rFonts w:cs="Calibri"/>
                <w:color w:val="000000"/>
                <w:szCs w:val="16"/>
              </w:rPr>
            </w:pPr>
            <w:r w:rsidRPr="00A46ADC">
              <w:t>0.5</w:t>
            </w:r>
          </w:p>
        </w:tc>
        <w:tc>
          <w:tcPr>
            <w:tcW w:w="446" w:type="pct"/>
            <w:noWrap/>
            <w:hideMark/>
          </w:tcPr>
          <w:p w14:paraId="485F3578" w14:textId="77777777" w:rsidR="00DE4516" w:rsidRPr="00A46ADC" w:rsidRDefault="00DE4516" w:rsidP="00DE4516">
            <w:pPr>
              <w:pStyle w:val="TableBody"/>
              <w:autoSpaceDE w:val="0"/>
              <w:autoSpaceDN w:val="0"/>
              <w:adjustRightInd w:val="0"/>
              <w:jc w:val="right"/>
              <w:rPr>
                <w:rFonts w:cs="Calibri"/>
                <w:color w:val="000000"/>
                <w:szCs w:val="16"/>
              </w:rPr>
            </w:pPr>
            <w:r w:rsidRPr="00A46ADC">
              <w:t>0.8</w:t>
            </w:r>
          </w:p>
        </w:tc>
        <w:tc>
          <w:tcPr>
            <w:tcW w:w="446" w:type="pct"/>
            <w:noWrap/>
            <w:hideMark/>
          </w:tcPr>
          <w:p w14:paraId="07931CCE" w14:textId="77777777" w:rsidR="00DE4516" w:rsidRPr="00A46ADC" w:rsidRDefault="00DE4516" w:rsidP="00DE4516">
            <w:pPr>
              <w:pStyle w:val="TableBody"/>
              <w:autoSpaceDE w:val="0"/>
              <w:autoSpaceDN w:val="0"/>
              <w:adjustRightInd w:val="0"/>
              <w:jc w:val="right"/>
              <w:rPr>
                <w:rFonts w:cs="Calibri"/>
                <w:color w:val="000000"/>
                <w:szCs w:val="16"/>
              </w:rPr>
            </w:pPr>
            <w:r w:rsidRPr="00A46ADC">
              <w:t>0.5</w:t>
            </w:r>
          </w:p>
        </w:tc>
        <w:tc>
          <w:tcPr>
            <w:tcW w:w="446" w:type="pct"/>
            <w:noWrap/>
            <w:hideMark/>
          </w:tcPr>
          <w:p w14:paraId="31C4C701"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46" w:type="pct"/>
            <w:noWrap/>
            <w:hideMark/>
          </w:tcPr>
          <w:p w14:paraId="651345BB" w14:textId="77777777" w:rsidR="00DE4516" w:rsidRPr="00A46ADC" w:rsidRDefault="00DE4516" w:rsidP="00DE4516">
            <w:pPr>
              <w:pStyle w:val="TableBody"/>
              <w:autoSpaceDE w:val="0"/>
              <w:autoSpaceDN w:val="0"/>
              <w:adjustRightInd w:val="0"/>
              <w:jc w:val="right"/>
              <w:rPr>
                <w:rFonts w:cs="Calibri"/>
                <w:color w:val="000000"/>
                <w:szCs w:val="16"/>
              </w:rPr>
            </w:pPr>
            <w:r w:rsidRPr="00A46ADC">
              <w:t>0.4</w:t>
            </w:r>
          </w:p>
        </w:tc>
      </w:tr>
      <w:tr w:rsidR="00DE4516" w:rsidRPr="00045A4A" w14:paraId="472B1DB7"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1E37CAB0"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Other Europe</w:t>
            </w:r>
          </w:p>
        </w:tc>
        <w:tc>
          <w:tcPr>
            <w:tcW w:w="446" w:type="pct"/>
            <w:noWrap/>
            <w:hideMark/>
          </w:tcPr>
          <w:p w14:paraId="5D6774D0" w14:textId="77777777" w:rsidR="00DE4516" w:rsidRPr="00A46ADC" w:rsidRDefault="00DE4516" w:rsidP="00DE4516">
            <w:pPr>
              <w:pStyle w:val="TableBody"/>
              <w:autoSpaceDE w:val="0"/>
              <w:autoSpaceDN w:val="0"/>
              <w:adjustRightInd w:val="0"/>
              <w:jc w:val="right"/>
              <w:rPr>
                <w:rFonts w:cs="Calibri"/>
                <w:color w:val="000000"/>
                <w:szCs w:val="16"/>
              </w:rPr>
            </w:pPr>
            <w:r w:rsidRPr="00A46ADC">
              <w:t>3.0</w:t>
            </w:r>
          </w:p>
        </w:tc>
        <w:tc>
          <w:tcPr>
            <w:tcW w:w="446" w:type="pct"/>
            <w:noWrap/>
            <w:hideMark/>
          </w:tcPr>
          <w:p w14:paraId="64F93636" w14:textId="77777777" w:rsidR="00DE4516" w:rsidRPr="00A46ADC" w:rsidRDefault="00DE4516" w:rsidP="00DE4516">
            <w:pPr>
              <w:pStyle w:val="TableBody"/>
              <w:autoSpaceDE w:val="0"/>
              <w:autoSpaceDN w:val="0"/>
              <w:adjustRightInd w:val="0"/>
              <w:jc w:val="right"/>
              <w:rPr>
                <w:rFonts w:cs="Calibri"/>
                <w:color w:val="000000"/>
                <w:szCs w:val="16"/>
              </w:rPr>
            </w:pPr>
            <w:r w:rsidRPr="00A46ADC">
              <w:t>2.8</w:t>
            </w:r>
          </w:p>
        </w:tc>
        <w:tc>
          <w:tcPr>
            <w:tcW w:w="446" w:type="pct"/>
            <w:noWrap/>
            <w:hideMark/>
          </w:tcPr>
          <w:p w14:paraId="47A1AFFA" w14:textId="77777777" w:rsidR="00DE4516" w:rsidRPr="00A46ADC" w:rsidRDefault="00DE4516" w:rsidP="00DE4516">
            <w:pPr>
              <w:pStyle w:val="TableBody"/>
              <w:autoSpaceDE w:val="0"/>
              <w:autoSpaceDN w:val="0"/>
              <w:adjustRightInd w:val="0"/>
              <w:jc w:val="right"/>
              <w:rPr>
                <w:rFonts w:cs="Calibri"/>
                <w:color w:val="000000"/>
                <w:szCs w:val="16"/>
              </w:rPr>
            </w:pPr>
            <w:r w:rsidRPr="00A46ADC">
              <w:t>2.4</w:t>
            </w:r>
          </w:p>
        </w:tc>
        <w:tc>
          <w:tcPr>
            <w:tcW w:w="446" w:type="pct"/>
            <w:noWrap/>
            <w:hideMark/>
          </w:tcPr>
          <w:p w14:paraId="20E8D50D" w14:textId="77777777" w:rsidR="00DE4516" w:rsidRPr="00A46ADC" w:rsidRDefault="00DE4516" w:rsidP="00DE4516">
            <w:pPr>
              <w:pStyle w:val="TableBody"/>
              <w:autoSpaceDE w:val="0"/>
              <w:autoSpaceDN w:val="0"/>
              <w:adjustRightInd w:val="0"/>
              <w:jc w:val="right"/>
              <w:rPr>
                <w:rFonts w:cs="Calibri"/>
                <w:color w:val="000000"/>
                <w:szCs w:val="16"/>
              </w:rPr>
            </w:pPr>
            <w:r w:rsidRPr="00A46ADC">
              <w:t>2.4</w:t>
            </w:r>
          </w:p>
        </w:tc>
        <w:tc>
          <w:tcPr>
            <w:tcW w:w="446" w:type="pct"/>
            <w:noWrap/>
            <w:hideMark/>
          </w:tcPr>
          <w:p w14:paraId="1F42154A" w14:textId="77777777" w:rsidR="00DE4516" w:rsidRPr="00A46ADC" w:rsidRDefault="00DE4516" w:rsidP="00DE4516">
            <w:pPr>
              <w:pStyle w:val="TableBody"/>
              <w:autoSpaceDE w:val="0"/>
              <w:autoSpaceDN w:val="0"/>
              <w:adjustRightInd w:val="0"/>
              <w:jc w:val="right"/>
              <w:rPr>
                <w:rFonts w:cs="Calibri"/>
                <w:color w:val="000000"/>
                <w:szCs w:val="16"/>
              </w:rPr>
            </w:pPr>
            <w:r w:rsidRPr="00A46ADC">
              <w:t>2.5</w:t>
            </w:r>
          </w:p>
        </w:tc>
        <w:tc>
          <w:tcPr>
            <w:tcW w:w="446" w:type="pct"/>
            <w:noWrap/>
            <w:hideMark/>
          </w:tcPr>
          <w:p w14:paraId="453768E3" w14:textId="77777777" w:rsidR="00DE4516" w:rsidRPr="00A46ADC" w:rsidRDefault="00DE4516" w:rsidP="00DE4516">
            <w:pPr>
              <w:pStyle w:val="TableBody"/>
              <w:autoSpaceDE w:val="0"/>
              <w:autoSpaceDN w:val="0"/>
              <w:adjustRightInd w:val="0"/>
              <w:jc w:val="right"/>
              <w:rPr>
                <w:rFonts w:cs="Calibri"/>
                <w:color w:val="000000"/>
                <w:szCs w:val="16"/>
              </w:rPr>
            </w:pPr>
            <w:r w:rsidRPr="00A46ADC">
              <w:t>3.1</w:t>
            </w:r>
          </w:p>
        </w:tc>
        <w:tc>
          <w:tcPr>
            <w:tcW w:w="446" w:type="pct"/>
            <w:noWrap/>
            <w:hideMark/>
          </w:tcPr>
          <w:p w14:paraId="79BF9E5C" w14:textId="77777777" w:rsidR="00DE4516" w:rsidRPr="00A46ADC" w:rsidRDefault="00DE4516" w:rsidP="00DE4516">
            <w:pPr>
              <w:pStyle w:val="TableBody"/>
              <w:autoSpaceDE w:val="0"/>
              <w:autoSpaceDN w:val="0"/>
              <w:adjustRightInd w:val="0"/>
              <w:jc w:val="right"/>
              <w:rPr>
                <w:rFonts w:cs="Calibri"/>
                <w:color w:val="000000"/>
                <w:szCs w:val="16"/>
              </w:rPr>
            </w:pPr>
            <w:r w:rsidRPr="00A46ADC">
              <w:t>3.2</w:t>
            </w:r>
          </w:p>
        </w:tc>
      </w:tr>
      <w:tr w:rsidR="00DE4516" w:rsidRPr="00045A4A" w14:paraId="7C27B02D" w14:textId="77777777" w:rsidTr="002F793E">
        <w:trPr>
          <w:cantSplit/>
        </w:trPr>
        <w:tc>
          <w:tcPr>
            <w:tcW w:w="1880" w:type="pct"/>
            <w:noWrap/>
            <w:hideMark/>
          </w:tcPr>
          <w:p w14:paraId="5C1FDDB4"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t>Turkey</w:t>
            </w:r>
          </w:p>
        </w:tc>
        <w:tc>
          <w:tcPr>
            <w:tcW w:w="446" w:type="pct"/>
            <w:noWrap/>
            <w:hideMark/>
          </w:tcPr>
          <w:p w14:paraId="4D8935A1"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c>
          <w:tcPr>
            <w:tcW w:w="446" w:type="pct"/>
            <w:noWrap/>
            <w:hideMark/>
          </w:tcPr>
          <w:p w14:paraId="23DB4944"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46" w:type="pct"/>
            <w:noWrap/>
            <w:hideMark/>
          </w:tcPr>
          <w:p w14:paraId="2E967F22" w14:textId="77777777" w:rsidR="00DE4516" w:rsidRPr="00A46ADC" w:rsidRDefault="00DE4516" w:rsidP="00DE4516">
            <w:pPr>
              <w:pStyle w:val="TableBody"/>
              <w:autoSpaceDE w:val="0"/>
              <w:autoSpaceDN w:val="0"/>
              <w:adjustRightInd w:val="0"/>
              <w:jc w:val="right"/>
              <w:rPr>
                <w:rFonts w:cs="Calibri"/>
                <w:color w:val="000000"/>
                <w:szCs w:val="16"/>
              </w:rPr>
            </w:pPr>
            <w:r w:rsidRPr="00A46ADC">
              <w:t>0.5</w:t>
            </w:r>
          </w:p>
        </w:tc>
        <w:tc>
          <w:tcPr>
            <w:tcW w:w="446" w:type="pct"/>
            <w:noWrap/>
            <w:hideMark/>
          </w:tcPr>
          <w:p w14:paraId="5E98157D" w14:textId="77777777" w:rsidR="00DE4516" w:rsidRPr="00A46ADC" w:rsidRDefault="00DE4516" w:rsidP="00DE4516">
            <w:pPr>
              <w:pStyle w:val="TableBody"/>
              <w:autoSpaceDE w:val="0"/>
              <w:autoSpaceDN w:val="0"/>
              <w:adjustRightInd w:val="0"/>
              <w:jc w:val="right"/>
              <w:rPr>
                <w:rFonts w:cs="Calibri"/>
                <w:color w:val="000000"/>
                <w:szCs w:val="16"/>
              </w:rPr>
            </w:pPr>
            <w:r w:rsidRPr="00A46ADC">
              <w:t>0.4</w:t>
            </w:r>
          </w:p>
        </w:tc>
        <w:tc>
          <w:tcPr>
            <w:tcW w:w="446" w:type="pct"/>
            <w:noWrap/>
            <w:hideMark/>
          </w:tcPr>
          <w:p w14:paraId="0B7D49F5" w14:textId="77777777" w:rsidR="00DE4516" w:rsidRPr="00A46ADC" w:rsidRDefault="00DE4516" w:rsidP="00DE4516">
            <w:pPr>
              <w:pStyle w:val="TableBody"/>
              <w:autoSpaceDE w:val="0"/>
              <w:autoSpaceDN w:val="0"/>
              <w:adjustRightInd w:val="0"/>
              <w:jc w:val="right"/>
              <w:rPr>
                <w:rFonts w:cs="Calibri"/>
                <w:color w:val="000000"/>
                <w:szCs w:val="16"/>
              </w:rPr>
            </w:pPr>
            <w:r w:rsidRPr="00A46ADC">
              <w:t>0.5</w:t>
            </w:r>
          </w:p>
        </w:tc>
        <w:tc>
          <w:tcPr>
            <w:tcW w:w="446" w:type="pct"/>
            <w:noWrap/>
            <w:hideMark/>
          </w:tcPr>
          <w:p w14:paraId="608B04E8"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46" w:type="pct"/>
            <w:noWrap/>
            <w:hideMark/>
          </w:tcPr>
          <w:p w14:paraId="50482E5E"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r>
      <w:tr w:rsidR="00DE4516" w:rsidRPr="00045A4A" w14:paraId="6E9E836A"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199E9AFF"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t>United Kingdom</w:t>
            </w:r>
          </w:p>
        </w:tc>
        <w:tc>
          <w:tcPr>
            <w:tcW w:w="446" w:type="pct"/>
            <w:noWrap/>
            <w:hideMark/>
          </w:tcPr>
          <w:p w14:paraId="74ACEACC" w14:textId="77777777" w:rsidR="00DE4516" w:rsidRPr="00A46ADC" w:rsidRDefault="00DE4516" w:rsidP="00DE4516">
            <w:pPr>
              <w:pStyle w:val="TableBody"/>
              <w:autoSpaceDE w:val="0"/>
              <w:autoSpaceDN w:val="0"/>
              <w:adjustRightInd w:val="0"/>
              <w:jc w:val="right"/>
              <w:rPr>
                <w:rFonts w:cs="Calibri"/>
                <w:color w:val="000000"/>
                <w:szCs w:val="16"/>
              </w:rPr>
            </w:pPr>
            <w:r w:rsidRPr="00A46ADC">
              <w:t>1.8</w:t>
            </w:r>
          </w:p>
        </w:tc>
        <w:tc>
          <w:tcPr>
            <w:tcW w:w="446" w:type="pct"/>
            <w:noWrap/>
            <w:hideMark/>
          </w:tcPr>
          <w:p w14:paraId="28B87CDC"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446" w:type="pct"/>
            <w:noWrap/>
            <w:hideMark/>
          </w:tcPr>
          <w:p w14:paraId="489ADB5D" w14:textId="77777777" w:rsidR="00DE4516" w:rsidRPr="00A46ADC" w:rsidRDefault="00DE4516" w:rsidP="00DE4516">
            <w:pPr>
              <w:pStyle w:val="TableBody"/>
              <w:autoSpaceDE w:val="0"/>
              <w:autoSpaceDN w:val="0"/>
              <w:adjustRightInd w:val="0"/>
              <w:jc w:val="right"/>
              <w:rPr>
                <w:rFonts w:cs="Calibri"/>
                <w:color w:val="000000"/>
                <w:szCs w:val="16"/>
              </w:rPr>
            </w:pPr>
            <w:r w:rsidRPr="00A46ADC">
              <w:t>1.7</w:t>
            </w:r>
          </w:p>
        </w:tc>
        <w:tc>
          <w:tcPr>
            <w:tcW w:w="446" w:type="pct"/>
            <w:noWrap/>
            <w:hideMark/>
          </w:tcPr>
          <w:p w14:paraId="77DE57A6" w14:textId="77777777" w:rsidR="00DE4516" w:rsidRPr="00A46ADC" w:rsidRDefault="00DE4516" w:rsidP="00DE4516">
            <w:pPr>
              <w:pStyle w:val="TableBody"/>
              <w:autoSpaceDE w:val="0"/>
              <w:autoSpaceDN w:val="0"/>
              <w:adjustRightInd w:val="0"/>
              <w:jc w:val="right"/>
              <w:rPr>
                <w:rFonts w:cs="Calibri"/>
                <w:color w:val="000000"/>
                <w:szCs w:val="16"/>
              </w:rPr>
            </w:pPr>
            <w:r w:rsidRPr="00A46ADC">
              <w:t>2.0</w:t>
            </w:r>
          </w:p>
        </w:tc>
        <w:tc>
          <w:tcPr>
            <w:tcW w:w="446" w:type="pct"/>
            <w:noWrap/>
            <w:hideMark/>
          </w:tcPr>
          <w:p w14:paraId="27D5657B" w14:textId="77777777" w:rsidR="00DE4516" w:rsidRPr="00A46ADC" w:rsidRDefault="00DE4516" w:rsidP="00DE4516">
            <w:pPr>
              <w:pStyle w:val="TableBody"/>
              <w:autoSpaceDE w:val="0"/>
              <w:autoSpaceDN w:val="0"/>
              <w:adjustRightInd w:val="0"/>
              <w:jc w:val="right"/>
              <w:rPr>
                <w:rFonts w:cs="Calibri"/>
                <w:color w:val="000000"/>
                <w:szCs w:val="16"/>
              </w:rPr>
            </w:pPr>
            <w:r w:rsidRPr="00A46ADC">
              <w:t>1.8</w:t>
            </w:r>
          </w:p>
        </w:tc>
        <w:tc>
          <w:tcPr>
            <w:tcW w:w="446" w:type="pct"/>
            <w:noWrap/>
            <w:hideMark/>
          </w:tcPr>
          <w:p w14:paraId="40A2E1FF"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446" w:type="pct"/>
            <w:noWrap/>
            <w:hideMark/>
          </w:tcPr>
          <w:p w14:paraId="43C4C3F6"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r>
      <w:tr w:rsidR="00DE4516" w:rsidRPr="00045A4A" w14:paraId="517C91F1" w14:textId="77777777" w:rsidTr="002F793E">
        <w:trPr>
          <w:cantSplit/>
        </w:trPr>
        <w:tc>
          <w:tcPr>
            <w:tcW w:w="1880" w:type="pct"/>
            <w:noWrap/>
            <w:hideMark/>
          </w:tcPr>
          <w:p w14:paraId="52246B8C" w14:textId="77777777" w:rsidR="00DE4516" w:rsidRPr="00A46ADC" w:rsidRDefault="00DE4516" w:rsidP="00DE4516">
            <w:pPr>
              <w:pStyle w:val="TableBody"/>
              <w:autoSpaceDE w:val="0"/>
              <w:autoSpaceDN w:val="0"/>
              <w:adjustRightInd w:val="0"/>
              <w:jc w:val="both"/>
              <w:rPr>
                <w:rFonts w:cs="Calibri"/>
                <w:b/>
                <w:bCs/>
                <w:color w:val="000000"/>
                <w:szCs w:val="16"/>
              </w:rPr>
            </w:pPr>
            <w:proofErr w:type="spellStart"/>
            <w:r w:rsidRPr="00A46ADC">
              <w:rPr>
                <w:b/>
              </w:rPr>
              <w:t>CIS</w:t>
            </w:r>
            <w:r w:rsidRPr="00A46ADC">
              <w:rPr>
                <w:b/>
                <w:vertAlign w:val="superscript"/>
              </w:rPr>
              <w:t>a</w:t>
            </w:r>
            <w:proofErr w:type="spellEnd"/>
          </w:p>
        </w:tc>
        <w:tc>
          <w:tcPr>
            <w:tcW w:w="446" w:type="pct"/>
            <w:noWrap/>
            <w:hideMark/>
          </w:tcPr>
          <w:p w14:paraId="5A3EC56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1.2</w:t>
            </w:r>
          </w:p>
        </w:tc>
        <w:tc>
          <w:tcPr>
            <w:tcW w:w="446" w:type="pct"/>
            <w:noWrap/>
            <w:hideMark/>
          </w:tcPr>
          <w:p w14:paraId="35270D2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0.9</w:t>
            </w:r>
          </w:p>
        </w:tc>
        <w:tc>
          <w:tcPr>
            <w:tcW w:w="446" w:type="pct"/>
            <w:noWrap/>
            <w:hideMark/>
          </w:tcPr>
          <w:p w14:paraId="3631699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0.5</w:t>
            </w:r>
          </w:p>
        </w:tc>
        <w:tc>
          <w:tcPr>
            <w:tcW w:w="446" w:type="pct"/>
            <w:noWrap/>
            <w:hideMark/>
          </w:tcPr>
          <w:p w14:paraId="20AD85F4"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0.3</w:t>
            </w:r>
          </w:p>
        </w:tc>
        <w:tc>
          <w:tcPr>
            <w:tcW w:w="446" w:type="pct"/>
            <w:noWrap/>
            <w:hideMark/>
          </w:tcPr>
          <w:p w14:paraId="3BF893EB"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0.5</w:t>
            </w:r>
          </w:p>
        </w:tc>
        <w:tc>
          <w:tcPr>
            <w:tcW w:w="446" w:type="pct"/>
            <w:noWrap/>
            <w:hideMark/>
          </w:tcPr>
          <w:p w14:paraId="4A4F73A4"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0.6</w:t>
            </w:r>
          </w:p>
        </w:tc>
        <w:tc>
          <w:tcPr>
            <w:tcW w:w="446" w:type="pct"/>
            <w:noWrap/>
            <w:hideMark/>
          </w:tcPr>
          <w:p w14:paraId="6514292D"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1.0</w:t>
            </w:r>
          </w:p>
        </w:tc>
      </w:tr>
      <w:tr w:rsidR="00DE4516" w:rsidRPr="00045A4A" w14:paraId="242034CE"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32F7A84A"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Africa</w:t>
            </w:r>
          </w:p>
        </w:tc>
        <w:tc>
          <w:tcPr>
            <w:tcW w:w="446" w:type="pct"/>
            <w:noWrap/>
            <w:hideMark/>
          </w:tcPr>
          <w:p w14:paraId="61FFDB4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1.3</w:t>
            </w:r>
          </w:p>
        </w:tc>
        <w:tc>
          <w:tcPr>
            <w:tcW w:w="446" w:type="pct"/>
            <w:noWrap/>
            <w:hideMark/>
          </w:tcPr>
          <w:p w14:paraId="2F8BF5B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1.3</w:t>
            </w:r>
          </w:p>
        </w:tc>
        <w:tc>
          <w:tcPr>
            <w:tcW w:w="446" w:type="pct"/>
            <w:noWrap/>
            <w:hideMark/>
          </w:tcPr>
          <w:p w14:paraId="275DDC19"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1.4</w:t>
            </w:r>
          </w:p>
        </w:tc>
        <w:tc>
          <w:tcPr>
            <w:tcW w:w="446" w:type="pct"/>
            <w:noWrap/>
            <w:hideMark/>
          </w:tcPr>
          <w:p w14:paraId="56D17F8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1.2</w:t>
            </w:r>
          </w:p>
        </w:tc>
        <w:tc>
          <w:tcPr>
            <w:tcW w:w="446" w:type="pct"/>
            <w:noWrap/>
            <w:hideMark/>
          </w:tcPr>
          <w:p w14:paraId="3E162CB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1.5</w:t>
            </w:r>
          </w:p>
        </w:tc>
        <w:tc>
          <w:tcPr>
            <w:tcW w:w="446" w:type="pct"/>
            <w:noWrap/>
            <w:hideMark/>
          </w:tcPr>
          <w:p w14:paraId="73BE5E0A"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1.6</w:t>
            </w:r>
          </w:p>
        </w:tc>
        <w:tc>
          <w:tcPr>
            <w:tcW w:w="446" w:type="pct"/>
            <w:noWrap/>
            <w:hideMark/>
          </w:tcPr>
          <w:p w14:paraId="692AA59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1.8</w:t>
            </w:r>
          </w:p>
        </w:tc>
      </w:tr>
      <w:tr w:rsidR="00DE4516" w:rsidRPr="00045A4A" w14:paraId="48A3A2DE" w14:textId="77777777" w:rsidTr="002F793E">
        <w:trPr>
          <w:cantSplit/>
        </w:trPr>
        <w:tc>
          <w:tcPr>
            <w:tcW w:w="1880" w:type="pct"/>
            <w:noWrap/>
            <w:hideMark/>
          </w:tcPr>
          <w:p w14:paraId="0296823B"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Middle East</w:t>
            </w:r>
          </w:p>
        </w:tc>
        <w:tc>
          <w:tcPr>
            <w:tcW w:w="446" w:type="pct"/>
            <w:noWrap/>
            <w:hideMark/>
          </w:tcPr>
          <w:p w14:paraId="630EB82B"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41.2</w:t>
            </w:r>
          </w:p>
        </w:tc>
        <w:tc>
          <w:tcPr>
            <w:tcW w:w="446" w:type="pct"/>
            <w:noWrap/>
            <w:hideMark/>
          </w:tcPr>
          <w:p w14:paraId="46BC464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47.7</w:t>
            </w:r>
          </w:p>
        </w:tc>
        <w:tc>
          <w:tcPr>
            <w:tcW w:w="446" w:type="pct"/>
            <w:noWrap/>
            <w:hideMark/>
          </w:tcPr>
          <w:p w14:paraId="3FE1F268"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58.9</w:t>
            </w:r>
          </w:p>
        </w:tc>
        <w:tc>
          <w:tcPr>
            <w:tcW w:w="446" w:type="pct"/>
            <w:noWrap/>
            <w:hideMark/>
          </w:tcPr>
          <w:p w14:paraId="5A1D51FA"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54.6</w:t>
            </w:r>
          </w:p>
        </w:tc>
        <w:tc>
          <w:tcPr>
            <w:tcW w:w="446" w:type="pct"/>
            <w:noWrap/>
            <w:hideMark/>
          </w:tcPr>
          <w:p w14:paraId="31DEC7A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59.7</w:t>
            </w:r>
          </w:p>
        </w:tc>
        <w:tc>
          <w:tcPr>
            <w:tcW w:w="446" w:type="pct"/>
            <w:noWrap/>
            <w:hideMark/>
          </w:tcPr>
          <w:p w14:paraId="4A9D1CD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53.9</w:t>
            </w:r>
          </w:p>
        </w:tc>
        <w:tc>
          <w:tcPr>
            <w:tcW w:w="446" w:type="pct"/>
            <w:noWrap/>
            <w:hideMark/>
          </w:tcPr>
          <w:p w14:paraId="08693F07"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55.9</w:t>
            </w:r>
          </w:p>
        </w:tc>
      </w:tr>
      <w:tr w:rsidR="00DE4516" w:rsidRPr="00045A4A" w14:paraId="69150CE8"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48AC08BF" w14:textId="77777777" w:rsidR="00DE4516" w:rsidRPr="00A46ADC" w:rsidRDefault="00DE4516" w:rsidP="00DE4516">
            <w:pPr>
              <w:pStyle w:val="TableBody"/>
              <w:autoSpaceDE w:val="0"/>
              <w:autoSpaceDN w:val="0"/>
              <w:adjustRightInd w:val="0"/>
              <w:jc w:val="both"/>
              <w:rPr>
                <w:rFonts w:cs="Arial"/>
                <w:color w:val="000000"/>
                <w:szCs w:val="16"/>
              </w:rPr>
            </w:pPr>
            <w:r w:rsidRPr="00A46ADC">
              <w:t>United Arab Emirates</w:t>
            </w:r>
          </w:p>
        </w:tc>
        <w:tc>
          <w:tcPr>
            <w:tcW w:w="446" w:type="pct"/>
            <w:noWrap/>
            <w:hideMark/>
          </w:tcPr>
          <w:p w14:paraId="0AD86906" w14:textId="77777777" w:rsidR="00DE4516" w:rsidRPr="00A46ADC" w:rsidRDefault="00DE4516" w:rsidP="00DE4516">
            <w:pPr>
              <w:pStyle w:val="TableBody"/>
              <w:autoSpaceDE w:val="0"/>
              <w:autoSpaceDN w:val="0"/>
              <w:adjustRightInd w:val="0"/>
              <w:jc w:val="right"/>
              <w:rPr>
                <w:rFonts w:cs="Calibri"/>
                <w:color w:val="000000"/>
                <w:szCs w:val="16"/>
              </w:rPr>
            </w:pPr>
            <w:r w:rsidRPr="00A46ADC">
              <w:t>32.5</w:t>
            </w:r>
          </w:p>
        </w:tc>
        <w:tc>
          <w:tcPr>
            <w:tcW w:w="446" w:type="pct"/>
            <w:noWrap/>
            <w:hideMark/>
          </w:tcPr>
          <w:p w14:paraId="2B41B24B" w14:textId="77777777" w:rsidR="00DE4516" w:rsidRPr="00A46ADC" w:rsidRDefault="00DE4516" w:rsidP="00DE4516">
            <w:pPr>
              <w:pStyle w:val="TableBody"/>
              <w:autoSpaceDE w:val="0"/>
              <w:autoSpaceDN w:val="0"/>
              <w:adjustRightInd w:val="0"/>
              <w:jc w:val="right"/>
              <w:rPr>
                <w:rFonts w:cs="Calibri"/>
                <w:color w:val="000000"/>
                <w:szCs w:val="16"/>
              </w:rPr>
            </w:pPr>
            <w:r w:rsidRPr="00A46ADC">
              <w:t>38.3</w:t>
            </w:r>
          </w:p>
        </w:tc>
        <w:tc>
          <w:tcPr>
            <w:tcW w:w="446" w:type="pct"/>
            <w:noWrap/>
            <w:hideMark/>
          </w:tcPr>
          <w:p w14:paraId="1261BA0C" w14:textId="77777777" w:rsidR="00DE4516" w:rsidRPr="00A46ADC" w:rsidRDefault="00DE4516" w:rsidP="00DE4516">
            <w:pPr>
              <w:pStyle w:val="TableBody"/>
              <w:autoSpaceDE w:val="0"/>
              <w:autoSpaceDN w:val="0"/>
              <w:adjustRightInd w:val="0"/>
              <w:jc w:val="right"/>
              <w:rPr>
                <w:rFonts w:cs="Calibri"/>
                <w:color w:val="000000"/>
                <w:szCs w:val="16"/>
              </w:rPr>
            </w:pPr>
            <w:r w:rsidRPr="00A46ADC">
              <w:t>48.8</w:t>
            </w:r>
          </w:p>
        </w:tc>
        <w:tc>
          <w:tcPr>
            <w:tcW w:w="446" w:type="pct"/>
            <w:noWrap/>
            <w:hideMark/>
          </w:tcPr>
          <w:p w14:paraId="4A2B06D2" w14:textId="77777777" w:rsidR="00DE4516" w:rsidRPr="00A46ADC" w:rsidRDefault="00DE4516" w:rsidP="00DE4516">
            <w:pPr>
              <w:pStyle w:val="TableBody"/>
              <w:autoSpaceDE w:val="0"/>
              <w:autoSpaceDN w:val="0"/>
              <w:adjustRightInd w:val="0"/>
              <w:jc w:val="right"/>
              <w:rPr>
                <w:rFonts w:cs="Calibri"/>
                <w:color w:val="000000"/>
                <w:szCs w:val="16"/>
              </w:rPr>
            </w:pPr>
            <w:r w:rsidRPr="00A46ADC">
              <w:t>42.8</w:t>
            </w:r>
          </w:p>
        </w:tc>
        <w:tc>
          <w:tcPr>
            <w:tcW w:w="446" w:type="pct"/>
            <w:noWrap/>
            <w:hideMark/>
          </w:tcPr>
          <w:p w14:paraId="6FB1836C" w14:textId="77777777" w:rsidR="00DE4516" w:rsidRPr="00A46ADC" w:rsidRDefault="00DE4516" w:rsidP="00DE4516">
            <w:pPr>
              <w:pStyle w:val="TableBody"/>
              <w:autoSpaceDE w:val="0"/>
              <w:autoSpaceDN w:val="0"/>
              <w:adjustRightInd w:val="0"/>
              <w:jc w:val="right"/>
              <w:rPr>
                <w:rFonts w:cs="Calibri"/>
                <w:color w:val="000000"/>
                <w:szCs w:val="16"/>
              </w:rPr>
            </w:pPr>
            <w:r w:rsidRPr="00A46ADC">
              <w:t>46.8</w:t>
            </w:r>
          </w:p>
        </w:tc>
        <w:tc>
          <w:tcPr>
            <w:tcW w:w="446" w:type="pct"/>
            <w:noWrap/>
            <w:hideMark/>
          </w:tcPr>
          <w:p w14:paraId="080BBDF9" w14:textId="77777777" w:rsidR="00DE4516" w:rsidRPr="00A46ADC" w:rsidRDefault="00DE4516" w:rsidP="00DE4516">
            <w:pPr>
              <w:pStyle w:val="TableBody"/>
              <w:autoSpaceDE w:val="0"/>
              <w:autoSpaceDN w:val="0"/>
              <w:adjustRightInd w:val="0"/>
              <w:jc w:val="right"/>
              <w:rPr>
                <w:rFonts w:cs="Calibri"/>
                <w:color w:val="000000"/>
                <w:szCs w:val="16"/>
              </w:rPr>
            </w:pPr>
            <w:r w:rsidRPr="00A46ADC">
              <w:t>42.9</w:t>
            </w:r>
          </w:p>
        </w:tc>
        <w:tc>
          <w:tcPr>
            <w:tcW w:w="446" w:type="pct"/>
            <w:noWrap/>
            <w:hideMark/>
          </w:tcPr>
          <w:p w14:paraId="4583B71F" w14:textId="77777777" w:rsidR="00DE4516" w:rsidRPr="00A46ADC" w:rsidRDefault="00DE4516" w:rsidP="00DE4516">
            <w:pPr>
              <w:pStyle w:val="TableBody"/>
              <w:autoSpaceDE w:val="0"/>
              <w:autoSpaceDN w:val="0"/>
              <w:adjustRightInd w:val="0"/>
              <w:jc w:val="right"/>
              <w:rPr>
                <w:rFonts w:cs="Calibri"/>
                <w:color w:val="000000"/>
                <w:szCs w:val="16"/>
              </w:rPr>
            </w:pPr>
            <w:r w:rsidRPr="00A46ADC">
              <w:t>43.0</w:t>
            </w:r>
          </w:p>
        </w:tc>
      </w:tr>
      <w:tr w:rsidR="00DE4516" w:rsidRPr="00045A4A" w14:paraId="36FB5EB3" w14:textId="77777777" w:rsidTr="002F793E">
        <w:trPr>
          <w:cantSplit/>
        </w:trPr>
        <w:tc>
          <w:tcPr>
            <w:tcW w:w="1880" w:type="pct"/>
            <w:noWrap/>
            <w:hideMark/>
          </w:tcPr>
          <w:p w14:paraId="679D08A7" w14:textId="77777777" w:rsidR="00DE4516" w:rsidRPr="00A46ADC" w:rsidRDefault="00DE4516" w:rsidP="00DE4516">
            <w:pPr>
              <w:pStyle w:val="TableBody"/>
              <w:autoSpaceDE w:val="0"/>
              <w:autoSpaceDN w:val="0"/>
              <w:adjustRightInd w:val="0"/>
              <w:jc w:val="both"/>
              <w:rPr>
                <w:rFonts w:cs="Arial"/>
                <w:color w:val="000000"/>
                <w:szCs w:val="16"/>
              </w:rPr>
            </w:pPr>
            <w:r w:rsidRPr="00A46ADC">
              <w:t>Saudi Arabia, Kingdom of</w:t>
            </w:r>
          </w:p>
        </w:tc>
        <w:tc>
          <w:tcPr>
            <w:tcW w:w="446" w:type="pct"/>
            <w:noWrap/>
            <w:hideMark/>
          </w:tcPr>
          <w:p w14:paraId="0E61EFD9" w14:textId="77777777" w:rsidR="00DE4516" w:rsidRPr="00A46ADC" w:rsidRDefault="00DE4516" w:rsidP="00DE4516">
            <w:pPr>
              <w:pStyle w:val="TableBody"/>
              <w:autoSpaceDE w:val="0"/>
              <w:autoSpaceDN w:val="0"/>
              <w:adjustRightInd w:val="0"/>
              <w:jc w:val="right"/>
              <w:rPr>
                <w:rFonts w:cs="Calibri"/>
                <w:color w:val="000000"/>
                <w:szCs w:val="16"/>
              </w:rPr>
            </w:pPr>
            <w:r w:rsidRPr="00A46ADC">
              <w:t>4.1</w:t>
            </w:r>
          </w:p>
        </w:tc>
        <w:tc>
          <w:tcPr>
            <w:tcW w:w="446" w:type="pct"/>
            <w:noWrap/>
            <w:hideMark/>
          </w:tcPr>
          <w:p w14:paraId="5E3B1100" w14:textId="77777777" w:rsidR="00DE4516" w:rsidRPr="00A46ADC" w:rsidRDefault="00DE4516" w:rsidP="00DE4516">
            <w:pPr>
              <w:pStyle w:val="TableBody"/>
              <w:autoSpaceDE w:val="0"/>
              <w:autoSpaceDN w:val="0"/>
              <w:adjustRightInd w:val="0"/>
              <w:jc w:val="right"/>
              <w:rPr>
                <w:rFonts w:cs="Calibri"/>
                <w:color w:val="000000"/>
                <w:szCs w:val="16"/>
              </w:rPr>
            </w:pPr>
            <w:r w:rsidRPr="00A46ADC">
              <w:t>4.1</w:t>
            </w:r>
          </w:p>
        </w:tc>
        <w:tc>
          <w:tcPr>
            <w:tcW w:w="446" w:type="pct"/>
            <w:noWrap/>
            <w:hideMark/>
          </w:tcPr>
          <w:p w14:paraId="1B081D8B" w14:textId="77777777" w:rsidR="00DE4516" w:rsidRPr="00A46ADC" w:rsidRDefault="00DE4516" w:rsidP="00DE4516">
            <w:pPr>
              <w:pStyle w:val="TableBody"/>
              <w:autoSpaceDE w:val="0"/>
              <w:autoSpaceDN w:val="0"/>
              <w:adjustRightInd w:val="0"/>
              <w:jc w:val="right"/>
              <w:rPr>
                <w:rFonts w:cs="Calibri"/>
                <w:color w:val="000000"/>
                <w:szCs w:val="16"/>
              </w:rPr>
            </w:pPr>
            <w:r w:rsidRPr="00A46ADC">
              <w:t>3.6</w:t>
            </w:r>
          </w:p>
        </w:tc>
        <w:tc>
          <w:tcPr>
            <w:tcW w:w="446" w:type="pct"/>
            <w:noWrap/>
            <w:hideMark/>
          </w:tcPr>
          <w:p w14:paraId="21623098" w14:textId="77777777" w:rsidR="00DE4516" w:rsidRPr="00A46ADC" w:rsidRDefault="00DE4516" w:rsidP="00DE4516">
            <w:pPr>
              <w:pStyle w:val="TableBody"/>
              <w:autoSpaceDE w:val="0"/>
              <w:autoSpaceDN w:val="0"/>
              <w:adjustRightInd w:val="0"/>
              <w:jc w:val="right"/>
              <w:rPr>
                <w:rFonts w:cs="Calibri"/>
                <w:color w:val="000000"/>
                <w:szCs w:val="16"/>
              </w:rPr>
            </w:pPr>
            <w:r w:rsidRPr="00A46ADC">
              <w:t>3.6</w:t>
            </w:r>
          </w:p>
        </w:tc>
        <w:tc>
          <w:tcPr>
            <w:tcW w:w="446" w:type="pct"/>
            <w:noWrap/>
            <w:hideMark/>
          </w:tcPr>
          <w:p w14:paraId="4EEEFB8E" w14:textId="77777777" w:rsidR="00DE4516" w:rsidRPr="00A46ADC" w:rsidRDefault="00DE4516" w:rsidP="00DE4516">
            <w:pPr>
              <w:pStyle w:val="TableBody"/>
              <w:autoSpaceDE w:val="0"/>
              <w:autoSpaceDN w:val="0"/>
              <w:adjustRightInd w:val="0"/>
              <w:jc w:val="right"/>
              <w:rPr>
                <w:rFonts w:cs="Calibri"/>
                <w:color w:val="000000"/>
                <w:szCs w:val="16"/>
              </w:rPr>
            </w:pPr>
            <w:r w:rsidRPr="00A46ADC">
              <w:t>3.3</w:t>
            </w:r>
          </w:p>
        </w:tc>
        <w:tc>
          <w:tcPr>
            <w:tcW w:w="446" w:type="pct"/>
            <w:noWrap/>
            <w:hideMark/>
          </w:tcPr>
          <w:p w14:paraId="4135433D" w14:textId="77777777" w:rsidR="00DE4516" w:rsidRPr="00A46ADC" w:rsidRDefault="00DE4516" w:rsidP="00DE4516">
            <w:pPr>
              <w:pStyle w:val="TableBody"/>
              <w:autoSpaceDE w:val="0"/>
              <w:autoSpaceDN w:val="0"/>
              <w:adjustRightInd w:val="0"/>
              <w:jc w:val="right"/>
              <w:rPr>
                <w:rFonts w:cs="Calibri"/>
                <w:color w:val="000000"/>
                <w:szCs w:val="16"/>
              </w:rPr>
            </w:pPr>
            <w:r w:rsidRPr="00A46ADC">
              <w:t>4.2</w:t>
            </w:r>
          </w:p>
        </w:tc>
        <w:tc>
          <w:tcPr>
            <w:tcW w:w="446" w:type="pct"/>
            <w:noWrap/>
            <w:hideMark/>
          </w:tcPr>
          <w:p w14:paraId="33614E08" w14:textId="77777777" w:rsidR="00DE4516" w:rsidRPr="00A46ADC" w:rsidRDefault="00DE4516" w:rsidP="00DE4516">
            <w:pPr>
              <w:pStyle w:val="TableBody"/>
              <w:autoSpaceDE w:val="0"/>
              <w:autoSpaceDN w:val="0"/>
              <w:adjustRightInd w:val="0"/>
              <w:jc w:val="right"/>
              <w:rPr>
                <w:rFonts w:cs="Calibri"/>
                <w:color w:val="000000"/>
                <w:szCs w:val="16"/>
              </w:rPr>
            </w:pPr>
            <w:r w:rsidRPr="00A46ADC">
              <w:t>5.2</w:t>
            </w:r>
          </w:p>
        </w:tc>
      </w:tr>
      <w:tr w:rsidR="00DE4516" w:rsidRPr="00045A4A" w14:paraId="1437A9CA"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646CD20A" w14:textId="77777777" w:rsidR="00DE4516" w:rsidRPr="00A46ADC" w:rsidRDefault="00DE4516" w:rsidP="00DE4516">
            <w:pPr>
              <w:pStyle w:val="TableBody"/>
              <w:autoSpaceDE w:val="0"/>
              <w:autoSpaceDN w:val="0"/>
              <w:adjustRightInd w:val="0"/>
              <w:jc w:val="both"/>
              <w:rPr>
                <w:rFonts w:cs="Arial"/>
                <w:color w:val="000000"/>
                <w:szCs w:val="16"/>
              </w:rPr>
            </w:pPr>
            <w:r w:rsidRPr="00A46ADC">
              <w:t>Qatar</w:t>
            </w:r>
          </w:p>
        </w:tc>
        <w:tc>
          <w:tcPr>
            <w:tcW w:w="446" w:type="pct"/>
            <w:noWrap/>
            <w:hideMark/>
          </w:tcPr>
          <w:p w14:paraId="3DC2C1BE" w14:textId="77777777" w:rsidR="00DE4516" w:rsidRPr="00A46ADC" w:rsidRDefault="00DE4516" w:rsidP="00DE4516">
            <w:pPr>
              <w:pStyle w:val="TableBody"/>
              <w:autoSpaceDE w:val="0"/>
              <w:autoSpaceDN w:val="0"/>
              <w:adjustRightInd w:val="0"/>
              <w:jc w:val="right"/>
              <w:rPr>
                <w:rFonts w:cs="Calibri"/>
                <w:color w:val="000000"/>
                <w:szCs w:val="16"/>
              </w:rPr>
            </w:pPr>
            <w:r w:rsidRPr="00A46ADC">
              <w:t>1.5</w:t>
            </w:r>
          </w:p>
        </w:tc>
        <w:tc>
          <w:tcPr>
            <w:tcW w:w="446" w:type="pct"/>
            <w:noWrap/>
            <w:hideMark/>
          </w:tcPr>
          <w:p w14:paraId="738F7661"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446" w:type="pct"/>
            <w:noWrap/>
            <w:hideMark/>
          </w:tcPr>
          <w:p w14:paraId="61BD57B4"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46" w:type="pct"/>
            <w:noWrap/>
            <w:hideMark/>
          </w:tcPr>
          <w:p w14:paraId="37DA86F5" w14:textId="77777777" w:rsidR="00DE4516" w:rsidRPr="00A46ADC" w:rsidRDefault="00DE4516" w:rsidP="00DE4516">
            <w:pPr>
              <w:pStyle w:val="TableBody"/>
              <w:autoSpaceDE w:val="0"/>
              <w:autoSpaceDN w:val="0"/>
              <w:adjustRightInd w:val="0"/>
              <w:jc w:val="right"/>
              <w:rPr>
                <w:rFonts w:cs="Calibri"/>
                <w:color w:val="000000"/>
                <w:szCs w:val="16"/>
              </w:rPr>
            </w:pPr>
            <w:r w:rsidRPr="00A46ADC">
              <w:t>1.3</w:t>
            </w:r>
          </w:p>
        </w:tc>
        <w:tc>
          <w:tcPr>
            <w:tcW w:w="446" w:type="pct"/>
            <w:noWrap/>
            <w:hideMark/>
          </w:tcPr>
          <w:p w14:paraId="5578346D" w14:textId="77777777" w:rsidR="00DE4516" w:rsidRPr="00A46ADC" w:rsidRDefault="00DE4516" w:rsidP="00DE4516">
            <w:pPr>
              <w:pStyle w:val="TableBody"/>
              <w:autoSpaceDE w:val="0"/>
              <w:autoSpaceDN w:val="0"/>
              <w:adjustRightInd w:val="0"/>
              <w:jc w:val="right"/>
              <w:rPr>
                <w:rFonts w:cs="Calibri"/>
                <w:color w:val="000000"/>
                <w:szCs w:val="16"/>
              </w:rPr>
            </w:pPr>
            <w:r w:rsidRPr="00A46ADC">
              <w:t>3.6</w:t>
            </w:r>
          </w:p>
        </w:tc>
        <w:tc>
          <w:tcPr>
            <w:tcW w:w="446" w:type="pct"/>
            <w:noWrap/>
            <w:hideMark/>
          </w:tcPr>
          <w:p w14:paraId="7F80281D" w14:textId="77777777" w:rsidR="00DE4516" w:rsidRPr="00A46ADC" w:rsidRDefault="00DE4516" w:rsidP="00DE4516">
            <w:pPr>
              <w:pStyle w:val="TableBody"/>
              <w:autoSpaceDE w:val="0"/>
              <w:autoSpaceDN w:val="0"/>
              <w:adjustRightInd w:val="0"/>
              <w:jc w:val="right"/>
              <w:rPr>
                <w:rFonts w:cs="Calibri"/>
                <w:color w:val="000000"/>
                <w:szCs w:val="16"/>
              </w:rPr>
            </w:pPr>
            <w:r w:rsidRPr="00A46ADC">
              <w:t>2.9</w:t>
            </w:r>
          </w:p>
        </w:tc>
        <w:tc>
          <w:tcPr>
            <w:tcW w:w="446" w:type="pct"/>
            <w:noWrap/>
            <w:hideMark/>
          </w:tcPr>
          <w:p w14:paraId="728FDDAA" w14:textId="77777777" w:rsidR="00DE4516" w:rsidRPr="00A46ADC" w:rsidRDefault="00DE4516" w:rsidP="00DE4516">
            <w:pPr>
              <w:pStyle w:val="TableBody"/>
              <w:autoSpaceDE w:val="0"/>
              <w:autoSpaceDN w:val="0"/>
              <w:adjustRightInd w:val="0"/>
              <w:jc w:val="right"/>
              <w:rPr>
                <w:rFonts w:cs="Calibri"/>
                <w:color w:val="000000"/>
                <w:szCs w:val="16"/>
              </w:rPr>
            </w:pPr>
            <w:r w:rsidRPr="00A46ADC">
              <w:t>3.2</w:t>
            </w:r>
          </w:p>
        </w:tc>
      </w:tr>
      <w:tr w:rsidR="00DE4516" w:rsidRPr="00045A4A" w14:paraId="137F672A" w14:textId="77777777" w:rsidTr="002F793E">
        <w:trPr>
          <w:cantSplit/>
        </w:trPr>
        <w:tc>
          <w:tcPr>
            <w:tcW w:w="1880" w:type="pct"/>
            <w:noWrap/>
            <w:hideMark/>
          </w:tcPr>
          <w:p w14:paraId="36795491" w14:textId="77777777" w:rsidR="00DE4516" w:rsidRPr="00A46ADC" w:rsidRDefault="00DE4516" w:rsidP="00DE4516">
            <w:pPr>
              <w:pStyle w:val="TableBody"/>
              <w:autoSpaceDE w:val="0"/>
              <w:autoSpaceDN w:val="0"/>
              <w:adjustRightInd w:val="0"/>
              <w:jc w:val="both"/>
              <w:rPr>
                <w:rFonts w:cs="Arial"/>
                <w:color w:val="000000"/>
                <w:szCs w:val="16"/>
              </w:rPr>
            </w:pPr>
            <w:r w:rsidRPr="00A46ADC">
              <w:t>Bahrain, Kingdom of</w:t>
            </w:r>
          </w:p>
        </w:tc>
        <w:tc>
          <w:tcPr>
            <w:tcW w:w="446" w:type="pct"/>
            <w:noWrap/>
            <w:hideMark/>
          </w:tcPr>
          <w:p w14:paraId="67AE22A1"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46" w:type="pct"/>
            <w:noWrap/>
            <w:hideMark/>
          </w:tcPr>
          <w:p w14:paraId="1E73602B"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46" w:type="pct"/>
            <w:noWrap/>
            <w:hideMark/>
          </w:tcPr>
          <w:p w14:paraId="4B3D17C1" w14:textId="77777777" w:rsidR="00DE4516" w:rsidRPr="00A46ADC" w:rsidRDefault="00DE4516" w:rsidP="00DE4516">
            <w:pPr>
              <w:pStyle w:val="TableBody"/>
              <w:autoSpaceDE w:val="0"/>
              <w:autoSpaceDN w:val="0"/>
              <w:adjustRightInd w:val="0"/>
              <w:jc w:val="right"/>
              <w:rPr>
                <w:rFonts w:cs="Calibri"/>
                <w:color w:val="000000"/>
                <w:szCs w:val="16"/>
              </w:rPr>
            </w:pPr>
            <w:r w:rsidRPr="00A46ADC">
              <w:t>0.7</w:t>
            </w:r>
          </w:p>
        </w:tc>
        <w:tc>
          <w:tcPr>
            <w:tcW w:w="446" w:type="pct"/>
            <w:noWrap/>
            <w:hideMark/>
          </w:tcPr>
          <w:p w14:paraId="01C5218E" w14:textId="77777777" w:rsidR="00DE4516" w:rsidRPr="00A46ADC" w:rsidRDefault="00DE4516" w:rsidP="00DE4516">
            <w:pPr>
              <w:pStyle w:val="TableBody"/>
              <w:autoSpaceDE w:val="0"/>
              <w:autoSpaceDN w:val="0"/>
              <w:adjustRightInd w:val="0"/>
              <w:jc w:val="right"/>
              <w:rPr>
                <w:rFonts w:cs="Calibri"/>
                <w:color w:val="000000"/>
                <w:szCs w:val="16"/>
              </w:rPr>
            </w:pPr>
            <w:r w:rsidRPr="00A46ADC">
              <w:t>1.2</w:t>
            </w:r>
          </w:p>
        </w:tc>
        <w:tc>
          <w:tcPr>
            <w:tcW w:w="446" w:type="pct"/>
            <w:noWrap/>
            <w:hideMark/>
          </w:tcPr>
          <w:p w14:paraId="02A50148" w14:textId="77777777" w:rsidR="00DE4516" w:rsidRPr="00A46ADC" w:rsidRDefault="00DE4516" w:rsidP="00DE4516">
            <w:pPr>
              <w:pStyle w:val="TableBody"/>
              <w:autoSpaceDE w:val="0"/>
              <w:autoSpaceDN w:val="0"/>
              <w:adjustRightInd w:val="0"/>
              <w:jc w:val="right"/>
              <w:rPr>
                <w:rFonts w:cs="Calibri"/>
                <w:color w:val="000000"/>
                <w:szCs w:val="16"/>
              </w:rPr>
            </w:pPr>
            <w:r w:rsidRPr="00A46ADC">
              <w:t>1.8</w:t>
            </w:r>
          </w:p>
        </w:tc>
        <w:tc>
          <w:tcPr>
            <w:tcW w:w="446" w:type="pct"/>
            <w:noWrap/>
            <w:hideMark/>
          </w:tcPr>
          <w:p w14:paraId="0F2EDF95"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446" w:type="pct"/>
            <w:noWrap/>
            <w:hideMark/>
          </w:tcPr>
          <w:p w14:paraId="144418FD"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r>
      <w:tr w:rsidR="00DE4516" w:rsidRPr="00045A4A" w14:paraId="0E8529E1"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19A581F5" w14:textId="77777777" w:rsidR="00DE4516" w:rsidRPr="00A46ADC" w:rsidRDefault="00DE4516" w:rsidP="00DE4516">
            <w:pPr>
              <w:pStyle w:val="TableBody"/>
              <w:autoSpaceDE w:val="0"/>
              <w:autoSpaceDN w:val="0"/>
              <w:adjustRightInd w:val="0"/>
              <w:jc w:val="both"/>
              <w:rPr>
                <w:rFonts w:cs="Arial"/>
                <w:color w:val="000000"/>
                <w:szCs w:val="16"/>
              </w:rPr>
            </w:pPr>
            <w:r w:rsidRPr="00A46ADC">
              <w:t>Iran, Islamic Republic of</w:t>
            </w:r>
          </w:p>
        </w:tc>
        <w:tc>
          <w:tcPr>
            <w:tcW w:w="446" w:type="pct"/>
            <w:noWrap/>
            <w:hideMark/>
          </w:tcPr>
          <w:p w14:paraId="7D775129" w14:textId="77777777" w:rsidR="00DE4516" w:rsidRPr="00A46ADC" w:rsidRDefault="00DE4516" w:rsidP="00DE4516">
            <w:pPr>
              <w:pStyle w:val="TableBody"/>
              <w:autoSpaceDE w:val="0"/>
              <w:autoSpaceDN w:val="0"/>
              <w:adjustRightInd w:val="0"/>
              <w:jc w:val="right"/>
              <w:rPr>
                <w:rFonts w:cs="Calibri"/>
                <w:color w:val="000000"/>
                <w:szCs w:val="16"/>
              </w:rPr>
            </w:pPr>
            <w:r w:rsidRPr="00A46ADC">
              <w:t>1.2</w:t>
            </w:r>
          </w:p>
        </w:tc>
        <w:tc>
          <w:tcPr>
            <w:tcW w:w="446" w:type="pct"/>
            <w:noWrap/>
            <w:hideMark/>
          </w:tcPr>
          <w:p w14:paraId="657192A3"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46" w:type="pct"/>
            <w:noWrap/>
            <w:hideMark/>
          </w:tcPr>
          <w:p w14:paraId="511371DF" w14:textId="77777777" w:rsidR="00DE4516" w:rsidRPr="00A46ADC" w:rsidRDefault="00DE4516" w:rsidP="00DE4516">
            <w:pPr>
              <w:pStyle w:val="TableBody"/>
              <w:autoSpaceDE w:val="0"/>
              <w:autoSpaceDN w:val="0"/>
              <w:adjustRightInd w:val="0"/>
              <w:jc w:val="right"/>
              <w:rPr>
                <w:rFonts w:cs="Calibri"/>
                <w:color w:val="000000"/>
                <w:szCs w:val="16"/>
              </w:rPr>
            </w:pPr>
            <w:r w:rsidRPr="00A46ADC">
              <w:t>2.8</w:t>
            </w:r>
          </w:p>
        </w:tc>
        <w:tc>
          <w:tcPr>
            <w:tcW w:w="446" w:type="pct"/>
            <w:noWrap/>
            <w:hideMark/>
          </w:tcPr>
          <w:p w14:paraId="72045F1C" w14:textId="77777777" w:rsidR="00DE4516" w:rsidRPr="00A46ADC" w:rsidRDefault="00DE4516" w:rsidP="00DE4516">
            <w:pPr>
              <w:pStyle w:val="TableBody"/>
              <w:autoSpaceDE w:val="0"/>
              <w:autoSpaceDN w:val="0"/>
              <w:adjustRightInd w:val="0"/>
              <w:jc w:val="right"/>
              <w:rPr>
                <w:rFonts w:cs="Calibri"/>
                <w:color w:val="000000"/>
                <w:szCs w:val="16"/>
              </w:rPr>
            </w:pPr>
            <w:r w:rsidRPr="00A46ADC">
              <w:t>1.9</w:t>
            </w:r>
          </w:p>
        </w:tc>
        <w:tc>
          <w:tcPr>
            <w:tcW w:w="446" w:type="pct"/>
            <w:noWrap/>
            <w:hideMark/>
          </w:tcPr>
          <w:p w14:paraId="2CC1B2FA" w14:textId="77777777" w:rsidR="00DE4516" w:rsidRPr="00A46ADC" w:rsidRDefault="00DE4516" w:rsidP="00DE4516">
            <w:pPr>
              <w:pStyle w:val="TableBody"/>
              <w:autoSpaceDE w:val="0"/>
              <w:autoSpaceDN w:val="0"/>
              <w:adjustRightInd w:val="0"/>
              <w:jc w:val="right"/>
              <w:rPr>
                <w:rFonts w:cs="Calibri"/>
                <w:color w:val="000000"/>
                <w:szCs w:val="16"/>
              </w:rPr>
            </w:pPr>
            <w:r w:rsidRPr="00A46ADC">
              <w:t>2.3</w:t>
            </w:r>
          </w:p>
        </w:tc>
        <w:tc>
          <w:tcPr>
            <w:tcW w:w="446" w:type="pct"/>
            <w:noWrap/>
            <w:hideMark/>
          </w:tcPr>
          <w:p w14:paraId="1DFBF9C3" w14:textId="77777777" w:rsidR="00DE4516" w:rsidRPr="00A46ADC" w:rsidRDefault="00DE4516" w:rsidP="00DE4516">
            <w:pPr>
              <w:pStyle w:val="TableBody"/>
              <w:autoSpaceDE w:val="0"/>
              <w:autoSpaceDN w:val="0"/>
              <w:adjustRightInd w:val="0"/>
              <w:jc w:val="right"/>
              <w:rPr>
                <w:rFonts w:cs="Calibri"/>
                <w:color w:val="000000"/>
                <w:szCs w:val="16"/>
              </w:rPr>
            </w:pPr>
            <w:r w:rsidRPr="00A46ADC">
              <w:t>1.2</w:t>
            </w:r>
          </w:p>
        </w:tc>
        <w:tc>
          <w:tcPr>
            <w:tcW w:w="446" w:type="pct"/>
            <w:noWrap/>
            <w:hideMark/>
          </w:tcPr>
          <w:p w14:paraId="66A9789E"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r>
      <w:tr w:rsidR="00DE4516" w:rsidRPr="00045A4A" w14:paraId="7C3BA2DB" w14:textId="77777777" w:rsidTr="002F793E">
        <w:trPr>
          <w:cantSplit/>
        </w:trPr>
        <w:tc>
          <w:tcPr>
            <w:tcW w:w="1880" w:type="pct"/>
            <w:noWrap/>
            <w:hideMark/>
          </w:tcPr>
          <w:p w14:paraId="25A46678"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Asia</w:t>
            </w:r>
          </w:p>
        </w:tc>
        <w:tc>
          <w:tcPr>
            <w:tcW w:w="446" w:type="pct"/>
            <w:noWrap/>
            <w:hideMark/>
          </w:tcPr>
          <w:p w14:paraId="2EFBD93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32.9</w:t>
            </w:r>
          </w:p>
        </w:tc>
        <w:tc>
          <w:tcPr>
            <w:tcW w:w="446" w:type="pct"/>
            <w:noWrap/>
            <w:hideMark/>
          </w:tcPr>
          <w:p w14:paraId="0EC9FC96"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26.5</w:t>
            </w:r>
          </w:p>
        </w:tc>
        <w:tc>
          <w:tcPr>
            <w:tcW w:w="446" w:type="pct"/>
            <w:noWrap/>
            <w:hideMark/>
          </w:tcPr>
          <w:p w14:paraId="75EBD0E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21.6</w:t>
            </w:r>
          </w:p>
        </w:tc>
        <w:tc>
          <w:tcPr>
            <w:tcW w:w="446" w:type="pct"/>
            <w:noWrap/>
            <w:hideMark/>
          </w:tcPr>
          <w:p w14:paraId="72B9C930"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23.1</w:t>
            </w:r>
          </w:p>
        </w:tc>
        <w:tc>
          <w:tcPr>
            <w:tcW w:w="446" w:type="pct"/>
            <w:noWrap/>
            <w:hideMark/>
          </w:tcPr>
          <w:p w14:paraId="5C683B2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18.4</w:t>
            </w:r>
          </w:p>
        </w:tc>
        <w:tc>
          <w:tcPr>
            <w:tcW w:w="446" w:type="pct"/>
            <w:noWrap/>
            <w:hideMark/>
          </w:tcPr>
          <w:p w14:paraId="25B17B9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20.9</w:t>
            </w:r>
          </w:p>
        </w:tc>
        <w:tc>
          <w:tcPr>
            <w:tcW w:w="446" w:type="pct"/>
            <w:noWrap/>
            <w:hideMark/>
          </w:tcPr>
          <w:p w14:paraId="24DE38F4"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20.5</w:t>
            </w:r>
          </w:p>
        </w:tc>
      </w:tr>
      <w:tr w:rsidR="00DE4516" w:rsidRPr="00045A4A" w14:paraId="50FB421C"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16E3B0EF"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China</w:t>
            </w:r>
          </w:p>
        </w:tc>
        <w:tc>
          <w:tcPr>
            <w:tcW w:w="446" w:type="pct"/>
            <w:noWrap/>
            <w:hideMark/>
          </w:tcPr>
          <w:p w14:paraId="38078097" w14:textId="77777777" w:rsidR="00DE4516" w:rsidRPr="00A46ADC" w:rsidRDefault="00DE4516" w:rsidP="00DE4516">
            <w:pPr>
              <w:pStyle w:val="TableBody"/>
              <w:autoSpaceDE w:val="0"/>
              <w:autoSpaceDN w:val="0"/>
              <w:adjustRightInd w:val="0"/>
              <w:jc w:val="right"/>
              <w:rPr>
                <w:rFonts w:cs="Calibri"/>
                <w:color w:val="000000"/>
                <w:szCs w:val="16"/>
              </w:rPr>
            </w:pPr>
            <w:r w:rsidRPr="00A46ADC">
              <w:t>4.8</w:t>
            </w:r>
          </w:p>
        </w:tc>
        <w:tc>
          <w:tcPr>
            <w:tcW w:w="446" w:type="pct"/>
            <w:noWrap/>
            <w:hideMark/>
          </w:tcPr>
          <w:p w14:paraId="12DCEA70" w14:textId="77777777" w:rsidR="00DE4516" w:rsidRPr="00A46ADC" w:rsidRDefault="00DE4516" w:rsidP="00DE4516">
            <w:pPr>
              <w:pStyle w:val="TableBody"/>
              <w:autoSpaceDE w:val="0"/>
              <w:autoSpaceDN w:val="0"/>
              <w:adjustRightInd w:val="0"/>
              <w:jc w:val="right"/>
              <w:rPr>
                <w:rFonts w:cs="Calibri"/>
                <w:color w:val="000000"/>
                <w:szCs w:val="16"/>
              </w:rPr>
            </w:pPr>
            <w:r w:rsidRPr="00A46ADC">
              <w:t>5.2</w:t>
            </w:r>
          </w:p>
        </w:tc>
        <w:tc>
          <w:tcPr>
            <w:tcW w:w="446" w:type="pct"/>
            <w:noWrap/>
            <w:hideMark/>
          </w:tcPr>
          <w:p w14:paraId="401A8C66" w14:textId="77777777" w:rsidR="00DE4516" w:rsidRPr="00A46ADC" w:rsidRDefault="00DE4516" w:rsidP="00DE4516">
            <w:pPr>
              <w:pStyle w:val="TableBody"/>
              <w:autoSpaceDE w:val="0"/>
              <w:autoSpaceDN w:val="0"/>
              <w:adjustRightInd w:val="0"/>
              <w:jc w:val="right"/>
              <w:rPr>
                <w:rFonts w:cs="Calibri"/>
                <w:color w:val="000000"/>
                <w:szCs w:val="16"/>
              </w:rPr>
            </w:pPr>
            <w:r w:rsidRPr="00A46ADC">
              <w:t>5.1</w:t>
            </w:r>
          </w:p>
        </w:tc>
        <w:tc>
          <w:tcPr>
            <w:tcW w:w="446" w:type="pct"/>
            <w:noWrap/>
            <w:hideMark/>
          </w:tcPr>
          <w:p w14:paraId="55890A5B" w14:textId="77777777" w:rsidR="00DE4516" w:rsidRPr="00A46ADC" w:rsidRDefault="00DE4516" w:rsidP="00DE4516">
            <w:pPr>
              <w:pStyle w:val="TableBody"/>
              <w:autoSpaceDE w:val="0"/>
              <w:autoSpaceDN w:val="0"/>
              <w:adjustRightInd w:val="0"/>
              <w:jc w:val="right"/>
              <w:rPr>
                <w:rFonts w:cs="Calibri"/>
                <w:color w:val="000000"/>
                <w:szCs w:val="16"/>
              </w:rPr>
            </w:pPr>
            <w:r w:rsidRPr="00A46ADC">
              <w:t>6.2</w:t>
            </w:r>
          </w:p>
        </w:tc>
        <w:tc>
          <w:tcPr>
            <w:tcW w:w="446" w:type="pct"/>
            <w:noWrap/>
            <w:hideMark/>
          </w:tcPr>
          <w:p w14:paraId="055F3515" w14:textId="77777777" w:rsidR="00DE4516" w:rsidRPr="00A46ADC" w:rsidRDefault="00DE4516" w:rsidP="00DE4516">
            <w:pPr>
              <w:pStyle w:val="TableBody"/>
              <w:autoSpaceDE w:val="0"/>
              <w:autoSpaceDN w:val="0"/>
              <w:adjustRightInd w:val="0"/>
              <w:jc w:val="right"/>
              <w:rPr>
                <w:rFonts w:cs="Calibri"/>
                <w:color w:val="000000"/>
                <w:szCs w:val="16"/>
              </w:rPr>
            </w:pPr>
            <w:r w:rsidRPr="00A46ADC">
              <w:t>6.0</w:t>
            </w:r>
          </w:p>
        </w:tc>
        <w:tc>
          <w:tcPr>
            <w:tcW w:w="446" w:type="pct"/>
            <w:noWrap/>
            <w:hideMark/>
          </w:tcPr>
          <w:p w14:paraId="308408F3" w14:textId="77777777" w:rsidR="00DE4516" w:rsidRPr="00A46ADC" w:rsidRDefault="00DE4516" w:rsidP="00DE4516">
            <w:pPr>
              <w:pStyle w:val="TableBody"/>
              <w:autoSpaceDE w:val="0"/>
              <w:autoSpaceDN w:val="0"/>
              <w:adjustRightInd w:val="0"/>
              <w:jc w:val="right"/>
              <w:rPr>
                <w:rFonts w:cs="Calibri"/>
                <w:color w:val="000000"/>
                <w:szCs w:val="16"/>
              </w:rPr>
            </w:pPr>
            <w:r w:rsidRPr="00A46ADC">
              <w:t>7.1</w:t>
            </w:r>
          </w:p>
        </w:tc>
        <w:tc>
          <w:tcPr>
            <w:tcW w:w="446" w:type="pct"/>
            <w:noWrap/>
            <w:hideMark/>
          </w:tcPr>
          <w:p w14:paraId="54580D18" w14:textId="77777777" w:rsidR="00DE4516" w:rsidRPr="00A46ADC" w:rsidRDefault="00DE4516" w:rsidP="00DE4516">
            <w:pPr>
              <w:pStyle w:val="TableBody"/>
              <w:autoSpaceDE w:val="0"/>
              <w:autoSpaceDN w:val="0"/>
              <w:adjustRightInd w:val="0"/>
              <w:jc w:val="right"/>
              <w:rPr>
                <w:rFonts w:cs="Calibri"/>
                <w:color w:val="000000"/>
                <w:szCs w:val="16"/>
              </w:rPr>
            </w:pPr>
            <w:r w:rsidRPr="00A46ADC">
              <w:t>8.0</w:t>
            </w:r>
          </w:p>
        </w:tc>
      </w:tr>
      <w:tr w:rsidR="00DE4516" w:rsidRPr="00045A4A" w14:paraId="6576CC8B" w14:textId="77777777" w:rsidTr="002F793E">
        <w:trPr>
          <w:cantSplit/>
        </w:trPr>
        <w:tc>
          <w:tcPr>
            <w:tcW w:w="1880" w:type="pct"/>
            <w:noWrap/>
            <w:hideMark/>
          </w:tcPr>
          <w:p w14:paraId="522417B1"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Japan</w:t>
            </w:r>
          </w:p>
        </w:tc>
        <w:tc>
          <w:tcPr>
            <w:tcW w:w="446" w:type="pct"/>
            <w:noWrap/>
            <w:hideMark/>
          </w:tcPr>
          <w:p w14:paraId="4DADD43E" w14:textId="77777777" w:rsidR="00DE4516" w:rsidRPr="00A46ADC" w:rsidRDefault="00DE4516" w:rsidP="00DE4516">
            <w:pPr>
              <w:pStyle w:val="TableBody"/>
              <w:autoSpaceDE w:val="0"/>
              <w:autoSpaceDN w:val="0"/>
              <w:adjustRightInd w:val="0"/>
              <w:jc w:val="right"/>
              <w:rPr>
                <w:rFonts w:cs="Calibri"/>
                <w:color w:val="000000"/>
                <w:szCs w:val="16"/>
              </w:rPr>
            </w:pPr>
            <w:r w:rsidRPr="00A46ADC">
              <w:t>12.2</w:t>
            </w:r>
          </w:p>
        </w:tc>
        <w:tc>
          <w:tcPr>
            <w:tcW w:w="446" w:type="pct"/>
            <w:noWrap/>
            <w:hideMark/>
          </w:tcPr>
          <w:p w14:paraId="20B41A6E" w14:textId="77777777" w:rsidR="00DE4516" w:rsidRPr="00A46ADC" w:rsidRDefault="00DE4516" w:rsidP="00DE4516">
            <w:pPr>
              <w:pStyle w:val="TableBody"/>
              <w:autoSpaceDE w:val="0"/>
              <w:autoSpaceDN w:val="0"/>
              <w:adjustRightInd w:val="0"/>
              <w:jc w:val="right"/>
              <w:rPr>
                <w:rFonts w:cs="Calibri"/>
                <w:color w:val="000000"/>
                <w:szCs w:val="16"/>
              </w:rPr>
            </w:pPr>
            <w:r w:rsidRPr="00A46ADC">
              <w:t>5.9</w:t>
            </w:r>
          </w:p>
        </w:tc>
        <w:tc>
          <w:tcPr>
            <w:tcW w:w="446" w:type="pct"/>
            <w:noWrap/>
            <w:hideMark/>
          </w:tcPr>
          <w:p w14:paraId="3866A183" w14:textId="77777777" w:rsidR="00DE4516" w:rsidRPr="00A46ADC" w:rsidRDefault="00DE4516" w:rsidP="00DE4516">
            <w:pPr>
              <w:pStyle w:val="TableBody"/>
              <w:autoSpaceDE w:val="0"/>
              <w:autoSpaceDN w:val="0"/>
              <w:adjustRightInd w:val="0"/>
              <w:jc w:val="right"/>
              <w:rPr>
                <w:rFonts w:cs="Calibri"/>
                <w:color w:val="000000"/>
                <w:szCs w:val="16"/>
              </w:rPr>
            </w:pPr>
            <w:r w:rsidRPr="00A46ADC">
              <w:t>4.5</w:t>
            </w:r>
          </w:p>
        </w:tc>
        <w:tc>
          <w:tcPr>
            <w:tcW w:w="446" w:type="pct"/>
            <w:noWrap/>
            <w:hideMark/>
          </w:tcPr>
          <w:p w14:paraId="544EF73B" w14:textId="77777777" w:rsidR="00DE4516" w:rsidRPr="00A46ADC" w:rsidRDefault="00DE4516" w:rsidP="00DE4516">
            <w:pPr>
              <w:pStyle w:val="TableBody"/>
              <w:autoSpaceDE w:val="0"/>
              <w:autoSpaceDN w:val="0"/>
              <w:adjustRightInd w:val="0"/>
              <w:jc w:val="right"/>
              <w:rPr>
                <w:rFonts w:cs="Calibri"/>
                <w:color w:val="000000"/>
                <w:szCs w:val="16"/>
              </w:rPr>
            </w:pPr>
            <w:r w:rsidRPr="00A46ADC">
              <w:t>3.7</w:t>
            </w:r>
          </w:p>
        </w:tc>
        <w:tc>
          <w:tcPr>
            <w:tcW w:w="446" w:type="pct"/>
            <w:noWrap/>
            <w:hideMark/>
          </w:tcPr>
          <w:p w14:paraId="746F67B3"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c>
          <w:tcPr>
            <w:tcW w:w="446" w:type="pct"/>
            <w:noWrap/>
            <w:hideMark/>
          </w:tcPr>
          <w:p w14:paraId="70EA32FD" w14:textId="77777777" w:rsidR="00DE4516" w:rsidRPr="00A46ADC" w:rsidRDefault="00DE4516" w:rsidP="00DE4516">
            <w:pPr>
              <w:pStyle w:val="TableBody"/>
              <w:autoSpaceDE w:val="0"/>
              <w:autoSpaceDN w:val="0"/>
              <w:adjustRightInd w:val="0"/>
              <w:jc w:val="right"/>
              <w:rPr>
                <w:rFonts w:cs="Calibri"/>
                <w:color w:val="000000"/>
                <w:szCs w:val="16"/>
              </w:rPr>
            </w:pPr>
            <w:r w:rsidRPr="00A46ADC">
              <w:t>1.5</w:t>
            </w:r>
          </w:p>
        </w:tc>
        <w:tc>
          <w:tcPr>
            <w:tcW w:w="446" w:type="pct"/>
            <w:noWrap/>
            <w:hideMark/>
          </w:tcPr>
          <w:p w14:paraId="63B30294"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r>
      <w:tr w:rsidR="00DE4516" w:rsidRPr="00045A4A" w14:paraId="385282C5"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1991D61A" w14:textId="77777777" w:rsidR="00DE4516" w:rsidRPr="00A46ADC" w:rsidRDefault="00DE4516" w:rsidP="00DE4516">
            <w:pPr>
              <w:pStyle w:val="TableBody"/>
              <w:autoSpaceDE w:val="0"/>
              <w:autoSpaceDN w:val="0"/>
              <w:adjustRightInd w:val="0"/>
              <w:ind w:left="159"/>
              <w:jc w:val="both"/>
              <w:rPr>
                <w:rFonts w:cs="Arial"/>
                <w:color w:val="000000"/>
                <w:szCs w:val="16"/>
              </w:rPr>
            </w:pPr>
            <w:r w:rsidRPr="00A46ADC">
              <w:t>Other Asia</w:t>
            </w:r>
          </w:p>
        </w:tc>
        <w:tc>
          <w:tcPr>
            <w:tcW w:w="446" w:type="pct"/>
            <w:noWrap/>
            <w:hideMark/>
          </w:tcPr>
          <w:p w14:paraId="0ACF629D" w14:textId="77777777" w:rsidR="00DE4516" w:rsidRPr="00A46ADC" w:rsidRDefault="00DE4516" w:rsidP="00DE4516">
            <w:pPr>
              <w:pStyle w:val="TableBody"/>
              <w:autoSpaceDE w:val="0"/>
              <w:autoSpaceDN w:val="0"/>
              <w:adjustRightInd w:val="0"/>
              <w:jc w:val="right"/>
              <w:rPr>
                <w:rFonts w:cs="Calibri"/>
                <w:color w:val="000000"/>
                <w:szCs w:val="16"/>
              </w:rPr>
            </w:pPr>
            <w:r w:rsidRPr="00A46ADC">
              <w:t>15.8</w:t>
            </w:r>
          </w:p>
        </w:tc>
        <w:tc>
          <w:tcPr>
            <w:tcW w:w="446" w:type="pct"/>
            <w:noWrap/>
            <w:hideMark/>
          </w:tcPr>
          <w:p w14:paraId="5106D93B" w14:textId="77777777" w:rsidR="00DE4516" w:rsidRPr="00A46ADC" w:rsidRDefault="00DE4516" w:rsidP="00DE4516">
            <w:pPr>
              <w:pStyle w:val="TableBody"/>
              <w:autoSpaceDE w:val="0"/>
              <w:autoSpaceDN w:val="0"/>
              <w:adjustRightInd w:val="0"/>
              <w:jc w:val="right"/>
              <w:rPr>
                <w:rFonts w:cs="Calibri"/>
                <w:color w:val="000000"/>
                <w:szCs w:val="16"/>
              </w:rPr>
            </w:pPr>
            <w:r w:rsidRPr="00A46ADC">
              <w:t>15.3</w:t>
            </w:r>
          </w:p>
        </w:tc>
        <w:tc>
          <w:tcPr>
            <w:tcW w:w="446" w:type="pct"/>
            <w:noWrap/>
            <w:hideMark/>
          </w:tcPr>
          <w:p w14:paraId="0EC88F1E" w14:textId="77777777" w:rsidR="00DE4516" w:rsidRPr="00A46ADC" w:rsidRDefault="00DE4516" w:rsidP="00DE4516">
            <w:pPr>
              <w:pStyle w:val="TableBody"/>
              <w:autoSpaceDE w:val="0"/>
              <w:autoSpaceDN w:val="0"/>
              <w:adjustRightInd w:val="0"/>
              <w:jc w:val="right"/>
              <w:rPr>
                <w:rFonts w:cs="Calibri"/>
                <w:color w:val="000000"/>
                <w:szCs w:val="16"/>
              </w:rPr>
            </w:pPr>
            <w:r w:rsidRPr="00A46ADC">
              <w:t>11.9</w:t>
            </w:r>
          </w:p>
        </w:tc>
        <w:tc>
          <w:tcPr>
            <w:tcW w:w="446" w:type="pct"/>
            <w:noWrap/>
            <w:hideMark/>
          </w:tcPr>
          <w:p w14:paraId="3F272DD7" w14:textId="77777777" w:rsidR="00DE4516" w:rsidRPr="00A46ADC" w:rsidRDefault="00DE4516" w:rsidP="00DE4516">
            <w:pPr>
              <w:pStyle w:val="TableBody"/>
              <w:autoSpaceDE w:val="0"/>
              <w:autoSpaceDN w:val="0"/>
              <w:adjustRightInd w:val="0"/>
              <w:jc w:val="right"/>
              <w:rPr>
                <w:rFonts w:cs="Calibri"/>
                <w:color w:val="000000"/>
                <w:szCs w:val="16"/>
              </w:rPr>
            </w:pPr>
            <w:r w:rsidRPr="00A46ADC">
              <w:t>13.2</w:t>
            </w:r>
          </w:p>
        </w:tc>
        <w:tc>
          <w:tcPr>
            <w:tcW w:w="446" w:type="pct"/>
            <w:noWrap/>
            <w:hideMark/>
          </w:tcPr>
          <w:p w14:paraId="5D1676EE" w14:textId="77777777" w:rsidR="00DE4516" w:rsidRPr="00A46ADC" w:rsidRDefault="00DE4516" w:rsidP="00DE4516">
            <w:pPr>
              <w:pStyle w:val="TableBody"/>
              <w:autoSpaceDE w:val="0"/>
              <w:autoSpaceDN w:val="0"/>
              <w:adjustRightInd w:val="0"/>
              <w:jc w:val="right"/>
              <w:rPr>
                <w:rFonts w:cs="Calibri"/>
                <w:color w:val="000000"/>
                <w:szCs w:val="16"/>
              </w:rPr>
            </w:pPr>
            <w:r w:rsidRPr="00A46ADC">
              <w:t>11.3</w:t>
            </w:r>
          </w:p>
        </w:tc>
        <w:tc>
          <w:tcPr>
            <w:tcW w:w="446" w:type="pct"/>
            <w:noWrap/>
            <w:hideMark/>
          </w:tcPr>
          <w:p w14:paraId="41DD82E5" w14:textId="77777777" w:rsidR="00DE4516" w:rsidRPr="00A46ADC" w:rsidRDefault="00DE4516" w:rsidP="00DE4516">
            <w:pPr>
              <w:pStyle w:val="TableBody"/>
              <w:autoSpaceDE w:val="0"/>
              <w:autoSpaceDN w:val="0"/>
              <w:adjustRightInd w:val="0"/>
              <w:jc w:val="right"/>
              <w:rPr>
                <w:rFonts w:cs="Calibri"/>
                <w:color w:val="000000"/>
                <w:szCs w:val="16"/>
              </w:rPr>
            </w:pPr>
            <w:r w:rsidRPr="00A46ADC">
              <w:t>12.3</w:t>
            </w:r>
          </w:p>
        </w:tc>
        <w:tc>
          <w:tcPr>
            <w:tcW w:w="446" w:type="pct"/>
            <w:noWrap/>
            <w:hideMark/>
          </w:tcPr>
          <w:p w14:paraId="69F35D63" w14:textId="77777777" w:rsidR="00DE4516" w:rsidRPr="00A46ADC" w:rsidRDefault="00DE4516" w:rsidP="00DE4516">
            <w:pPr>
              <w:pStyle w:val="TableBody"/>
              <w:autoSpaceDE w:val="0"/>
              <w:autoSpaceDN w:val="0"/>
              <w:adjustRightInd w:val="0"/>
              <w:jc w:val="right"/>
              <w:rPr>
                <w:rFonts w:cs="Calibri"/>
                <w:color w:val="000000"/>
                <w:szCs w:val="16"/>
              </w:rPr>
            </w:pPr>
            <w:r w:rsidRPr="00A46ADC">
              <w:t>11.7</w:t>
            </w:r>
          </w:p>
        </w:tc>
      </w:tr>
      <w:tr w:rsidR="00DE4516" w:rsidRPr="00045A4A" w14:paraId="70A8DC7D" w14:textId="77777777" w:rsidTr="002F793E">
        <w:trPr>
          <w:cantSplit/>
        </w:trPr>
        <w:tc>
          <w:tcPr>
            <w:tcW w:w="1880" w:type="pct"/>
            <w:noWrap/>
            <w:hideMark/>
          </w:tcPr>
          <w:p w14:paraId="506F974F"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t>India</w:t>
            </w:r>
          </w:p>
        </w:tc>
        <w:tc>
          <w:tcPr>
            <w:tcW w:w="446" w:type="pct"/>
            <w:noWrap/>
            <w:hideMark/>
          </w:tcPr>
          <w:p w14:paraId="640C8013" w14:textId="77777777" w:rsidR="00DE4516" w:rsidRPr="00A46ADC" w:rsidRDefault="00DE4516" w:rsidP="00DE4516">
            <w:pPr>
              <w:pStyle w:val="TableBody"/>
              <w:autoSpaceDE w:val="0"/>
              <w:autoSpaceDN w:val="0"/>
              <w:adjustRightInd w:val="0"/>
              <w:jc w:val="right"/>
              <w:rPr>
                <w:rFonts w:cs="Calibri"/>
                <w:color w:val="000000"/>
                <w:szCs w:val="16"/>
              </w:rPr>
            </w:pPr>
            <w:r w:rsidRPr="00A46ADC">
              <w:t>4.3</w:t>
            </w:r>
          </w:p>
        </w:tc>
        <w:tc>
          <w:tcPr>
            <w:tcW w:w="446" w:type="pct"/>
            <w:noWrap/>
            <w:hideMark/>
          </w:tcPr>
          <w:p w14:paraId="4E9A3297" w14:textId="77777777" w:rsidR="00DE4516" w:rsidRPr="00A46ADC" w:rsidRDefault="00DE4516" w:rsidP="00DE4516">
            <w:pPr>
              <w:pStyle w:val="TableBody"/>
              <w:autoSpaceDE w:val="0"/>
              <w:autoSpaceDN w:val="0"/>
              <w:adjustRightInd w:val="0"/>
              <w:jc w:val="right"/>
              <w:rPr>
                <w:rFonts w:cs="Calibri"/>
                <w:color w:val="000000"/>
                <w:szCs w:val="16"/>
              </w:rPr>
            </w:pPr>
            <w:r w:rsidRPr="00A46ADC">
              <w:t>5.6</w:t>
            </w:r>
          </w:p>
        </w:tc>
        <w:tc>
          <w:tcPr>
            <w:tcW w:w="446" w:type="pct"/>
            <w:noWrap/>
            <w:hideMark/>
          </w:tcPr>
          <w:p w14:paraId="0C93B4F5" w14:textId="77777777" w:rsidR="00DE4516" w:rsidRPr="00A46ADC" w:rsidRDefault="00DE4516" w:rsidP="00DE4516">
            <w:pPr>
              <w:pStyle w:val="TableBody"/>
              <w:autoSpaceDE w:val="0"/>
              <w:autoSpaceDN w:val="0"/>
              <w:adjustRightInd w:val="0"/>
              <w:jc w:val="right"/>
              <w:rPr>
                <w:rFonts w:cs="Calibri"/>
                <w:color w:val="000000"/>
                <w:szCs w:val="16"/>
              </w:rPr>
            </w:pPr>
            <w:r w:rsidRPr="00A46ADC">
              <w:t>5.0</w:t>
            </w:r>
          </w:p>
        </w:tc>
        <w:tc>
          <w:tcPr>
            <w:tcW w:w="446" w:type="pct"/>
            <w:noWrap/>
            <w:hideMark/>
          </w:tcPr>
          <w:p w14:paraId="1991D646" w14:textId="77777777" w:rsidR="00DE4516" w:rsidRPr="00A46ADC" w:rsidRDefault="00DE4516" w:rsidP="00DE4516">
            <w:pPr>
              <w:pStyle w:val="TableBody"/>
              <w:autoSpaceDE w:val="0"/>
              <w:autoSpaceDN w:val="0"/>
              <w:adjustRightInd w:val="0"/>
              <w:jc w:val="right"/>
              <w:rPr>
                <w:rFonts w:cs="Calibri"/>
                <w:color w:val="000000"/>
                <w:szCs w:val="16"/>
              </w:rPr>
            </w:pPr>
            <w:r w:rsidRPr="00A46ADC">
              <w:t>5.4</w:t>
            </w:r>
          </w:p>
        </w:tc>
        <w:tc>
          <w:tcPr>
            <w:tcW w:w="446" w:type="pct"/>
            <w:noWrap/>
            <w:hideMark/>
          </w:tcPr>
          <w:p w14:paraId="0AD608E9" w14:textId="77777777" w:rsidR="00DE4516" w:rsidRPr="00A46ADC" w:rsidRDefault="00DE4516" w:rsidP="00DE4516">
            <w:pPr>
              <w:pStyle w:val="TableBody"/>
              <w:autoSpaceDE w:val="0"/>
              <w:autoSpaceDN w:val="0"/>
              <w:adjustRightInd w:val="0"/>
              <w:jc w:val="right"/>
              <w:rPr>
                <w:rFonts w:cs="Calibri"/>
                <w:color w:val="000000"/>
                <w:szCs w:val="16"/>
              </w:rPr>
            </w:pPr>
            <w:r w:rsidRPr="00A46ADC">
              <w:t>4.5</w:t>
            </w:r>
          </w:p>
        </w:tc>
        <w:tc>
          <w:tcPr>
            <w:tcW w:w="446" w:type="pct"/>
            <w:noWrap/>
            <w:hideMark/>
          </w:tcPr>
          <w:p w14:paraId="50207F14" w14:textId="77777777" w:rsidR="00DE4516" w:rsidRPr="00A46ADC" w:rsidRDefault="00DE4516" w:rsidP="00DE4516">
            <w:pPr>
              <w:pStyle w:val="TableBody"/>
              <w:autoSpaceDE w:val="0"/>
              <w:autoSpaceDN w:val="0"/>
              <w:adjustRightInd w:val="0"/>
              <w:jc w:val="right"/>
              <w:rPr>
                <w:rFonts w:cs="Calibri"/>
                <w:color w:val="000000"/>
                <w:szCs w:val="16"/>
              </w:rPr>
            </w:pPr>
            <w:r w:rsidRPr="00A46ADC">
              <w:t>5.2</w:t>
            </w:r>
          </w:p>
        </w:tc>
        <w:tc>
          <w:tcPr>
            <w:tcW w:w="446" w:type="pct"/>
            <w:noWrap/>
            <w:hideMark/>
          </w:tcPr>
          <w:p w14:paraId="09B7F118" w14:textId="77777777" w:rsidR="00DE4516" w:rsidRPr="00A46ADC" w:rsidRDefault="00DE4516" w:rsidP="00DE4516">
            <w:pPr>
              <w:pStyle w:val="TableBody"/>
              <w:autoSpaceDE w:val="0"/>
              <w:autoSpaceDN w:val="0"/>
              <w:adjustRightInd w:val="0"/>
              <w:jc w:val="right"/>
              <w:rPr>
                <w:rFonts w:cs="Calibri"/>
                <w:color w:val="000000"/>
                <w:szCs w:val="16"/>
              </w:rPr>
            </w:pPr>
            <w:r w:rsidRPr="00A46ADC">
              <w:t>5.1</w:t>
            </w:r>
          </w:p>
        </w:tc>
      </w:tr>
      <w:tr w:rsidR="00DE4516" w:rsidRPr="00045A4A" w14:paraId="13BE20F7"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191F9F26"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t>Australia</w:t>
            </w:r>
          </w:p>
        </w:tc>
        <w:tc>
          <w:tcPr>
            <w:tcW w:w="446" w:type="pct"/>
            <w:noWrap/>
            <w:hideMark/>
          </w:tcPr>
          <w:p w14:paraId="6D293278"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c>
          <w:tcPr>
            <w:tcW w:w="446" w:type="pct"/>
            <w:noWrap/>
            <w:hideMark/>
          </w:tcPr>
          <w:p w14:paraId="6082123D" w14:textId="77777777" w:rsidR="00DE4516" w:rsidRPr="00A46ADC" w:rsidRDefault="00DE4516" w:rsidP="00DE4516">
            <w:pPr>
              <w:pStyle w:val="TableBody"/>
              <w:autoSpaceDE w:val="0"/>
              <w:autoSpaceDN w:val="0"/>
              <w:adjustRightInd w:val="0"/>
              <w:jc w:val="right"/>
              <w:rPr>
                <w:rFonts w:cs="Calibri"/>
                <w:color w:val="000000"/>
                <w:szCs w:val="16"/>
              </w:rPr>
            </w:pPr>
            <w:r w:rsidRPr="00A46ADC">
              <w:t>0.9</w:t>
            </w:r>
          </w:p>
        </w:tc>
        <w:tc>
          <w:tcPr>
            <w:tcW w:w="446" w:type="pct"/>
            <w:noWrap/>
            <w:hideMark/>
          </w:tcPr>
          <w:p w14:paraId="790296AF" w14:textId="77777777" w:rsidR="00DE4516" w:rsidRPr="00A46ADC" w:rsidRDefault="00DE4516" w:rsidP="00DE4516">
            <w:pPr>
              <w:pStyle w:val="TableBody"/>
              <w:autoSpaceDE w:val="0"/>
              <w:autoSpaceDN w:val="0"/>
              <w:adjustRightInd w:val="0"/>
              <w:jc w:val="right"/>
              <w:rPr>
                <w:rFonts w:cs="Calibri"/>
                <w:color w:val="000000"/>
                <w:szCs w:val="16"/>
              </w:rPr>
            </w:pPr>
            <w:r w:rsidRPr="00A46ADC">
              <w:t>0.8</w:t>
            </w:r>
          </w:p>
        </w:tc>
        <w:tc>
          <w:tcPr>
            <w:tcW w:w="446" w:type="pct"/>
            <w:noWrap/>
            <w:hideMark/>
          </w:tcPr>
          <w:p w14:paraId="735BA052"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46" w:type="pct"/>
            <w:noWrap/>
            <w:hideMark/>
          </w:tcPr>
          <w:p w14:paraId="1D226799" w14:textId="77777777" w:rsidR="00DE4516" w:rsidRPr="00A46ADC" w:rsidRDefault="00DE4516" w:rsidP="00DE4516">
            <w:pPr>
              <w:pStyle w:val="TableBody"/>
              <w:autoSpaceDE w:val="0"/>
              <w:autoSpaceDN w:val="0"/>
              <w:adjustRightInd w:val="0"/>
              <w:jc w:val="right"/>
              <w:rPr>
                <w:rFonts w:cs="Calibri"/>
                <w:color w:val="000000"/>
                <w:szCs w:val="16"/>
              </w:rPr>
            </w:pPr>
            <w:r w:rsidRPr="00A46ADC">
              <w:t>1.0</w:t>
            </w:r>
          </w:p>
        </w:tc>
        <w:tc>
          <w:tcPr>
            <w:tcW w:w="446" w:type="pct"/>
            <w:noWrap/>
            <w:hideMark/>
          </w:tcPr>
          <w:p w14:paraId="4BED0B29" w14:textId="77777777" w:rsidR="00DE4516" w:rsidRPr="00A46ADC" w:rsidRDefault="00DE4516" w:rsidP="00DE4516">
            <w:pPr>
              <w:pStyle w:val="TableBody"/>
              <w:autoSpaceDE w:val="0"/>
              <w:autoSpaceDN w:val="0"/>
              <w:adjustRightInd w:val="0"/>
              <w:jc w:val="right"/>
              <w:rPr>
                <w:rFonts w:cs="Calibri"/>
                <w:color w:val="000000"/>
                <w:szCs w:val="16"/>
              </w:rPr>
            </w:pPr>
            <w:r w:rsidRPr="00A46ADC">
              <w:t>1.2</w:t>
            </w:r>
          </w:p>
        </w:tc>
        <w:tc>
          <w:tcPr>
            <w:tcW w:w="446" w:type="pct"/>
            <w:noWrap/>
            <w:hideMark/>
          </w:tcPr>
          <w:p w14:paraId="5FD1EEAC"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r>
      <w:tr w:rsidR="00DE4516" w:rsidRPr="00045A4A" w14:paraId="6C4FBB43" w14:textId="77777777" w:rsidTr="002F793E">
        <w:trPr>
          <w:cantSplit/>
        </w:trPr>
        <w:tc>
          <w:tcPr>
            <w:tcW w:w="1880" w:type="pct"/>
            <w:noWrap/>
            <w:hideMark/>
          </w:tcPr>
          <w:p w14:paraId="00036D77" w14:textId="77777777" w:rsidR="00DE4516" w:rsidRPr="00A46ADC" w:rsidRDefault="00DE4516" w:rsidP="00DE4516">
            <w:pPr>
              <w:pStyle w:val="TableBody"/>
              <w:autoSpaceDE w:val="0"/>
              <w:autoSpaceDN w:val="0"/>
              <w:adjustRightInd w:val="0"/>
              <w:ind w:left="609"/>
              <w:jc w:val="both"/>
              <w:rPr>
                <w:rFonts w:cs="Calibri"/>
                <w:color w:val="000000"/>
                <w:szCs w:val="16"/>
              </w:rPr>
            </w:pPr>
            <w:r w:rsidRPr="00A46ADC">
              <w:t>Korea, Republic of</w:t>
            </w:r>
          </w:p>
        </w:tc>
        <w:tc>
          <w:tcPr>
            <w:tcW w:w="446" w:type="pct"/>
            <w:noWrap/>
            <w:hideMark/>
          </w:tcPr>
          <w:p w14:paraId="1E8B1785" w14:textId="77777777" w:rsidR="00DE4516" w:rsidRPr="00A46ADC" w:rsidRDefault="00DE4516" w:rsidP="00DE4516">
            <w:pPr>
              <w:pStyle w:val="TableBody"/>
              <w:autoSpaceDE w:val="0"/>
              <w:autoSpaceDN w:val="0"/>
              <w:adjustRightInd w:val="0"/>
              <w:jc w:val="right"/>
              <w:rPr>
                <w:rFonts w:cs="Calibri"/>
                <w:color w:val="000000"/>
                <w:szCs w:val="16"/>
              </w:rPr>
            </w:pPr>
            <w:r w:rsidRPr="00A46ADC">
              <w:t>3.7</w:t>
            </w:r>
          </w:p>
        </w:tc>
        <w:tc>
          <w:tcPr>
            <w:tcW w:w="446" w:type="pct"/>
            <w:noWrap/>
            <w:hideMark/>
          </w:tcPr>
          <w:p w14:paraId="59120004" w14:textId="77777777" w:rsidR="00DE4516" w:rsidRPr="00A46ADC" w:rsidRDefault="00DE4516" w:rsidP="00DE4516">
            <w:pPr>
              <w:pStyle w:val="TableBody"/>
              <w:autoSpaceDE w:val="0"/>
              <w:autoSpaceDN w:val="0"/>
              <w:adjustRightInd w:val="0"/>
              <w:jc w:val="right"/>
              <w:rPr>
                <w:rFonts w:cs="Calibri"/>
                <w:color w:val="000000"/>
                <w:szCs w:val="16"/>
              </w:rPr>
            </w:pPr>
            <w:r w:rsidRPr="00A46ADC">
              <w:t>3.3</w:t>
            </w:r>
          </w:p>
        </w:tc>
        <w:tc>
          <w:tcPr>
            <w:tcW w:w="446" w:type="pct"/>
            <w:noWrap/>
            <w:hideMark/>
          </w:tcPr>
          <w:p w14:paraId="229771AF" w14:textId="77777777" w:rsidR="00DE4516" w:rsidRPr="00A46ADC" w:rsidRDefault="00DE4516" w:rsidP="00DE4516">
            <w:pPr>
              <w:pStyle w:val="TableBody"/>
              <w:autoSpaceDE w:val="0"/>
              <w:autoSpaceDN w:val="0"/>
              <w:adjustRightInd w:val="0"/>
              <w:jc w:val="right"/>
              <w:rPr>
                <w:rFonts w:cs="Calibri"/>
                <w:color w:val="000000"/>
                <w:szCs w:val="16"/>
              </w:rPr>
            </w:pPr>
            <w:r w:rsidRPr="00A46ADC">
              <w:t>1.5</w:t>
            </w:r>
          </w:p>
        </w:tc>
        <w:tc>
          <w:tcPr>
            <w:tcW w:w="446" w:type="pct"/>
            <w:noWrap/>
            <w:hideMark/>
          </w:tcPr>
          <w:p w14:paraId="26F108AA" w14:textId="77777777" w:rsidR="00DE4516" w:rsidRPr="00A46ADC" w:rsidRDefault="00DE4516" w:rsidP="00DE4516">
            <w:pPr>
              <w:pStyle w:val="TableBody"/>
              <w:autoSpaceDE w:val="0"/>
              <w:autoSpaceDN w:val="0"/>
              <w:adjustRightInd w:val="0"/>
              <w:jc w:val="right"/>
              <w:rPr>
                <w:rFonts w:cs="Calibri"/>
                <w:color w:val="000000"/>
                <w:szCs w:val="16"/>
              </w:rPr>
            </w:pPr>
            <w:r w:rsidRPr="00A46ADC">
              <w:t>2.3</w:t>
            </w:r>
          </w:p>
        </w:tc>
        <w:tc>
          <w:tcPr>
            <w:tcW w:w="446" w:type="pct"/>
            <w:noWrap/>
            <w:hideMark/>
          </w:tcPr>
          <w:p w14:paraId="07E61D2E" w14:textId="77777777" w:rsidR="00DE4516" w:rsidRPr="00A46ADC" w:rsidRDefault="00DE4516" w:rsidP="00DE4516">
            <w:pPr>
              <w:pStyle w:val="TableBody"/>
              <w:autoSpaceDE w:val="0"/>
              <w:autoSpaceDN w:val="0"/>
              <w:adjustRightInd w:val="0"/>
              <w:jc w:val="right"/>
              <w:rPr>
                <w:rFonts w:cs="Calibri"/>
                <w:color w:val="000000"/>
                <w:szCs w:val="16"/>
              </w:rPr>
            </w:pPr>
            <w:r w:rsidRPr="00A46ADC">
              <w:t>1.8</w:t>
            </w:r>
          </w:p>
        </w:tc>
        <w:tc>
          <w:tcPr>
            <w:tcW w:w="446" w:type="pct"/>
            <w:noWrap/>
            <w:hideMark/>
          </w:tcPr>
          <w:p w14:paraId="21FA22C3" w14:textId="77777777" w:rsidR="00DE4516" w:rsidRPr="00A46ADC" w:rsidRDefault="00DE4516" w:rsidP="00DE4516">
            <w:pPr>
              <w:pStyle w:val="TableBody"/>
              <w:autoSpaceDE w:val="0"/>
              <w:autoSpaceDN w:val="0"/>
              <w:adjustRightInd w:val="0"/>
              <w:jc w:val="right"/>
              <w:rPr>
                <w:rFonts w:cs="Calibri"/>
                <w:color w:val="000000"/>
                <w:szCs w:val="16"/>
              </w:rPr>
            </w:pPr>
            <w:r w:rsidRPr="00A46ADC">
              <w:t>1.4</w:t>
            </w:r>
          </w:p>
        </w:tc>
        <w:tc>
          <w:tcPr>
            <w:tcW w:w="446" w:type="pct"/>
            <w:noWrap/>
            <w:hideMark/>
          </w:tcPr>
          <w:p w14:paraId="14145D66" w14:textId="77777777" w:rsidR="00DE4516" w:rsidRPr="00A46ADC" w:rsidRDefault="00DE4516" w:rsidP="00DE4516">
            <w:pPr>
              <w:pStyle w:val="TableBody"/>
              <w:autoSpaceDE w:val="0"/>
              <w:autoSpaceDN w:val="0"/>
              <w:adjustRightInd w:val="0"/>
              <w:jc w:val="right"/>
              <w:rPr>
                <w:rFonts w:cs="Calibri"/>
                <w:color w:val="000000"/>
                <w:szCs w:val="16"/>
              </w:rPr>
            </w:pPr>
            <w:r w:rsidRPr="00A46ADC">
              <w:t>1.1</w:t>
            </w:r>
          </w:p>
        </w:tc>
      </w:tr>
      <w:tr w:rsidR="00DE4516" w:rsidRPr="00045A4A" w14:paraId="73A1C7DF"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49CFF5CC" w14:textId="77777777" w:rsidR="00DE4516" w:rsidRPr="00A46ADC" w:rsidRDefault="00DE4516" w:rsidP="00DE4516">
            <w:pPr>
              <w:pStyle w:val="TableBody"/>
              <w:autoSpaceDE w:val="0"/>
              <w:autoSpaceDN w:val="0"/>
              <w:adjustRightInd w:val="0"/>
              <w:jc w:val="both"/>
              <w:rPr>
                <w:rFonts w:cs="Calibri"/>
                <w:b/>
                <w:bCs/>
                <w:color w:val="000000"/>
                <w:szCs w:val="16"/>
              </w:rPr>
            </w:pPr>
            <w:r w:rsidRPr="00A46ADC">
              <w:rPr>
                <w:b/>
              </w:rPr>
              <w:t>Other</w:t>
            </w:r>
          </w:p>
        </w:tc>
        <w:tc>
          <w:tcPr>
            <w:tcW w:w="446" w:type="pct"/>
            <w:noWrap/>
            <w:hideMark/>
          </w:tcPr>
          <w:p w14:paraId="4A1561B5"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0.0</w:t>
            </w:r>
          </w:p>
        </w:tc>
        <w:tc>
          <w:tcPr>
            <w:tcW w:w="446" w:type="pct"/>
            <w:noWrap/>
            <w:hideMark/>
          </w:tcPr>
          <w:p w14:paraId="31524B59"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0.0</w:t>
            </w:r>
          </w:p>
        </w:tc>
        <w:tc>
          <w:tcPr>
            <w:tcW w:w="446" w:type="pct"/>
            <w:noWrap/>
            <w:hideMark/>
          </w:tcPr>
          <w:p w14:paraId="3D217311"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0.0</w:t>
            </w:r>
          </w:p>
        </w:tc>
        <w:tc>
          <w:tcPr>
            <w:tcW w:w="446" w:type="pct"/>
            <w:noWrap/>
            <w:hideMark/>
          </w:tcPr>
          <w:p w14:paraId="474835E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0.0</w:t>
            </w:r>
          </w:p>
        </w:tc>
        <w:tc>
          <w:tcPr>
            <w:tcW w:w="446" w:type="pct"/>
            <w:noWrap/>
            <w:hideMark/>
          </w:tcPr>
          <w:p w14:paraId="3849D4BC"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0.0</w:t>
            </w:r>
          </w:p>
        </w:tc>
        <w:tc>
          <w:tcPr>
            <w:tcW w:w="446" w:type="pct"/>
            <w:noWrap/>
            <w:hideMark/>
          </w:tcPr>
          <w:p w14:paraId="03731202"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0.0</w:t>
            </w:r>
          </w:p>
        </w:tc>
        <w:tc>
          <w:tcPr>
            <w:tcW w:w="446" w:type="pct"/>
            <w:noWrap/>
            <w:hideMark/>
          </w:tcPr>
          <w:p w14:paraId="708684CE" w14:textId="77777777" w:rsidR="00DE4516" w:rsidRPr="00A46ADC" w:rsidRDefault="00DE4516" w:rsidP="00DE4516">
            <w:pPr>
              <w:pStyle w:val="TableBody"/>
              <w:autoSpaceDE w:val="0"/>
              <w:autoSpaceDN w:val="0"/>
              <w:adjustRightInd w:val="0"/>
              <w:jc w:val="right"/>
              <w:rPr>
                <w:rFonts w:cs="Calibri"/>
                <w:b/>
                <w:bCs/>
                <w:color w:val="000000"/>
                <w:szCs w:val="16"/>
              </w:rPr>
            </w:pPr>
            <w:r w:rsidRPr="00A46ADC">
              <w:rPr>
                <w:b/>
              </w:rPr>
              <w:t>0.0</w:t>
            </w:r>
          </w:p>
        </w:tc>
      </w:tr>
      <w:tr w:rsidR="00DE4516" w:rsidRPr="00045A4A" w14:paraId="6939DD3E" w14:textId="77777777" w:rsidTr="002F793E">
        <w:trPr>
          <w:cantSplit/>
        </w:trPr>
        <w:tc>
          <w:tcPr>
            <w:tcW w:w="1880" w:type="pct"/>
            <w:noWrap/>
            <w:hideMark/>
          </w:tcPr>
          <w:p w14:paraId="207DABBA" w14:textId="77777777" w:rsidR="00DE4516" w:rsidRPr="00A46ADC" w:rsidRDefault="00DE4516" w:rsidP="00DE4516">
            <w:pPr>
              <w:pStyle w:val="TableBody"/>
              <w:autoSpaceDE w:val="0"/>
              <w:autoSpaceDN w:val="0"/>
              <w:adjustRightInd w:val="0"/>
              <w:jc w:val="both"/>
              <w:rPr>
                <w:rFonts w:cs="Calibri"/>
                <w:color w:val="000000"/>
                <w:szCs w:val="16"/>
              </w:rPr>
            </w:pPr>
            <w:r w:rsidRPr="00A46ADC">
              <w:t>Memo:</w:t>
            </w:r>
          </w:p>
        </w:tc>
        <w:tc>
          <w:tcPr>
            <w:tcW w:w="446" w:type="pct"/>
            <w:noWrap/>
            <w:hideMark/>
          </w:tcPr>
          <w:p w14:paraId="1031BFD6" w14:textId="77777777" w:rsidR="00DE4516" w:rsidRPr="00A46ADC" w:rsidRDefault="00DE4516" w:rsidP="00DE4516">
            <w:pPr>
              <w:pStyle w:val="TableBody"/>
              <w:autoSpaceDE w:val="0"/>
              <w:autoSpaceDN w:val="0"/>
              <w:adjustRightInd w:val="0"/>
            </w:pPr>
          </w:p>
        </w:tc>
        <w:tc>
          <w:tcPr>
            <w:tcW w:w="446" w:type="pct"/>
            <w:noWrap/>
            <w:hideMark/>
          </w:tcPr>
          <w:p w14:paraId="5F99303C" w14:textId="77777777" w:rsidR="00DE4516" w:rsidRPr="00A46ADC" w:rsidRDefault="00DE4516" w:rsidP="00DE4516">
            <w:pPr>
              <w:pStyle w:val="TableBody"/>
              <w:autoSpaceDE w:val="0"/>
              <w:autoSpaceDN w:val="0"/>
              <w:adjustRightInd w:val="0"/>
              <w:jc w:val="right"/>
            </w:pPr>
          </w:p>
        </w:tc>
        <w:tc>
          <w:tcPr>
            <w:tcW w:w="446" w:type="pct"/>
            <w:noWrap/>
            <w:hideMark/>
          </w:tcPr>
          <w:p w14:paraId="12DC502E" w14:textId="77777777" w:rsidR="00DE4516" w:rsidRPr="00A46ADC" w:rsidRDefault="00DE4516" w:rsidP="00DE4516">
            <w:pPr>
              <w:pStyle w:val="TableBody"/>
              <w:autoSpaceDE w:val="0"/>
              <w:autoSpaceDN w:val="0"/>
              <w:adjustRightInd w:val="0"/>
              <w:jc w:val="right"/>
            </w:pPr>
          </w:p>
        </w:tc>
        <w:tc>
          <w:tcPr>
            <w:tcW w:w="446" w:type="pct"/>
            <w:noWrap/>
            <w:hideMark/>
          </w:tcPr>
          <w:p w14:paraId="28FCBB25" w14:textId="77777777" w:rsidR="00DE4516" w:rsidRPr="00A46ADC" w:rsidRDefault="00DE4516" w:rsidP="00DE4516">
            <w:pPr>
              <w:pStyle w:val="TableBody"/>
              <w:autoSpaceDE w:val="0"/>
              <w:autoSpaceDN w:val="0"/>
              <w:adjustRightInd w:val="0"/>
              <w:jc w:val="right"/>
            </w:pPr>
          </w:p>
        </w:tc>
        <w:tc>
          <w:tcPr>
            <w:tcW w:w="446" w:type="pct"/>
            <w:noWrap/>
            <w:hideMark/>
          </w:tcPr>
          <w:p w14:paraId="02A44A65" w14:textId="77777777" w:rsidR="00DE4516" w:rsidRPr="00A46ADC" w:rsidRDefault="00DE4516" w:rsidP="00DE4516">
            <w:pPr>
              <w:pStyle w:val="TableBody"/>
              <w:autoSpaceDE w:val="0"/>
              <w:autoSpaceDN w:val="0"/>
              <w:adjustRightInd w:val="0"/>
              <w:jc w:val="right"/>
            </w:pPr>
          </w:p>
        </w:tc>
        <w:tc>
          <w:tcPr>
            <w:tcW w:w="446" w:type="pct"/>
            <w:noWrap/>
            <w:hideMark/>
          </w:tcPr>
          <w:p w14:paraId="73C6B0E5" w14:textId="77777777" w:rsidR="00DE4516" w:rsidRPr="00A46ADC" w:rsidRDefault="00DE4516" w:rsidP="00DE4516">
            <w:pPr>
              <w:pStyle w:val="TableBody"/>
              <w:autoSpaceDE w:val="0"/>
              <w:autoSpaceDN w:val="0"/>
              <w:adjustRightInd w:val="0"/>
              <w:jc w:val="right"/>
            </w:pPr>
          </w:p>
        </w:tc>
        <w:tc>
          <w:tcPr>
            <w:tcW w:w="446" w:type="pct"/>
            <w:noWrap/>
            <w:hideMark/>
          </w:tcPr>
          <w:p w14:paraId="287D47D7" w14:textId="77777777" w:rsidR="00DE4516" w:rsidRPr="00A46ADC" w:rsidRDefault="00DE4516" w:rsidP="00DE4516">
            <w:pPr>
              <w:pStyle w:val="TableBody"/>
              <w:autoSpaceDE w:val="0"/>
              <w:autoSpaceDN w:val="0"/>
              <w:adjustRightInd w:val="0"/>
              <w:jc w:val="right"/>
            </w:pPr>
          </w:p>
        </w:tc>
      </w:tr>
      <w:tr w:rsidR="00DE4516" w:rsidRPr="00045A4A" w14:paraId="41A86590" w14:textId="77777777" w:rsidTr="002F793E">
        <w:trPr>
          <w:cnfStyle w:val="000000010000" w:firstRow="0" w:lastRow="0" w:firstColumn="0" w:lastColumn="0" w:oddVBand="0" w:evenVBand="0" w:oddHBand="0" w:evenHBand="1" w:firstRowFirstColumn="0" w:firstRowLastColumn="0" w:lastRowFirstColumn="0" w:lastRowLastColumn="0"/>
          <w:cantSplit/>
        </w:trPr>
        <w:tc>
          <w:tcPr>
            <w:tcW w:w="1880" w:type="pct"/>
            <w:noWrap/>
            <w:hideMark/>
          </w:tcPr>
          <w:p w14:paraId="6BE98111" w14:textId="77777777" w:rsidR="00DE4516" w:rsidRPr="00A46ADC" w:rsidRDefault="00DE4516" w:rsidP="00DE4516">
            <w:pPr>
              <w:pStyle w:val="TableBody"/>
              <w:autoSpaceDE w:val="0"/>
              <w:autoSpaceDN w:val="0"/>
              <w:adjustRightInd w:val="0"/>
              <w:jc w:val="both"/>
              <w:rPr>
                <w:rFonts w:cs="Calibri"/>
                <w:color w:val="000000"/>
                <w:szCs w:val="16"/>
              </w:rPr>
            </w:pPr>
            <w:r w:rsidRPr="00A46ADC">
              <w:t>EU-28</w:t>
            </w:r>
          </w:p>
        </w:tc>
        <w:tc>
          <w:tcPr>
            <w:tcW w:w="446" w:type="pct"/>
            <w:noWrap/>
            <w:hideMark/>
          </w:tcPr>
          <w:p w14:paraId="78095871" w14:textId="77777777" w:rsidR="00DE4516" w:rsidRPr="00A46ADC" w:rsidRDefault="00DE4516" w:rsidP="00DE4516">
            <w:pPr>
              <w:pStyle w:val="TableBody"/>
              <w:autoSpaceDE w:val="0"/>
              <w:autoSpaceDN w:val="0"/>
              <w:adjustRightInd w:val="0"/>
              <w:jc w:val="right"/>
              <w:rPr>
                <w:rFonts w:cs="Calibri"/>
                <w:color w:val="000000"/>
                <w:szCs w:val="16"/>
              </w:rPr>
            </w:pPr>
            <w:r w:rsidRPr="00A46ADC">
              <w:t>12.7</w:t>
            </w:r>
          </w:p>
        </w:tc>
        <w:tc>
          <w:tcPr>
            <w:tcW w:w="446" w:type="pct"/>
            <w:noWrap/>
            <w:hideMark/>
          </w:tcPr>
          <w:p w14:paraId="1992DD37" w14:textId="77777777" w:rsidR="00DE4516" w:rsidRPr="00A46ADC" w:rsidRDefault="00DE4516" w:rsidP="00DE4516">
            <w:pPr>
              <w:pStyle w:val="TableBody"/>
              <w:autoSpaceDE w:val="0"/>
              <w:autoSpaceDN w:val="0"/>
              <w:adjustRightInd w:val="0"/>
              <w:jc w:val="right"/>
              <w:rPr>
                <w:rFonts w:cs="Calibri"/>
                <w:color w:val="000000"/>
                <w:szCs w:val="16"/>
              </w:rPr>
            </w:pPr>
            <w:r w:rsidRPr="00A46ADC">
              <w:t>14.2</w:t>
            </w:r>
          </w:p>
        </w:tc>
        <w:tc>
          <w:tcPr>
            <w:tcW w:w="446" w:type="pct"/>
            <w:noWrap/>
            <w:hideMark/>
          </w:tcPr>
          <w:p w14:paraId="323D4BB1" w14:textId="77777777" w:rsidR="00DE4516" w:rsidRPr="00A46ADC" w:rsidRDefault="00DE4516" w:rsidP="00DE4516">
            <w:pPr>
              <w:pStyle w:val="TableBody"/>
              <w:autoSpaceDE w:val="0"/>
              <w:autoSpaceDN w:val="0"/>
              <w:adjustRightInd w:val="0"/>
              <w:jc w:val="right"/>
              <w:rPr>
                <w:rFonts w:cs="Calibri"/>
                <w:color w:val="000000"/>
                <w:szCs w:val="16"/>
              </w:rPr>
            </w:pPr>
            <w:r w:rsidRPr="00A46ADC">
              <w:t>9.5</w:t>
            </w:r>
          </w:p>
        </w:tc>
        <w:tc>
          <w:tcPr>
            <w:tcW w:w="446" w:type="pct"/>
            <w:noWrap/>
            <w:hideMark/>
          </w:tcPr>
          <w:p w14:paraId="748D8E6E" w14:textId="77777777" w:rsidR="00DE4516" w:rsidRPr="00A46ADC" w:rsidRDefault="00DE4516" w:rsidP="00DE4516">
            <w:pPr>
              <w:pStyle w:val="TableBody"/>
              <w:autoSpaceDE w:val="0"/>
              <w:autoSpaceDN w:val="0"/>
              <w:adjustRightInd w:val="0"/>
              <w:jc w:val="right"/>
              <w:rPr>
                <w:rFonts w:cs="Calibri"/>
                <w:color w:val="000000"/>
                <w:szCs w:val="16"/>
              </w:rPr>
            </w:pPr>
            <w:r w:rsidRPr="00A46ADC">
              <w:t>11.8</w:t>
            </w:r>
          </w:p>
        </w:tc>
        <w:tc>
          <w:tcPr>
            <w:tcW w:w="446" w:type="pct"/>
            <w:noWrap/>
            <w:hideMark/>
          </w:tcPr>
          <w:p w14:paraId="759DF696" w14:textId="77777777" w:rsidR="00DE4516" w:rsidRPr="00A46ADC" w:rsidRDefault="00DE4516" w:rsidP="00DE4516">
            <w:pPr>
              <w:pStyle w:val="TableBody"/>
              <w:autoSpaceDE w:val="0"/>
              <w:autoSpaceDN w:val="0"/>
              <w:adjustRightInd w:val="0"/>
              <w:jc w:val="right"/>
              <w:rPr>
                <w:rFonts w:cs="Calibri"/>
                <w:color w:val="000000"/>
                <w:szCs w:val="16"/>
              </w:rPr>
            </w:pPr>
            <w:r w:rsidRPr="00A46ADC">
              <w:t>12.5</w:t>
            </w:r>
          </w:p>
        </w:tc>
        <w:tc>
          <w:tcPr>
            <w:tcW w:w="446" w:type="pct"/>
            <w:noWrap/>
            <w:hideMark/>
          </w:tcPr>
          <w:p w14:paraId="4809D699" w14:textId="77777777" w:rsidR="00DE4516" w:rsidRPr="00A46ADC" w:rsidRDefault="00DE4516" w:rsidP="00DE4516">
            <w:pPr>
              <w:pStyle w:val="TableBody"/>
              <w:autoSpaceDE w:val="0"/>
              <w:autoSpaceDN w:val="0"/>
              <w:adjustRightInd w:val="0"/>
              <w:jc w:val="right"/>
              <w:rPr>
                <w:rFonts w:cs="Calibri"/>
                <w:color w:val="000000"/>
                <w:szCs w:val="16"/>
              </w:rPr>
            </w:pPr>
            <w:r w:rsidRPr="00A46ADC">
              <w:t>12.7</w:t>
            </w:r>
          </w:p>
        </w:tc>
        <w:tc>
          <w:tcPr>
            <w:tcW w:w="446" w:type="pct"/>
            <w:noWrap/>
            <w:hideMark/>
          </w:tcPr>
          <w:p w14:paraId="3C7A7A08" w14:textId="77777777" w:rsidR="00DE4516" w:rsidRPr="00A46ADC" w:rsidRDefault="00DE4516" w:rsidP="00DE4516">
            <w:pPr>
              <w:pStyle w:val="TableBody"/>
              <w:autoSpaceDE w:val="0"/>
              <w:autoSpaceDN w:val="0"/>
              <w:adjustRightInd w:val="0"/>
              <w:jc w:val="right"/>
              <w:rPr>
                <w:rFonts w:cs="Calibri"/>
                <w:color w:val="000000"/>
                <w:szCs w:val="16"/>
              </w:rPr>
            </w:pPr>
            <w:r w:rsidRPr="00A46ADC">
              <w:t>10.5</w:t>
            </w:r>
          </w:p>
        </w:tc>
      </w:tr>
      <w:tr w:rsidR="00DE4516" w:rsidRPr="00045A4A" w14:paraId="0EBF694C" w14:textId="77777777" w:rsidTr="002F793E">
        <w:trPr>
          <w:cantSplit/>
        </w:trPr>
        <w:tc>
          <w:tcPr>
            <w:tcW w:w="1880" w:type="pct"/>
            <w:tcBorders>
              <w:bottom w:val="single" w:sz="4" w:space="0" w:color="auto"/>
            </w:tcBorders>
            <w:noWrap/>
            <w:hideMark/>
          </w:tcPr>
          <w:p w14:paraId="744D2B49" w14:textId="77777777" w:rsidR="00DE4516" w:rsidRPr="00A46ADC" w:rsidRDefault="00DE4516" w:rsidP="00DE4516">
            <w:pPr>
              <w:pStyle w:val="TableBody"/>
              <w:autoSpaceDE w:val="0"/>
              <w:autoSpaceDN w:val="0"/>
              <w:adjustRightInd w:val="0"/>
              <w:jc w:val="both"/>
              <w:rPr>
                <w:rFonts w:cs="Calibri"/>
                <w:color w:val="000000"/>
                <w:szCs w:val="16"/>
              </w:rPr>
            </w:pPr>
            <w:r w:rsidRPr="00A46ADC">
              <w:t>GCC</w:t>
            </w:r>
          </w:p>
        </w:tc>
        <w:tc>
          <w:tcPr>
            <w:tcW w:w="446" w:type="pct"/>
            <w:tcBorders>
              <w:bottom w:val="single" w:sz="4" w:space="0" w:color="auto"/>
            </w:tcBorders>
            <w:noWrap/>
            <w:hideMark/>
          </w:tcPr>
          <w:p w14:paraId="4F8297E3" w14:textId="77777777" w:rsidR="00DE4516" w:rsidRPr="00A46ADC" w:rsidRDefault="00DE4516" w:rsidP="00DE4516">
            <w:pPr>
              <w:pStyle w:val="TableBody"/>
              <w:autoSpaceDE w:val="0"/>
              <w:autoSpaceDN w:val="0"/>
              <w:adjustRightInd w:val="0"/>
              <w:jc w:val="right"/>
              <w:rPr>
                <w:rFonts w:cs="Calibri"/>
                <w:color w:val="000000"/>
                <w:szCs w:val="16"/>
              </w:rPr>
            </w:pPr>
            <w:r w:rsidRPr="00A46ADC">
              <w:t>39.3</w:t>
            </w:r>
          </w:p>
        </w:tc>
        <w:tc>
          <w:tcPr>
            <w:tcW w:w="446" w:type="pct"/>
            <w:tcBorders>
              <w:bottom w:val="single" w:sz="4" w:space="0" w:color="auto"/>
            </w:tcBorders>
            <w:noWrap/>
            <w:hideMark/>
          </w:tcPr>
          <w:p w14:paraId="6009CFC8" w14:textId="77777777" w:rsidR="00DE4516" w:rsidRPr="00A46ADC" w:rsidRDefault="00DE4516" w:rsidP="00DE4516">
            <w:pPr>
              <w:pStyle w:val="TableBody"/>
              <w:autoSpaceDE w:val="0"/>
              <w:autoSpaceDN w:val="0"/>
              <w:adjustRightInd w:val="0"/>
              <w:jc w:val="right"/>
              <w:rPr>
                <w:rFonts w:cs="Calibri"/>
                <w:color w:val="000000"/>
                <w:szCs w:val="16"/>
              </w:rPr>
            </w:pPr>
            <w:r w:rsidRPr="00A46ADC">
              <w:t>45.8</w:t>
            </w:r>
          </w:p>
        </w:tc>
        <w:tc>
          <w:tcPr>
            <w:tcW w:w="446" w:type="pct"/>
            <w:tcBorders>
              <w:bottom w:val="single" w:sz="4" w:space="0" w:color="auto"/>
            </w:tcBorders>
            <w:noWrap/>
            <w:hideMark/>
          </w:tcPr>
          <w:p w14:paraId="73751035" w14:textId="77777777" w:rsidR="00DE4516" w:rsidRPr="00A46ADC" w:rsidRDefault="00DE4516" w:rsidP="00DE4516">
            <w:pPr>
              <w:pStyle w:val="TableBody"/>
              <w:autoSpaceDE w:val="0"/>
              <w:autoSpaceDN w:val="0"/>
              <w:adjustRightInd w:val="0"/>
              <w:jc w:val="right"/>
              <w:rPr>
                <w:rFonts w:cs="Calibri"/>
                <w:color w:val="000000"/>
                <w:szCs w:val="16"/>
              </w:rPr>
            </w:pPr>
            <w:r w:rsidRPr="00A46ADC">
              <w:t>54.3</w:t>
            </w:r>
          </w:p>
        </w:tc>
        <w:tc>
          <w:tcPr>
            <w:tcW w:w="446" w:type="pct"/>
            <w:tcBorders>
              <w:bottom w:val="single" w:sz="4" w:space="0" w:color="auto"/>
            </w:tcBorders>
            <w:noWrap/>
            <w:hideMark/>
          </w:tcPr>
          <w:p w14:paraId="6CFBB850" w14:textId="77777777" w:rsidR="00DE4516" w:rsidRPr="00A46ADC" w:rsidRDefault="00DE4516" w:rsidP="00DE4516">
            <w:pPr>
              <w:pStyle w:val="TableBody"/>
              <w:autoSpaceDE w:val="0"/>
              <w:autoSpaceDN w:val="0"/>
              <w:adjustRightInd w:val="0"/>
              <w:jc w:val="right"/>
              <w:rPr>
                <w:rFonts w:cs="Calibri"/>
                <w:color w:val="000000"/>
                <w:szCs w:val="16"/>
              </w:rPr>
            </w:pPr>
            <w:r w:rsidRPr="00A46ADC">
              <w:t>48.9</w:t>
            </w:r>
          </w:p>
        </w:tc>
        <w:tc>
          <w:tcPr>
            <w:tcW w:w="446" w:type="pct"/>
            <w:tcBorders>
              <w:bottom w:val="single" w:sz="4" w:space="0" w:color="auto"/>
            </w:tcBorders>
            <w:noWrap/>
            <w:hideMark/>
          </w:tcPr>
          <w:p w14:paraId="0FDAC708" w14:textId="77777777" w:rsidR="00DE4516" w:rsidRPr="00A46ADC" w:rsidRDefault="00DE4516" w:rsidP="00DE4516">
            <w:pPr>
              <w:pStyle w:val="TableBody"/>
              <w:autoSpaceDE w:val="0"/>
              <w:autoSpaceDN w:val="0"/>
              <w:adjustRightInd w:val="0"/>
              <w:jc w:val="right"/>
              <w:rPr>
                <w:rFonts w:cs="Calibri"/>
                <w:color w:val="000000"/>
                <w:szCs w:val="16"/>
              </w:rPr>
            </w:pPr>
            <w:r w:rsidRPr="00A46ADC">
              <w:t>55.6</w:t>
            </w:r>
          </w:p>
        </w:tc>
        <w:tc>
          <w:tcPr>
            <w:tcW w:w="446" w:type="pct"/>
            <w:tcBorders>
              <w:bottom w:val="single" w:sz="4" w:space="0" w:color="auto"/>
            </w:tcBorders>
            <w:noWrap/>
            <w:hideMark/>
          </w:tcPr>
          <w:p w14:paraId="57123C05" w14:textId="77777777" w:rsidR="00DE4516" w:rsidRPr="00A46ADC" w:rsidRDefault="00DE4516" w:rsidP="00DE4516">
            <w:pPr>
              <w:pStyle w:val="TableBody"/>
              <w:autoSpaceDE w:val="0"/>
              <w:autoSpaceDN w:val="0"/>
              <w:adjustRightInd w:val="0"/>
              <w:jc w:val="right"/>
              <w:rPr>
                <w:rFonts w:cs="Calibri"/>
                <w:color w:val="000000"/>
                <w:szCs w:val="16"/>
              </w:rPr>
            </w:pPr>
            <w:r w:rsidRPr="00A46ADC">
              <w:t>52.0</w:t>
            </w:r>
          </w:p>
        </w:tc>
        <w:tc>
          <w:tcPr>
            <w:tcW w:w="446" w:type="pct"/>
            <w:tcBorders>
              <w:bottom w:val="single" w:sz="4" w:space="0" w:color="auto"/>
            </w:tcBorders>
            <w:noWrap/>
            <w:hideMark/>
          </w:tcPr>
          <w:p w14:paraId="71957BE8" w14:textId="77777777" w:rsidR="00DE4516" w:rsidRPr="00A46ADC" w:rsidRDefault="00DE4516" w:rsidP="00DE4516">
            <w:pPr>
              <w:pStyle w:val="TableBody"/>
              <w:autoSpaceDE w:val="0"/>
              <w:autoSpaceDN w:val="0"/>
              <w:adjustRightInd w:val="0"/>
              <w:jc w:val="right"/>
              <w:rPr>
                <w:rFonts w:cs="Calibri"/>
                <w:color w:val="000000"/>
                <w:szCs w:val="16"/>
              </w:rPr>
            </w:pPr>
            <w:r w:rsidRPr="00A46ADC">
              <w:t>53.5</w:t>
            </w:r>
          </w:p>
        </w:tc>
      </w:tr>
    </w:tbl>
    <w:p w14:paraId="428763F9" w14:textId="45219443" w:rsidR="00DE4516" w:rsidRDefault="00DE4516">
      <w:pPr>
        <w:pStyle w:val="TableNote"/>
        <w:autoSpaceDE w:val="0"/>
        <w:autoSpaceDN w:val="0"/>
        <w:adjustRightInd w:val="0"/>
        <w:contextualSpacing w:val="0"/>
      </w:pPr>
      <w:r>
        <w:t>a</w:t>
      </w:r>
      <w:r>
        <w:tab/>
        <w:t>Commonwealth of Independent States, including certain associate and former member States.</w:t>
      </w:r>
    </w:p>
    <w:p w14:paraId="5F132B56" w14:textId="77777777" w:rsidR="00DE4516" w:rsidRDefault="00DE4516">
      <w:pPr>
        <w:pStyle w:val="TableSource"/>
        <w:autoSpaceDE w:val="0"/>
        <w:autoSpaceDN w:val="0"/>
        <w:adjustRightInd w:val="0"/>
        <w:rPr>
          <w:szCs w:val="24"/>
        </w:rPr>
      </w:pPr>
      <w:r>
        <w:rPr>
          <w:szCs w:val="24"/>
        </w:rPr>
        <w:t>Source:</w:t>
      </w:r>
      <w:r>
        <w:rPr>
          <w:szCs w:val="24"/>
        </w:rPr>
        <w:tab/>
        <w:t>Information provided by the authorities.</w:t>
      </w:r>
    </w:p>
    <w:p w14:paraId="7D7260F3" w14:textId="60E2420D" w:rsidR="00DE4516" w:rsidRDefault="00DE4516">
      <w:pPr>
        <w:pStyle w:val="Non-XMLText"/>
        <w:autoSpaceDE w:val="0"/>
        <w:autoSpaceDN w:val="0"/>
        <w:adjustRightInd w:val="0"/>
      </w:pPr>
      <w:r>
        <w:t>__________</w:t>
      </w:r>
    </w:p>
    <w:p w14:paraId="630CE32F" w14:textId="77777777" w:rsidR="007F015E" w:rsidRDefault="007F015E" w:rsidP="007F015E">
      <w:pPr>
        <w:pStyle w:val="Non-XMLText"/>
      </w:pPr>
    </w:p>
    <w:sectPr w:rsidR="007F015E" w:rsidSect="0063306A">
      <w:footerReference w:type="default" r:id="rId33"/>
      <w:footnotePr>
        <w:numRestart w:val="eachSect"/>
      </w:footnotePr>
      <w:pgSz w:w="11906" w:h="16838" w:code="9"/>
      <w:pgMar w:top="1701"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8">
      <wne:wch wne:val="00000153"/>
    </wne:keymap>
    <wne:keymap wne:kcmPrimary="02BA">
      <wne:wch wne:val="000000C8"/>
    </wne:keymap>
    <wne:keymap wne:kcmPrimary="02DC">
      <wne:wch wne:val="000000C0"/>
    </wne:keymap>
    <wne:keymap wne:kcmPrimary="02DE">
      <wne:wch wne:val="000000C9"/>
    </wne:keymap>
    <wne:keymap wne:kcmPrimary="044E">
      <wne:acd wne:acdName="acd4"/>
    </wne:keymap>
    <wne:keymap wne:kcmPrimary="0650">
      <wne:fci wne:fciName="FormatParagraph" wne:swArg="0000"/>
    </wne:keymap>
    <wne:keymap wne:kcmPrimary="0678">
      <wne:acd wne:acdName="acd0"/>
    </wne:keymap>
    <wne:keymap wne:kcmPrimary="0679">
      <wne:acd wne:acdName="acd1"/>
    </wne:keymap>
    <wne:keymap wne:kcmPrimary="067A">
      <wne:acd wne:acdName="acd2"/>
    </wne:keymap>
    <wne:keymap wne:kcmPrimary="067B">
      <wne:acd wne:acdName="acd3"/>
    </wne:keymap>
  </wne:keymaps>
  <wne:toolbars>
    <wne:acdManifest>
      <wne:acdEntry wne:acdName="acd0"/>
      <wne:acdEntry wne:acdName="acd1"/>
      <wne:acdEntry wne:acdName="acd2"/>
      <wne:acdEntry wne:acdName="acd3"/>
      <wne:acdEntry wne:acdName="acd4"/>
    </wne:acdManifest>
  </wne:toolbars>
  <wne:acds>
    <wne:acd wne:argValue="AQAAAD4A" wne:acdName="acd0" wne:fciIndexBasedOn="0065"/>
    <wne:acd wne:argValue="AgBUAGkAdABsAGUAIAAyAA==" wne:acdName="acd1" wne:fciIndexBasedOn="0065"/>
    <wne:acd wne:argValue="AgBUAGkAdABsAGUAIAAzAA==" wne:acdName="acd2" wne:fciIndexBasedOn="0065"/>
    <wne:acd wne:argValue="AgBUAGkAdABsAGUAIABDAG8AdQBuAHQAcgB5A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F1759" w14:textId="77777777" w:rsidR="001E319B" w:rsidRDefault="001E319B" w:rsidP="00F11D45">
      <w:r>
        <w:separator/>
      </w:r>
    </w:p>
  </w:endnote>
  <w:endnote w:type="continuationSeparator" w:id="0">
    <w:p w14:paraId="5786CFB6" w14:textId="77777777" w:rsidR="001E319B" w:rsidRDefault="001E319B" w:rsidP="00F1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C48D6" w14:textId="77777777" w:rsidR="00DE4516" w:rsidRPr="008D50D5" w:rsidRDefault="00DE4516" w:rsidP="008D50D5">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9CD6" w14:textId="77777777" w:rsidR="00DE4516" w:rsidRPr="008D50D5" w:rsidRDefault="00DE4516" w:rsidP="008D50D5">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4900" w14:textId="77777777" w:rsidR="00DE4516" w:rsidRPr="001777CE" w:rsidRDefault="00DE4516" w:rsidP="0063306A">
    <w:pPr>
      <w:pStyle w:val="Footer"/>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6D69" w14:textId="03B9CE83" w:rsidR="00974C73" w:rsidRPr="001777CE" w:rsidRDefault="00974C73" w:rsidP="0063306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ABB8" w14:textId="77777777" w:rsidR="001E319B" w:rsidRDefault="001E319B" w:rsidP="00F11D45">
      <w:r>
        <w:separator/>
      </w:r>
    </w:p>
  </w:footnote>
  <w:footnote w:type="continuationSeparator" w:id="0">
    <w:p w14:paraId="38D2C44C" w14:textId="77777777" w:rsidR="001E319B" w:rsidRDefault="001E319B" w:rsidP="00F11D45">
      <w:r>
        <w:continuationSeparator/>
      </w:r>
    </w:p>
  </w:footnote>
  <w:footnote w:id="1">
    <w:p w14:paraId="27FE3AE5" w14:textId="77777777" w:rsidR="00DE4516" w:rsidRDefault="00DE4516" w:rsidP="00E850BB">
      <w:pPr>
        <w:pStyle w:val="FootnoteText"/>
      </w:pPr>
      <w:r>
        <w:rPr>
          <w:rStyle w:val="FootnoteReference"/>
        </w:rPr>
        <w:footnoteRef/>
      </w:r>
      <w:r>
        <w:t xml:space="preserve"> In the </w:t>
      </w:r>
      <w:r w:rsidRPr="004849DB">
        <w:t xml:space="preserve">Musandam </w:t>
      </w:r>
      <w:r>
        <w:t xml:space="preserve">Governorate, Oman shares a maritime border with the Islamic Republic of Iran through </w:t>
      </w:r>
      <w:r w:rsidRPr="004849DB">
        <w:t>the Strait of</w:t>
      </w:r>
      <w:r>
        <w:t xml:space="preserve"> H</w:t>
      </w:r>
      <w:r w:rsidRPr="004849DB">
        <w:t>ormuz</w:t>
      </w:r>
      <w:r>
        <w:t>.</w:t>
      </w:r>
    </w:p>
  </w:footnote>
  <w:footnote w:id="2">
    <w:p w14:paraId="5F263D54" w14:textId="77777777" w:rsidR="00DE4516" w:rsidRDefault="00DE4516" w:rsidP="00E850BB">
      <w:pPr>
        <w:pStyle w:val="FootnoteText"/>
      </w:pPr>
      <w:r>
        <w:rPr>
          <w:rStyle w:val="FootnoteReference"/>
        </w:rPr>
        <w:footnoteRef/>
      </w:r>
      <w:r>
        <w:t xml:space="preserve"> World Bank, </w:t>
      </w:r>
      <w:r w:rsidRPr="00DE67AE">
        <w:rPr>
          <w:i/>
          <w:iCs/>
        </w:rPr>
        <w:t>World Bank Country and Lending Groups</w:t>
      </w:r>
      <w:r>
        <w:t xml:space="preserve">. Viewed at: </w:t>
      </w:r>
      <w:hyperlink r:id="rId1" w:anchor="High_income" w:history="1">
        <w:r w:rsidRPr="00D5600E">
          <w:rPr>
            <w:color w:val="0000FF"/>
            <w:u w:val="single"/>
          </w:rPr>
          <w:t>https://datahelpdesk.worldbank.org/knowledgebase/articles/906519#High_income</w:t>
        </w:r>
      </w:hyperlink>
      <w:r>
        <w:t>.</w:t>
      </w:r>
    </w:p>
  </w:footnote>
  <w:footnote w:id="3">
    <w:p w14:paraId="590BAD0F" w14:textId="77777777" w:rsidR="00DE4516" w:rsidRDefault="00DE4516" w:rsidP="00E850BB">
      <w:pPr>
        <w:pStyle w:val="FootnoteText"/>
      </w:pPr>
      <w:r>
        <w:rPr>
          <w:rStyle w:val="FootnoteReference"/>
        </w:rPr>
        <w:footnoteRef/>
      </w:r>
      <w:r>
        <w:t xml:space="preserve"> </w:t>
      </w:r>
      <w:r>
        <w:rPr>
          <w:rFonts w:eastAsiaTheme="minorEastAsia"/>
          <w:lang w:eastAsia="zh-CN"/>
        </w:rPr>
        <w:t>The authorities note that growth of the non-Omani expatriate population is negatively correlated to oil prices.</w:t>
      </w:r>
    </w:p>
  </w:footnote>
  <w:footnote w:id="4">
    <w:p w14:paraId="2FFB07B8" w14:textId="77777777" w:rsidR="00DE4516" w:rsidRDefault="00DE4516" w:rsidP="00E850BB">
      <w:pPr>
        <w:pStyle w:val="FootnoteText"/>
      </w:pPr>
      <w:r>
        <w:rPr>
          <w:rStyle w:val="FootnoteReference"/>
        </w:rPr>
        <w:footnoteRef/>
      </w:r>
      <w:r>
        <w:t xml:space="preserve"> The ratio is presented as a </w:t>
      </w:r>
      <w:r w:rsidRPr="00C81DFF">
        <w:t>percentage</w:t>
      </w:r>
      <w:r>
        <w:t>, comparing</w:t>
      </w:r>
      <w:r w:rsidRPr="00C81DFF">
        <w:t xml:space="preserve"> </w:t>
      </w:r>
      <w:r>
        <w:t>the number of</w:t>
      </w:r>
      <w:r w:rsidRPr="00C81DFF">
        <w:t xml:space="preserve"> children </w:t>
      </w:r>
      <w:r>
        <w:t>and</w:t>
      </w:r>
      <w:r w:rsidRPr="00C81DFF">
        <w:t xml:space="preserve"> the elderly to the </w:t>
      </w:r>
      <w:r>
        <w:t xml:space="preserve">that of the </w:t>
      </w:r>
      <w:r w:rsidRPr="00C81DFF">
        <w:t>working population</w:t>
      </w:r>
      <w:r>
        <w:t>.</w:t>
      </w:r>
    </w:p>
  </w:footnote>
  <w:footnote w:id="5">
    <w:p w14:paraId="4C63ED91" w14:textId="77777777" w:rsidR="00DE4516" w:rsidRDefault="00DE4516" w:rsidP="00E850BB">
      <w:pPr>
        <w:pStyle w:val="FootnoteText"/>
      </w:pPr>
      <w:r>
        <w:rPr>
          <w:rStyle w:val="FootnoteReference"/>
        </w:rPr>
        <w:footnoteRef/>
      </w:r>
      <w:r>
        <w:t xml:space="preserve"> Foreign Ministry of Oman, </w:t>
      </w:r>
      <w:r w:rsidRPr="004C5D52">
        <w:rPr>
          <w:i/>
          <w:iCs/>
        </w:rPr>
        <w:t>About Oman: Geography</w:t>
      </w:r>
      <w:r>
        <w:t xml:space="preserve">. Viewed at: </w:t>
      </w:r>
      <w:hyperlink r:id="rId2" w:history="1">
        <w:r w:rsidRPr="00D5600E">
          <w:rPr>
            <w:color w:val="0000FF"/>
            <w:u w:val="single"/>
          </w:rPr>
          <w:t>https://fm.gov.om/about-oman/state/geography/</w:t>
        </w:r>
      </w:hyperlink>
      <w:r>
        <w:t>.</w:t>
      </w:r>
    </w:p>
  </w:footnote>
  <w:footnote w:id="6">
    <w:p w14:paraId="309DB7B5" w14:textId="77777777" w:rsidR="00DE4516" w:rsidRDefault="00DE4516" w:rsidP="00996F6D">
      <w:pPr>
        <w:pStyle w:val="FootnoteText"/>
      </w:pPr>
      <w:r>
        <w:rPr>
          <w:rStyle w:val="FootnoteReference"/>
        </w:rPr>
        <w:footnoteRef/>
      </w:r>
      <w:r>
        <w:t xml:space="preserve"> OPEC, "</w:t>
      </w:r>
      <w:r w:rsidRPr="002A5F83">
        <w:t xml:space="preserve">Declaration of Cooperation", </w:t>
      </w:r>
      <w:r>
        <w:t xml:space="preserve">press release, </w:t>
      </w:r>
      <w:r w:rsidRPr="002A5F83">
        <w:t>30 Nov</w:t>
      </w:r>
      <w:r>
        <w:t>ember</w:t>
      </w:r>
      <w:r w:rsidRPr="002A5F83">
        <w:t xml:space="preserve"> 2017</w:t>
      </w:r>
      <w:r>
        <w:t xml:space="preserve">. Viewed at: </w:t>
      </w:r>
      <w:hyperlink r:id="rId3" w:history="1">
        <w:r w:rsidRPr="00D5600E">
          <w:rPr>
            <w:color w:val="0000FF"/>
            <w:u w:val="single"/>
          </w:rPr>
          <w:t>https://www.opec.org/opec_web/en/press_room/4696.htm</w:t>
        </w:r>
      </w:hyperlink>
      <w:r>
        <w:t>; and "T</w:t>
      </w:r>
      <w:r w:rsidRPr="002A5F83">
        <w:t>he 10th (Extraordinary) OPEC and Non-OPEC Ministerial Meeting Concludes</w:t>
      </w:r>
      <w:r>
        <w:t>", press release,</w:t>
      </w:r>
      <w:r w:rsidRPr="002A5F83">
        <w:t xml:space="preserve"> 12 Apr</w:t>
      </w:r>
      <w:r>
        <w:t>il</w:t>
      </w:r>
      <w:r w:rsidRPr="002A5F83">
        <w:t xml:space="preserve"> 2020</w:t>
      </w:r>
      <w:r>
        <w:t xml:space="preserve">. Viewed at: </w:t>
      </w:r>
      <w:hyperlink r:id="rId4" w:history="1">
        <w:r w:rsidRPr="00D5600E">
          <w:rPr>
            <w:color w:val="0000FF"/>
            <w:u w:val="single"/>
          </w:rPr>
          <w:t>https://www.opec.org/opec_web/en/press_room/5891.htm</w:t>
        </w:r>
      </w:hyperlink>
      <w:r>
        <w:t>.</w:t>
      </w:r>
    </w:p>
  </w:footnote>
  <w:footnote w:id="7">
    <w:p w14:paraId="2D9D610A" w14:textId="77777777" w:rsidR="00DE4516" w:rsidRDefault="00DE4516" w:rsidP="00996F6D">
      <w:pPr>
        <w:pStyle w:val="FootnoteText"/>
      </w:pPr>
      <w:r>
        <w:rPr>
          <w:rStyle w:val="FootnoteReference"/>
        </w:rPr>
        <w:footnoteRef/>
      </w:r>
      <w:r>
        <w:t xml:space="preserve"> </w:t>
      </w:r>
      <w:r w:rsidRPr="000F47D1">
        <w:t>S&amp;P Global Platts</w:t>
      </w:r>
      <w:r>
        <w:t xml:space="preserve">, </w:t>
      </w:r>
      <w:r w:rsidRPr="000F47D1">
        <w:rPr>
          <w:i/>
          <w:iCs/>
        </w:rPr>
        <w:t xml:space="preserve">Oman </w:t>
      </w:r>
      <w:r>
        <w:rPr>
          <w:i/>
          <w:iCs/>
        </w:rPr>
        <w:t>R</w:t>
      </w:r>
      <w:r w:rsidRPr="000F47D1">
        <w:rPr>
          <w:i/>
          <w:iCs/>
        </w:rPr>
        <w:t xml:space="preserve">eveals </w:t>
      </w:r>
      <w:r>
        <w:rPr>
          <w:i/>
          <w:iCs/>
        </w:rPr>
        <w:t>O</w:t>
      </w:r>
      <w:r w:rsidRPr="000F47D1">
        <w:rPr>
          <w:i/>
          <w:iCs/>
        </w:rPr>
        <w:t xml:space="preserve">il </w:t>
      </w:r>
      <w:r>
        <w:rPr>
          <w:i/>
          <w:iCs/>
        </w:rPr>
        <w:t>P</w:t>
      </w:r>
      <w:r w:rsidRPr="000F47D1">
        <w:rPr>
          <w:i/>
          <w:iCs/>
        </w:rPr>
        <w:t xml:space="preserve">roduction </w:t>
      </w:r>
      <w:r>
        <w:rPr>
          <w:i/>
          <w:iCs/>
        </w:rPr>
        <w:t>C</w:t>
      </w:r>
      <w:r w:rsidRPr="000F47D1">
        <w:rPr>
          <w:i/>
          <w:iCs/>
        </w:rPr>
        <w:t xml:space="preserve">ut </w:t>
      </w:r>
      <w:r>
        <w:rPr>
          <w:i/>
          <w:iCs/>
        </w:rPr>
        <w:t>P</w:t>
      </w:r>
      <w:r w:rsidRPr="000F47D1">
        <w:rPr>
          <w:i/>
          <w:iCs/>
        </w:rPr>
        <w:t xml:space="preserve">lans under OPEC+ </w:t>
      </w:r>
      <w:r>
        <w:rPr>
          <w:i/>
          <w:iCs/>
        </w:rPr>
        <w:t>D</w:t>
      </w:r>
      <w:r w:rsidRPr="000F47D1">
        <w:rPr>
          <w:i/>
          <w:iCs/>
        </w:rPr>
        <w:t>eal</w:t>
      </w:r>
      <w:r>
        <w:t xml:space="preserve">, </w:t>
      </w:r>
      <w:r w:rsidRPr="00142F56">
        <w:t>27 Apr</w:t>
      </w:r>
      <w:r>
        <w:t>il</w:t>
      </w:r>
      <w:r w:rsidRPr="00142F56">
        <w:t xml:space="preserve"> 2020</w:t>
      </w:r>
      <w:r>
        <w:t>.</w:t>
      </w:r>
      <w:r w:rsidRPr="00142F56">
        <w:t xml:space="preserve"> </w:t>
      </w:r>
      <w:r>
        <w:t xml:space="preserve">Viewed at: </w:t>
      </w:r>
      <w:hyperlink r:id="rId5" w:history="1">
        <w:r w:rsidRPr="00D5600E">
          <w:rPr>
            <w:color w:val="0000FF"/>
            <w:u w:val="single"/>
          </w:rPr>
          <w:t>https://www.spglobal.com/platts/en/market-insights/latest-news/oil/042720-oman-reveals-oil-production-cut-plans-under-opec-deal</w:t>
        </w:r>
      </w:hyperlink>
      <w:r>
        <w:t>.</w:t>
      </w:r>
    </w:p>
  </w:footnote>
  <w:footnote w:id="8">
    <w:p w14:paraId="09A07EA6" w14:textId="77777777" w:rsidR="00DE4516" w:rsidRDefault="00DE4516" w:rsidP="00996F6D">
      <w:pPr>
        <w:pStyle w:val="FootnoteText"/>
      </w:pPr>
      <w:r>
        <w:rPr>
          <w:rStyle w:val="FootnoteReference"/>
        </w:rPr>
        <w:footnoteRef/>
      </w:r>
      <w:r>
        <w:t xml:space="preserve"> IEA (2021), </w:t>
      </w:r>
      <w:r w:rsidRPr="004506E7">
        <w:rPr>
          <w:i/>
          <w:iCs/>
        </w:rPr>
        <w:t>Oil 2021</w:t>
      </w:r>
      <w:r>
        <w:t xml:space="preserve">. Viewed at: </w:t>
      </w:r>
      <w:hyperlink r:id="rId6" w:history="1">
        <w:r w:rsidRPr="00D5600E">
          <w:rPr>
            <w:color w:val="0000FF"/>
            <w:u w:val="single"/>
          </w:rPr>
          <w:t>https://iea.blob.core.windows.net/assets/1fa45234-bac5-4d89-a532-768960f99d07/Oil_2021-PDF.pdf</w:t>
        </w:r>
      </w:hyperlink>
      <w:r>
        <w:t>.</w:t>
      </w:r>
    </w:p>
  </w:footnote>
  <w:footnote w:id="9">
    <w:p w14:paraId="6D275AC1" w14:textId="77777777" w:rsidR="00DE4516" w:rsidRDefault="00DE4516" w:rsidP="00996F6D">
      <w:pPr>
        <w:pStyle w:val="FootnoteText"/>
      </w:pPr>
      <w:r>
        <w:rPr>
          <w:rStyle w:val="FootnoteReference"/>
        </w:rPr>
        <w:footnoteRef/>
      </w:r>
      <w:r>
        <w:t xml:space="preserve"> T</w:t>
      </w:r>
      <w:r w:rsidRPr="00B140D1">
        <w:t>here appears to be a broad consensus that oil prices are likely to remain</w:t>
      </w:r>
      <w:r>
        <w:t xml:space="preserve"> low</w:t>
      </w:r>
      <w:r w:rsidRPr="00B140D1">
        <w:t>, at least in the medium term. This expectation has been validated so far as the price has remained well below its pre-2014 level</w:t>
      </w:r>
      <w:r>
        <w:t>,</w:t>
      </w:r>
      <w:r w:rsidRPr="00B140D1">
        <w:t xml:space="preserve"> despite some recovery from the initial plunge</w:t>
      </w:r>
      <w:r>
        <w:t xml:space="preserve"> of June 2014. IMF (2020), </w:t>
      </w:r>
      <w:r w:rsidRPr="00D4255C">
        <w:rPr>
          <w:i/>
          <w:iCs/>
        </w:rPr>
        <w:t>The Future of Oil and Fiscal Sustainability in the GCC Region</w:t>
      </w:r>
      <w:r>
        <w:t xml:space="preserve">. Viewed at: </w:t>
      </w:r>
      <w:hyperlink r:id="rId7" w:history="1">
        <w:r w:rsidRPr="00D5600E">
          <w:rPr>
            <w:color w:val="0000FF"/>
            <w:u w:val="single"/>
          </w:rPr>
          <w:t>https://www.imf.org/-/media/Files/Publications/DP/2020/English/ FOFSGCCEA.ashx</w:t>
        </w:r>
      </w:hyperlink>
      <w:r>
        <w:t>.</w:t>
      </w:r>
    </w:p>
  </w:footnote>
  <w:footnote w:id="10">
    <w:p w14:paraId="19D17DA6" w14:textId="77777777" w:rsidR="00DE4516" w:rsidRDefault="00DE4516" w:rsidP="00E850BB">
      <w:pPr>
        <w:pStyle w:val="FootnoteText"/>
      </w:pPr>
      <w:r>
        <w:rPr>
          <w:rStyle w:val="FootnoteReference"/>
        </w:rPr>
        <w:footnoteRef/>
      </w:r>
      <w:r>
        <w:t xml:space="preserve"> Ministry of Finance, Economic Stimulus Plan. Viewed at: </w:t>
      </w:r>
      <w:hyperlink r:id="rId8" w:history="1">
        <w:r w:rsidRPr="00D5600E">
          <w:rPr>
            <w:color w:val="0000FF"/>
            <w:u w:val="single"/>
          </w:rPr>
          <w:t>https://mof.gov.om/Portals/1/documents/Tawazon/Economic%20Stimulus%20Plan.pdf</w:t>
        </w:r>
      </w:hyperlink>
      <w:r>
        <w:t>.</w:t>
      </w:r>
    </w:p>
  </w:footnote>
  <w:footnote w:id="11">
    <w:p w14:paraId="14CE1390" w14:textId="77777777" w:rsidR="00DE4516" w:rsidRDefault="00DE4516" w:rsidP="00E850BB">
      <w:pPr>
        <w:pStyle w:val="FootnoteText"/>
      </w:pPr>
      <w:r>
        <w:rPr>
          <w:rStyle w:val="FootnoteReference"/>
        </w:rPr>
        <w:footnoteRef/>
      </w:r>
      <w:r>
        <w:t xml:space="preserve"> IMF (2020), </w:t>
      </w:r>
      <w:r w:rsidRPr="000754E0">
        <w:rPr>
          <w:i/>
          <w:iCs/>
        </w:rPr>
        <w:t>Economic Prospects and Policy Challenge for the GCC Countries</w:t>
      </w:r>
      <w:r>
        <w:t>. Viewed at:</w:t>
      </w:r>
      <w:r w:rsidRPr="000754E0">
        <w:t xml:space="preserve"> </w:t>
      </w:r>
      <w:hyperlink r:id="rId9" w:history="1">
        <w:r w:rsidRPr="00D5600E">
          <w:rPr>
            <w:color w:val="0000FF"/>
            <w:u w:val="single"/>
          </w:rPr>
          <w:t>https://www.imf.org/-/media/Files/Publications/PP/2020/English/PPEA2020065.ashx</w:t>
        </w:r>
      </w:hyperlink>
      <w:r>
        <w:t>.</w:t>
      </w:r>
    </w:p>
  </w:footnote>
  <w:footnote w:id="12">
    <w:p w14:paraId="40D12F03" w14:textId="77777777" w:rsidR="00DE4516" w:rsidRDefault="00DE4516" w:rsidP="00E850BB">
      <w:pPr>
        <w:pStyle w:val="FootnoteText"/>
      </w:pPr>
      <w:r>
        <w:rPr>
          <w:rStyle w:val="FootnoteReference"/>
        </w:rPr>
        <w:footnoteRef/>
      </w:r>
      <w:r>
        <w:t xml:space="preserve"> </w:t>
      </w:r>
      <w:r w:rsidRPr="00392C13">
        <w:t xml:space="preserve">Inflation </w:t>
      </w:r>
      <w:r>
        <w:t xml:space="preserve">in 2020 </w:t>
      </w:r>
      <w:r w:rsidRPr="00392C13">
        <w:t>turned slightly negative owing to subdued demand.</w:t>
      </w:r>
    </w:p>
  </w:footnote>
  <w:footnote w:id="13">
    <w:p w14:paraId="34056CAB" w14:textId="77777777" w:rsidR="00DE4516" w:rsidRDefault="00DE4516" w:rsidP="00E850BB">
      <w:pPr>
        <w:pStyle w:val="FootnoteText"/>
      </w:pPr>
      <w:r>
        <w:rPr>
          <w:rStyle w:val="FootnoteReference"/>
        </w:rPr>
        <w:footnoteRef/>
      </w:r>
      <w:r>
        <w:t xml:space="preserve"> CBO, </w:t>
      </w:r>
      <w:r w:rsidRPr="000E224D">
        <w:rPr>
          <w:i/>
          <w:iCs/>
        </w:rPr>
        <w:t>Monetary Policy: Liquidity Management</w:t>
      </w:r>
      <w:r>
        <w:t xml:space="preserve">. Viewed at: </w:t>
      </w:r>
      <w:hyperlink r:id="rId10" w:history="1">
        <w:r w:rsidRPr="00D5600E">
          <w:rPr>
            <w:color w:val="0000FF"/>
            <w:u w:val="single"/>
          </w:rPr>
          <w:t>https://cbo.gov.om/Pages/LiquidityManagement.aspx</w:t>
        </w:r>
      </w:hyperlink>
      <w:r>
        <w:t>.</w:t>
      </w:r>
    </w:p>
  </w:footnote>
  <w:footnote w:id="14">
    <w:p w14:paraId="4F26A926" w14:textId="77777777" w:rsidR="00DE4516" w:rsidRDefault="00DE4516" w:rsidP="00E850BB">
      <w:pPr>
        <w:pStyle w:val="FootnoteText"/>
      </w:pPr>
      <w:r>
        <w:rPr>
          <w:rStyle w:val="FootnoteReference"/>
        </w:rPr>
        <w:footnoteRef/>
      </w:r>
      <w:r>
        <w:t xml:space="preserve"> CBO, </w:t>
      </w:r>
      <w:r w:rsidRPr="00460A1D">
        <w:rPr>
          <w:i/>
          <w:iCs/>
        </w:rPr>
        <w:t>Monthly Statistical Bulletin</w:t>
      </w:r>
      <w:r>
        <w:t xml:space="preserve">, various volumes. Viewed at: </w:t>
      </w:r>
      <w:hyperlink r:id="rId11" w:history="1">
        <w:r w:rsidRPr="00D5600E">
          <w:rPr>
            <w:color w:val="0000FF"/>
            <w:u w:val="single"/>
          </w:rPr>
          <w:t>https://cbo.gov.om/Pages/MonthlyBulletins.aspx</w:t>
        </w:r>
      </w:hyperlink>
      <w:r>
        <w:t>.</w:t>
      </w:r>
    </w:p>
  </w:footnote>
  <w:footnote w:id="15">
    <w:p w14:paraId="1933E628" w14:textId="77777777" w:rsidR="00DE4516" w:rsidRDefault="00DE4516" w:rsidP="00E850BB">
      <w:pPr>
        <w:pStyle w:val="FootnoteText"/>
      </w:pPr>
      <w:r>
        <w:rPr>
          <w:rStyle w:val="FootnoteReference"/>
        </w:rPr>
        <w:footnoteRef/>
      </w:r>
      <w:r>
        <w:t xml:space="preserve"> </w:t>
      </w:r>
      <w:r w:rsidRPr="00007D97">
        <w:t xml:space="preserve">Adedeji </w:t>
      </w:r>
      <w:r w:rsidRPr="006F0D9D">
        <w:t>et al</w:t>
      </w:r>
      <w:r>
        <w:t xml:space="preserve">. (2019), </w:t>
      </w:r>
      <w:r w:rsidRPr="00F47897">
        <w:rPr>
          <w:i/>
          <w:iCs/>
        </w:rPr>
        <w:t>U.S. Monetary Policy Spillovers to GCC Countries: Do Oil Prices Matter?</w:t>
      </w:r>
      <w:r>
        <w:t xml:space="preserve"> IMF Working Paper WP/19/304</w:t>
      </w:r>
      <w:r w:rsidRPr="008F7670">
        <w:t>. Viewed at:</w:t>
      </w:r>
      <w:r>
        <w:t xml:space="preserve"> </w:t>
      </w:r>
      <w:hyperlink r:id="rId12" w:history="1">
        <w:r w:rsidRPr="00D5600E">
          <w:rPr>
            <w:color w:val="0000FF"/>
            <w:u w:val="single"/>
          </w:rPr>
          <w:t>https://www.imf.org/-/media/Files/Publications/WP/2019/wpiea2019304-print-pdf.ashx</w:t>
        </w:r>
      </w:hyperlink>
      <w:r>
        <w:t>.</w:t>
      </w:r>
    </w:p>
  </w:footnote>
  <w:footnote w:id="16">
    <w:p w14:paraId="77114DB7" w14:textId="77777777" w:rsidR="00DE4516" w:rsidRDefault="00DE4516" w:rsidP="00E850BB">
      <w:pPr>
        <w:pStyle w:val="FootnoteText"/>
      </w:pPr>
      <w:r>
        <w:rPr>
          <w:rStyle w:val="FootnoteReference"/>
        </w:rPr>
        <w:footnoteRef/>
      </w:r>
      <w:r>
        <w:t xml:space="preserve"> </w:t>
      </w:r>
      <w:r w:rsidRPr="002A705D">
        <w:t>Since the 2014 oil price shock, macroeconomic vulnerabilities continued to rise, with government and external debt increasing further, while some fiscal reforms were delayed.</w:t>
      </w:r>
      <w:r>
        <w:t xml:space="preserve"> </w:t>
      </w:r>
      <w:r w:rsidRPr="002A705D">
        <w:t>Higher vulnerabilities have led to new sovereign credit downgrades and increases in sovereign risk premia.</w:t>
      </w:r>
    </w:p>
  </w:footnote>
  <w:footnote w:id="17">
    <w:p w14:paraId="6DDF66BB" w14:textId="77777777" w:rsidR="00DE4516" w:rsidRDefault="00DE4516" w:rsidP="00E850BB">
      <w:pPr>
        <w:pStyle w:val="FootnoteText"/>
      </w:pPr>
      <w:r>
        <w:rPr>
          <w:rStyle w:val="FootnoteReference"/>
        </w:rPr>
        <w:footnoteRef/>
      </w:r>
      <w:r>
        <w:t xml:space="preserve"> Ministry of Economy, </w:t>
      </w:r>
      <w:r w:rsidRPr="00A72299">
        <w:rPr>
          <w:i/>
          <w:iCs/>
        </w:rPr>
        <w:t>Ninth Five-Year Plan</w:t>
      </w:r>
      <w:r>
        <w:t>.</w:t>
      </w:r>
    </w:p>
  </w:footnote>
  <w:footnote w:id="18">
    <w:p w14:paraId="2E74FA83" w14:textId="77777777" w:rsidR="00DE4516" w:rsidRDefault="00DE4516" w:rsidP="00E850BB">
      <w:pPr>
        <w:pStyle w:val="FootnoteText"/>
      </w:pPr>
      <w:r>
        <w:rPr>
          <w:rStyle w:val="FootnoteReference"/>
        </w:rPr>
        <w:footnoteRef/>
      </w:r>
      <w:r>
        <w:t xml:space="preserve"> PwC, </w:t>
      </w:r>
      <w:r w:rsidRPr="00372EB5">
        <w:rPr>
          <w:i/>
          <w:iCs/>
        </w:rPr>
        <w:t xml:space="preserve">Oman </w:t>
      </w:r>
      <w:r>
        <w:rPr>
          <w:i/>
          <w:iCs/>
        </w:rPr>
        <w:t>A</w:t>
      </w:r>
      <w:r w:rsidRPr="00372EB5">
        <w:rPr>
          <w:i/>
          <w:iCs/>
        </w:rPr>
        <w:t xml:space="preserve">nnounces </w:t>
      </w:r>
      <w:r>
        <w:rPr>
          <w:i/>
          <w:iCs/>
        </w:rPr>
        <w:t>T</w:t>
      </w:r>
      <w:r w:rsidRPr="00372EB5">
        <w:rPr>
          <w:i/>
          <w:iCs/>
        </w:rPr>
        <w:t xml:space="preserve">emporary </w:t>
      </w:r>
      <w:r>
        <w:rPr>
          <w:i/>
          <w:iCs/>
        </w:rPr>
        <w:t>B</w:t>
      </w:r>
      <w:r w:rsidRPr="00372EB5">
        <w:rPr>
          <w:i/>
          <w:iCs/>
        </w:rPr>
        <w:t xml:space="preserve">an on </w:t>
      </w:r>
      <w:r w:rsidRPr="00792BB7">
        <w:rPr>
          <w:i/>
          <w:iCs/>
        </w:rPr>
        <w:t>"</w:t>
      </w:r>
      <w:r>
        <w:rPr>
          <w:i/>
          <w:iCs/>
        </w:rPr>
        <w:t>W</w:t>
      </w:r>
      <w:r w:rsidRPr="00372EB5">
        <w:rPr>
          <w:i/>
          <w:iCs/>
        </w:rPr>
        <w:t xml:space="preserve">ork </w:t>
      </w:r>
      <w:r>
        <w:rPr>
          <w:i/>
          <w:iCs/>
        </w:rPr>
        <w:t>V</w:t>
      </w:r>
      <w:r w:rsidRPr="00372EB5">
        <w:rPr>
          <w:i/>
          <w:iCs/>
        </w:rPr>
        <w:t>isas</w:t>
      </w:r>
      <w:r w:rsidRPr="00792BB7">
        <w:rPr>
          <w:i/>
          <w:iCs/>
        </w:rPr>
        <w:t>"</w:t>
      </w:r>
      <w:r w:rsidRPr="00372EB5">
        <w:rPr>
          <w:i/>
          <w:iCs/>
        </w:rPr>
        <w:t xml:space="preserve"> for </w:t>
      </w:r>
      <w:r>
        <w:rPr>
          <w:i/>
          <w:iCs/>
        </w:rPr>
        <w:t>E</w:t>
      </w:r>
      <w:r w:rsidRPr="00372EB5">
        <w:rPr>
          <w:i/>
          <w:iCs/>
        </w:rPr>
        <w:t>xpats</w:t>
      </w:r>
      <w:r>
        <w:t xml:space="preserve">, February 2018. Viewed at: </w:t>
      </w:r>
      <w:hyperlink r:id="rId13" w:history="1">
        <w:r w:rsidRPr="00D5600E">
          <w:rPr>
            <w:color w:val="0000FF"/>
            <w:u w:val="single"/>
          </w:rPr>
          <w:t>https://www.pwc.com/m1/en/services/tax/me-tax-legal-news/2018/oman-announces-temporary-ban-on-work-visas-for-expats.html</w:t>
        </w:r>
      </w:hyperlink>
      <w:r>
        <w:t>.</w:t>
      </w:r>
    </w:p>
  </w:footnote>
  <w:footnote w:id="19">
    <w:p w14:paraId="58BB40B1" w14:textId="77777777" w:rsidR="00DE4516" w:rsidRDefault="00DE4516" w:rsidP="00E850BB">
      <w:pPr>
        <w:pStyle w:val="FootnoteText"/>
      </w:pPr>
      <w:r>
        <w:rPr>
          <w:rStyle w:val="FootnoteReference"/>
        </w:rPr>
        <w:footnoteRef/>
      </w:r>
      <w:r>
        <w:t xml:space="preserve"> The authorities indicate that flexibilities may be applied to the Omanization quotas, and further note that </w:t>
      </w:r>
      <w:r w:rsidRPr="00BD6042">
        <w:t>these practices are not against WTO provisions</w:t>
      </w:r>
      <w:r>
        <w:t xml:space="preserve"> as Oman </w:t>
      </w:r>
      <w:r w:rsidRPr="00BD6042">
        <w:t xml:space="preserve">strictly </w:t>
      </w:r>
      <w:r>
        <w:t xml:space="preserve">adheres </w:t>
      </w:r>
      <w:r w:rsidRPr="00BD6042">
        <w:t>to its commitments under its Schedule of Specific Commitments on Services.</w:t>
      </w:r>
    </w:p>
  </w:footnote>
  <w:footnote w:id="20">
    <w:p w14:paraId="22AD9C9F" w14:textId="77777777" w:rsidR="00DE4516" w:rsidRDefault="00DE4516" w:rsidP="00E850BB">
      <w:pPr>
        <w:pStyle w:val="FootnoteText"/>
      </w:pPr>
      <w:r>
        <w:rPr>
          <w:rStyle w:val="FootnoteReference"/>
        </w:rPr>
        <w:footnoteRef/>
      </w:r>
      <w:r>
        <w:t xml:space="preserve"> In the evaluation of the Ninth Five-Year Plan, the authorities indicate that the diversification objectives were not fully achieved, though the real growth of non-oil activities was almost triple that of the real growth of the oil sector. According to the authorities, this could be attributed to the fact that private investments did not match the stimulus provided by the public investment.</w:t>
      </w:r>
    </w:p>
  </w:footnote>
  <w:footnote w:id="21">
    <w:p w14:paraId="795E3CD3" w14:textId="77777777" w:rsidR="00DE4516" w:rsidRDefault="00DE4516" w:rsidP="00E850BB">
      <w:pPr>
        <w:pStyle w:val="FootnoteText"/>
      </w:pPr>
      <w:r>
        <w:rPr>
          <w:rStyle w:val="FootnoteReference"/>
        </w:rPr>
        <w:footnoteRef/>
      </w:r>
      <w:r>
        <w:t xml:space="preserve"> Foreign Ministry of Oman, </w:t>
      </w:r>
      <w:r w:rsidRPr="004C5D52">
        <w:rPr>
          <w:i/>
          <w:iCs/>
        </w:rPr>
        <w:t>About Oman: Geography</w:t>
      </w:r>
      <w:r>
        <w:t xml:space="preserve">. Viewed at: </w:t>
      </w:r>
      <w:hyperlink r:id="rId14" w:history="1">
        <w:r w:rsidRPr="00D5600E">
          <w:rPr>
            <w:color w:val="0000FF"/>
            <w:u w:val="single"/>
          </w:rPr>
          <w:t>https://fm.gov.om/about-oman/state /geography/</w:t>
        </w:r>
      </w:hyperlink>
      <w:r>
        <w:t>.</w:t>
      </w:r>
    </w:p>
  </w:footnote>
  <w:footnote w:id="22">
    <w:p w14:paraId="2F506C48" w14:textId="77777777" w:rsidR="00DE4516" w:rsidRDefault="00DE4516" w:rsidP="009748D2">
      <w:pPr>
        <w:pStyle w:val="FootnoteText"/>
      </w:pPr>
      <w:r w:rsidRPr="007B09BB">
        <w:rPr>
          <w:rStyle w:val="FootnoteReference"/>
        </w:rPr>
        <w:footnoteRef/>
      </w:r>
      <w:r w:rsidRPr="007B09BB">
        <w:t xml:space="preserve"> Royal Decree No. 6/2021.</w:t>
      </w:r>
    </w:p>
  </w:footnote>
  <w:footnote w:id="23">
    <w:p w14:paraId="3B56C2EC" w14:textId="77777777" w:rsidR="00DE4516" w:rsidRDefault="00DE4516" w:rsidP="009748D2">
      <w:pPr>
        <w:ind w:firstLine="567"/>
      </w:pPr>
      <w:r w:rsidRPr="007B09BB">
        <w:rPr>
          <w:sz w:val="16"/>
          <w:szCs w:val="16"/>
          <w:vertAlign w:val="superscript"/>
        </w:rPr>
        <w:footnoteRef/>
      </w:r>
      <w:r w:rsidRPr="007B09BB">
        <w:rPr>
          <w:sz w:val="16"/>
          <w:szCs w:val="16"/>
        </w:rPr>
        <w:t xml:space="preserve"> </w:t>
      </w:r>
      <w:r w:rsidRPr="007B09BB">
        <w:rPr>
          <w:i/>
          <w:iCs/>
          <w:sz w:val="16"/>
          <w:szCs w:val="16"/>
        </w:rPr>
        <w:t>Oman News Agency</w:t>
      </w:r>
      <w:r w:rsidRPr="007B09BB">
        <w:rPr>
          <w:sz w:val="16"/>
          <w:szCs w:val="16"/>
        </w:rPr>
        <w:t>, "Royal Decree Appoints State Council Members", 11 September 2019.</w:t>
      </w:r>
    </w:p>
  </w:footnote>
  <w:footnote w:id="24">
    <w:p w14:paraId="0A80BD7E" w14:textId="77777777" w:rsidR="00DE4516" w:rsidRDefault="00DE4516" w:rsidP="009748D2">
      <w:pPr>
        <w:ind w:firstLine="567"/>
      </w:pPr>
      <w:r w:rsidRPr="007B09BB">
        <w:rPr>
          <w:sz w:val="16"/>
          <w:szCs w:val="16"/>
          <w:vertAlign w:val="superscript"/>
        </w:rPr>
        <w:footnoteRef/>
      </w:r>
      <w:r w:rsidRPr="007B09BB">
        <w:rPr>
          <w:sz w:val="16"/>
          <w:szCs w:val="16"/>
        </w:rPr>
        <w:t xml:space="preserve"> </w:t>
      </w:r>
      <w:r w:rsidRPr="007B09BB">
        <w:rPr>
          <w:i/>
          <w:iCs/>
          <w:sz w:val="16"/>
          <w:szCs w:val="16"/>
        </w:rPr>
        <w:t>Oman Daily Observer</w:t>
      </w:r>
      <w:r w:rsidRPr="007B09BB">
        <w:rPr>
          <w:sz w:val="16"/>
          <w:szCs w:val="16"/>
        </w:rPr>
        <w:t>, "</w:t>
      </w:r>
      <w:r w:rsidRPr="007B09BB">
        <w:rPr>
          <w:sz w:val="16"/>
          <w:szCs w:val="16"/>
          <w:highlight w:val="white"/>
        </w:rPr>
        <w:t>767 Candidates in Race for 86 Shura Seats", 7 July 2019.</w:t>
      </w:r>
    </w:p>
  </w:footnote>
  <w:footnote w:id="25">
    <w:p w14:paraId="07F23184" w14:textId="77777777" w:rsidR="00DE4516" w:rsidRDefault="00DE4516" w:rsidP="009748D2">
      <w:pPr>
        <w:ind w:firstLine="567"/>
      </w:pPr>
      <w:r w:rsidRPr="007B09BB">
        <w:rPr>
          <w:sz w:val="16"/>
          <w:szCs w:val="16"/>
          <w:vertAlign w:val="superscript"/>
        </w:rPr>
        <w:footnoteRef/>
      </w:r>
      <w:r w:rsidRPr="007B09BB">
        <w:rPr>
          <w:sz w:val="16"/>
          <w:szCs w:val="16"/>
        </w:rPr>
        <w:t xml:space="preserve"> Royal Decree No. 97/2020.</w:t>
      </w:r>
    </w:p>
  </w:footnote>
  <w:footnote w:id="26">
    <w:p w14:paraId="716244E8" w14:textId="77777777" w:rsidR="00DE4516" w:rsidRDefault="00DE4516" w:rsidP="009748D2">
      <w:pPr>
        <w:ind w:firstLine="567"/>
      </w:pPr>
      <w:r w:rsidRPr="007B09BB">
        <w:rPr>
          <w:sz w:val="16"/>
          <w:szCs w:val="16"/>
          <w:vertAlign w:val="superscript"/>
        </w:rPr>
        <w:footnoteRef/>
      </w:r>
      <w:r w:rsidRPr="007B09BB">
        <w:rPr>
          <w:sz w:val="16"/>
          <w:szCs w:val="16"/>
        </w:rPr>
        <w:t xml:space="preserve"> Basic Statute of the State, Article 91.</w:t>
      </w:r>
    </w:p>
  </w:footnote>
  <w:footnote w:id="27">
    <w:p w14:paraId="61FA5BB6" w14:textId="77777777" w:rsidR="00DE4516" w:rsidRDefault="00DE4516" w:rsidP="009748D2">
      <w:pPr>
        <w:pStyle w:val="FootnoteText"/>
      </w:pPr>
      <w:r w:rsidRPr="007B09BB">
        <w:rPr>
          <w:vertAlign w:val="superscript"/>
        </w:rPr>
        <w:footnoteRef/>
      </w:r>
      <w:r w:rsidRPr="007B09BB">
        <w:t xml:space="preserve"> WTO document WT/ACC/OMN/26, 28 September 2000.</w:t>
      </w:r>
    </w:p>
  </w:footnote>
  <w:footnote w:id="28">
    <w:p w14:paraId="5C9D3074" w14:textId="77777777" w:rsidR="00DE4516" w:rsidRDefault="00DE4516" w:rsidP="009748D2">
      <w:pPr>
        <w:pStyle w:val="FootnoteText"/>
      </w:pPr>
      <w:r w:rsidRPr="007B09BB">
        <w:rPr>
          <w:vertAlign w:val="superscript"/>
        </w:rPr>
        <w:footnoteRef/>
      </w:r>
      <w:r w:rsidRPr="007B09BB">
        <w:t xml:space="preserve"> WTO document WT/ACC/OMN/26, 28 September 2000.</w:t>
      </w:r>
    </w:p>
  </w:footnote>
  <w:footnote w:id="29">
    <w:p w14:paraId="1558BC18" w14:textId="77777777" w:rsidR="00DE4516" w:rsidRDefault="00DE4516" w:rsidP="009748D2">
      <w:pPr>
        <w:pStyle w:val="FootnoteText"/>
      </w:pPr>
      <w:r>
        <w:rPr>
          <w:rStyle w:val="FootnoteReference"/>
        </w:rPr>
        <w:footnoteRef/>
      </w:r>
      <w:r>
        <w:t xml:space="preserve"> </w:t>
      </w:r>
      <w:r>
        <w:rPr>
          <w:lang w:val="en-US"/>
        </w:rPr>
        <w:t xml:space="preserve">Central Bank of Oman, </w:t>
      </w:r>
      <w:r w:rsidRPr="00723DE8">
        <w:rPr>
          <w:i/>
          <w:iCs/>
          <w:lang w:val="en-US"/>
        </w:rPr>
        <w:t>2019 Annual Report</w:t>
      </w:r>
      <w:r>
        <w:rPr>
          <w:lang w:val="en-US"/>
        </w:rPr>
        <w:t>.</w:t>
      </w:r>
    </w:p>
  </w:footnote>
  <w:footnote w:id="30">
    <w:p w14:paraId="0834920E" w14:textId="77777777" w:rsidR="00DE4516" w:rsidRDefault="00DE4516" w:rsidP="009748D2">
      <w:pPr>
        <w:ind w:firstLine="567"/>
      </w:pPr>
      <w:r w:rsidRPr="007B09BB">
        <w:rPr>
          <w:sz w:val="16"/>
          <w:szCs w:val="16"/>
          <w:vertAlign w:val="superscript"/>
        </w:rPr>
        <w:footnoteRef/>
      </w:r>
      <w:r w:rsidRPr="007B09BB">
        <w:rPr>
          <w:sz w:val="16"/>
          <w:szCs w:val="16"/>
        </w:rPr>
        <w:t xml:space="preserve"> Oman Vision 2040, National Priorities.</w:t>
      </w:r>
    </w:p>
  </w:footnote>
  <w:footnote w:id="31">
    <w:p w14:paraId="63D3D270" w14:textId="77777777" w:rsidR="00DE4516" w:rsidRDefault="00DE4516" w:rsidP="009748D2">
      <w:pPr>
        <w:pStyle w:val="FootnoteText"/>
      </w:pPr>
      <w:r w:rsidRPr="007B09BB">
        <w:rPr>
          <w:rStyle w:val="FootnoteReference"/>
        </w:rPr>
        <w:footnoteRef/>
      </w:r>
      <w:r w:rsidRPr="007B09BB">
        <w:t xml:space="preserve"> Royal Decree No. 50/2016.</w:t>
      </w:r>
    </w:p>
  </w:footnote>
  <w:footnote w:id="32">
    <w:p w14:paraId="503D0B19" w14:textId="77777777" w:rsidR="00DE4516" w:rsidRDefault="00DE4516" w:rsidP="009748D2">
      <w:pPr>
        <w:ind w:firstLine="567"/>
      </w:pPr>
      <w:r w:rsidRPr="007B09BB">
        <w:rPr>
          <w:sz w:val="16"/>
          <w:szCs w:val="16"/>
          <w:vertAlign w:val="superscript"/>
        </w:rPr>
        <w:footnoteRef/>
      </w:r>
      <w:r w:rsidRPr="007B09BB">
        <w:rPr>
          <w:sz w:val="16"/>
          <w:szCs w:val="16"/>
        </w:rPr>
        <w:t xml:space="preserve"> Oman Chamber of Commerce, </w:t>
      </w:r>
      <w:r w:rsidRPr="007B09BB">
        <w:rPr>
          <w:i/>
          <w:iCs/>
          <w:sz w:val="16"/>
          <w:szCs w:val="16"/>
        </w:rPr>
        <w:t>Temporary Committees</w:t>
      </w:r>
      <w:r w:rsidRPr="007B09BB">
        <w:rPr>
          <w:sz w:val="16"/>
          <w:szCs w:val="16"/>
        </w:rPr>
        <w:t xml:space="preserve">. Viewed at: </w:t>
      </w:r>
      <w:hyperlink r:id="rId15" w:history="1">
        <w:r w:rsidRPr="007B09BB">
          <w:rPr>
            <w:rStyle w:val="Hyperlink"/>
            <w:sz w:val="16"/>
            <w:szCs w:val="16"/>
          </w:rPr>
          <w:t>https://chamberoman.om/committees-councils/temporary-committees/</w:t>
        </w:r>
      </w:hyperlink>
      <w:r w:rsidRPr="007B09BB">
        <w:rPr>
          <w:rStyle w:val="Hyperlink"/>
          <w:sz w:val="16"/>
          <w:szCs w:val="16"/>
        </w:rPr>
        <w:t>.</w:t>
      </w:r>
    </w:p>
  </w:footnote>
  <w:footnote w:id="33">
    <w:p w14:paraId="50DF93F3" w14:textId="77777777" w:rsidR="00DE4516" w:rsidRDefault="00DE4516" w:rsidP="009748D2">
      <w:pPr>
        <w:ind w:firstLine="567"/>
      </w:pPr>
      <w:r w:rsidRPr="007B09BB">
        <w:rPr>
          <w:sz w:val="16"/>
          <w:szCs w:val="16"/>
          <w:vertAlign w:val="superscript"/>
        </w:rPr>
        <w:footnoteRef/>
      </w:r>
      <w:r w:rsidRPr="007B09BB">
        <w:rPr>
          <w:sz w:val="16"/>
          <w:szCs w:val="16"/>
        </w:rPr>
        <w:t xml:space="preserve"> Royal Oman Police, Directorate General of Customs, National Committee on Trade Facilitation. Viewed at: </w:t>
      </w:r>
      <w:hyperlink r:id="rId16" w:history="1">
        <w:r w:rsidRPr="007B09BB">
          <w:rPr>
            <w:rStyle w:val="Hyperlink"/>
            <w:sz w:val="16"/>
            <w:szCs w:val="16"/>
          </w:rPr>
          <w:t>http://www.wcoomd.org/-/media/wco/public/global/pdf/topics/wto-atf/national-committees-on-trade-facilitation/oman-case-study-on-national-committees-on-trade-facilitation.pdf?la=en</w:t>
        </w:r>
      </w:hyperlink>
      <w:r w:rsidRPr="007B09BB">
        <w:rPr>
          <w:rStyle w:val="Hyperlink"/>
          <w:sz w:val="16"/>
          <w:szCs w:val="16"/>
        </w:rPr>
        <w:t>.</w:t>
      </w:r>
    </w:p>
  </w:footnote>
  <w:footnote w:id="34">
    <w:p w14:paraId="2C3BB143"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documents WT/Let/1245, 14 March 2017, and WT/Let/1240, 24 February 2017.</w:t>
      </w:r>
    </w:p>
  </w:footnote>
  <w:footnote w:id="35">
    <w:p w14:paraId="090C24F8" w14:textId="77777777" w:rsidR="00DE4516" w:rsidRDefault="00DE4516" w:rsidP="009748D2">
      <w:pPr>
        <w:ind w:firstLine="567"/>
      </w:pPr>
      <w:r w:rsidRPr="007B09BB">
        <w:rPr>
          <w:sz w:val="16"/>
          <w:szCs w:val="16"/>
          <w:vertAlign w:val="superscript"/>
        </w:rPr>
        <w:footnoteRef/>
      </w:r>
      <w:r w:rsidRPr="007B09BB">
        <w:rPr>
          <w:sz w:val="16"/>
          <w:szCs w:val="16"/>
        </w:rPr>
        <w:t xml:space="preserve"> WTO Trade Facilitation Agreement Database, </w:t>
      </w:r>
      <w:r w:rsidRPr="007B09BB">
        <w:rPr>
          <w:i/>
          <w:iCs/>
          <w:sz w:val="16"/>
          <w:szCs w:val="16"/>
        </w:rPr>
        <w:t>Oman: Status of Implementation Commitments</w:t>
      </w:r>
      <w:r w:rsidRPr="007B09BB">
        <w:rPr>
          <w:sz w:val="16"/>
          <w:szCs w:val="16"/>
        </w:rPr>
        <w:t xml:space="preserve">. Viewed at: </w:t>
      </w:r>
      <w:hyperlink r:id="rId17" w:history="1">
        <w:r w:rsidRPr="007B09BB">
          <w:rPr>
            <w:rStyle w:val="Hyperlink"/>
            <w:sz w:val="16"/>
            <w:szCs w:val="16"/>
          </w:rPr>
          <w:t>https://tfadatabase.org/members/oman</w:t>
        </w:r>
      </w:hyperlink>
      <w:r w:rsidRPr="007B09BB">
        <w:rPr>
          <w:rStyle w:val="Hyperlink"/>
          <w:sz w:val="16"/>
          <w:szCs w:val="16"/>
        </w:rPr>
        <w:t>.</w:t>
      </w:r>
    </w:p>
  </w:footnote>
  <w:footnote w:id="36">
    <w:p w14:paraId="31F2F877"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WT/COMTD/RTA/9/1, WT/REG/276/1, 21 March 2018.</w:t>
      </w:r>
    </w:p>
  </w:footnote>
  <w:footnote w:id="37">
    <w:p w14:paraId="5132B3D0" w14:textId="77777777" w:rsidR="00DE4516" w:rsidRDefault="00DE4516" w:rsidP="009748D2">
      <w:pPr>
        <w:ind w:firstLine="567"/>
      </w:pPr>
      <w:r w:rsidRPr="007B09BB">
        <w:rPr>
          <w:sz w:val="16"/>
          <w:szCs w:val="16"/>
          <w:vertAlign w:val="superscript"/>
        </w:rPr>
        <w:footnoteRef/>
      </w:r>
      <w:r w:rsidRPr="007B09BB">
        <w:rPr>
          <w:sz w:val="16"/>
          <w:szCs w:val="16"/>
        </w:rPr>
        <w:t xml:space="preserve"> Secretariat General of the Gulf Cooperation Council, </w:t>
      </w:r>
      <w:r w:rsidRPr="007B09BB">
        <w:rPr>
          <w:i/>
          <w:iCs/>
          <w:sz w:val="16"/>
          <w:szCs w:val="16"/>
        </w:rPr>
        <w:t>Achievements: The Free Trade Area</w:t>
      </w:r>
      <w:r w:rsidRPr="007B09BB">
        <w:rPr>
          <w:sz w:val="16"/>
          <w:szCs w:val="16"/>
        </w:rPr>
        <w:t xml:space="preserve">. Viewed at: </w:t>
      </w:r>
      <w:hyperlink r:id="rId18" w:history="1">
        <w:r w:rsidRPr="006939E1">
          <w:rPr>
            <w:rStyle w:val="Hyperlink"/>
            <w:sz w:val="16"/>
            <w:szCs w:val="16"/>
          </w:rPr>
          <w:t>https://www.gcc-sg.org/en-us/CooperationAndAchievements/Achievements/EconomicCooperation/ TheCustomsUnion/Achievements/Pages/ITheFreeTradeAreaFTA.aspx</w:t>
        </w:r>
      </w:hyperlink>
      <w:r w:rsidRPr="007B09BB">
        <w:rPr>
          <w:rStyle w:val="Hyperlink"/>
          <w:sz w:val="16"/>
          <w:szCs w:val="16"/>
        </w:rPr>
        <w:t>.</w:t>
      </w:r>
    </w:p>
  </w:footnote>
  <w:footnote w:id="38">
    <w:p w14:paraId="21291073"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WT/REG222/N/1, 20 November 2006.</w:t>
      </w:r>
    </w:p>
  </w:footnote>
  <w:footnote w:id="39">
    <w:p w14:paraId="3F68D61B"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documents WT/REG222/N/1/Corr.1 and WT/COMTD/N/25, 31 March 2008.</w:t>
      </w:r>
    </w:p>
  </w:footnote>
  <w:footnote w:id="40">
    <w:p w14:paraId="33EAAAD7"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WT/REG276/N/1/Rev.1, 17 November 2009.</w:t>
      </w:r>
    </w:p>
  </w:footnote>
  <w:footnote w:id="41">
    <w:p w14:paraId="4CA8DC90" w14:textId="77777777" w:rsidR="00DE4516" w:rsidRDefault="00DE4516" w:rsidP="009748D2">
      <w:pPr>
        <w:ind w:firstLine="567"/>
      </w:pPr>
      <w:r w:rsidRPr="007B09BB">
        <w:rPr>
          <w:sz w:val="16"/>
          <w:szCs w:val="16"/>
          <w:vertAlign w:val="superscript"/>
        </w:rPr>
        <w:footnoteRef/>
      </w:r>
      <w:r w:rsidRPr="007B09BB">
        <w:rPr>
          <w:sz w:val="16"/>
          <w:szCs w:val="16"/>
        </w:rPr>
        <w:t xml:space="preserve"> The exceptions to the CET relate to tobacco, pork, and alcohol products, which are either prohibited (including domestic production) or subject to high rates of duty.</w:t>
      </w:r>
    </w:p>
  </w:footnote>
  <w:footnote w:id="42">
    <w:p w14:paraId="05224DB8"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WT/COMTD/RTA/9/1, WT/REG276/1, 21 March 2018.</w:t>
      </w:r>
    </w:p>
  </w:footnote>
  <w:footnote w:id="43">
    <w:p w14:paraId="100C3150"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WT/COMTD/RTA/9/1, WT/REG276/1, 21 March 2018.</w:t>
      </w:r>
    </w:p>
  </w:footnote>
  <w:footnote w:id="44">
    <w:p w14:paraId="3ECC76A5" w14:textId="77777777" w:rsidR="00DE4516" w:rsidRDefault="00DE4516" w:rsidP="009748D2">
      <w:pPr>
        <w:ind w:firstLine="567"/>
      </w:pPr>
      <w:r w:rsidRPr="007B09BB">
        <w:rPr>
          <w:sz w:val="16"/>
          <w:szCs w:val="16"/>
          <w:vertAlign w:val="superscript"/>
        </w:rPr>
        <w:footnoteRef/>
      </w:r>
      <w:r w:rsidRPr="007B09BB">
        <w:rPr>
          <w:sz w:val="16"/>
          <w:szCs w:val="16"/>
        </w:rPr>
        <w:t xml:space="preserve"> </w:t>
      </w:r>
      <w:r w:rsidRPr="007B09BB">
        <w:rPr>
          <w:sz w:val="16"/>
          <w:szCs w:val="16"/>
          <w:highlight w:val="white"/>
        </w:rPr>
        <w:t>Secretariat General of the Gulf Cooperation Council,</w:t>
      </w:r>
      <w:r w:rsidRPr="007B09BB">
        <w:rPr>
          <w:sz w:val="16"/>
          <w:szCs w:val="16"/>
        </w:rPr>
        <w:t xml:space="preserve"> </w:t>
      </w:r>
      <w:r w:rsidRPr="007B09BB">
        <w:rPr>
          <w:sz w:val="16"/>
          <w:szCs w:val="16"/>
          <w:highlight w:val="white"/>
        </w:rPr>
        <w:t>Economic Agreement between the GCC States, 31 December 2001, Article 2.</w:t>
      </w:r>
    </w:p>
  </w:footnote>
  <w:footnote w:id="45">
    <w:p w14:paraId="44F074B4"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
      </w:r>
      <w:r w:rsidRPr="007B09BB">
        <w:rPr>
          <w:sz w:val="16"/>
          <w:szCs w:val="16"/>
          <w:highlight w:val="white"/>
        </w:rPr>
        <w:t>WT/COMTD/N/45, 6 July 2015.</w:t>
      </w:r>
    </w:p>
  </w:footnote>
  <w:footnote w:id="46">
    <w:p w14:paraId="57B9F249" w14:textId="77777777" w:rsidR="00DE4516" w:rsidRDefault="00DE4516" w:rsidP="009748D2">
      <w:pPr>
        <w:ind w:firstLine="567"/>
      </w:pPr>
      <w:r w:rsidRPr="007B09BB">
        <w:rPr>
          <w:sz w:val="16"/>
          <w:szCs w:val="16"/>
          <w:vertAlign w:val="superscript"/>
        </w:rPr>
        <w:footnoteRef/>
      </w:r>
      <w:r w:rsidRPr="007B09BB">
        <w:rPr>
          <w:sz w:val="16"/>
          <w:szCs w:val="16"/>
        </w:rPr>
        <w:t xml:space="preserve"> WTO Regional Trade Agreements Database, EFTA-GCC. Viewed at: </w:t>
      </w:r>
      <w:hyperlink r:id="rId19" w:history="1">
        <w:r w:rsidRPr="007B09BB">
          <w:rPr>
            <w:rStyle w:val="Hyperlink"/>
            <w:sz w:val="16"/>
            <w:szCs w:val="16"/>
          </w:rPr>
          <w:t>http://rtais.wto.org/UI/PublicShowMemberRTAIDCard.aspx?rtaid=462</w:t>
        </w:r>
      </w:hyperlink>
      <w:r w:rsidRPr="007B09BB">
        <w:rPr>
          <w:rStyle w:val="Hyperlink"/>
          <w:sz w:val="16"/>
          <w:szCs w:val="16"/>
        </w:rPr>
        <w:t>.</w:t>
      </w:r>
    </w:p>
  </w:footnote>
  <w:footnote w:id="47">
    <w:p w14:paraId="1390ACA5" w14:textId="77777777" w:rsidR="00DE4516" w:rsidRDefault="00DE4516" w:rsidP="009748D2">
      <w:pPr>
        <w:pStyle w:val="FootnoteText"/>
      </w:pPr>
      <w:r w:rsidRPr="007B09BB">
        <w:rPr>
          <w:rStyle w:val="FootnoteReference"/>
        </w:rPr>
        <w:footnoteRef/>
      </w:r>
      <w:r w:rsidRPr="007B09BB">
        <w:t xml:space="preserve"> EFTA, </w:t>
      </w:r>
      <w:r w:rsidRPr="007B09BB">
        <w:rPr>
          <w:i/>
          <w:iCs/>
        </w:rPr>
        <w:t>EFTA and the Gulf Cooperation Council Hold their Third Joint Committee Meeting</w:t>
      </w:r>
      <w:r w:rsidRPr="007B09BB">
        <w:t>, 7 March 2019.</w:t>
      </w:r>
    </w:p>
  </w:footnote>
  <w:footnote w:id="48">
    <w:p w14:paraId="303BEC6A" w14:textId="77777777" w:rsidR="00DE4516" w:rsidRDefault="00DE4516" w:rsidP="009748D2">
      <w:pPr>
        <w:ind w:firstLine="567"/>
      </w:pPr>
      <w:r w:rsidRPr="007B09BB">
        <w:rPr>
          <w:sz w:val="16"/>
          <w:szCs w:val="16"/>
          <w:vertAlign w:val="superscript"/>
        </w:rPr>
        <w:footnoteRef/>
      </w:r>
      <w:r w:rsidRPr="007B09BB">
        <w:rPr>
          <w:sz w:val="16"/>
          <w:szCs w:val="16"/>
        </w:rPr>
        <w:t xml:space="preserve"> Secretariat General of the Gulf Cooperation Council, </w:t>
      </w:r>
      <w:r w:rsidRPr="007B09BB">
        <w:rPr>
          <w:i/>
          <w:iCs/>
          <w:sz w:val="16"/>
          <w:szCs w:val="16"/>
        </w:rPr>
        <w:t>The Minister of Foreign Affairs of the Kingdom of Saudi Arabia and the Secretary General of the Gulf Cooperation Council hold a Press Conference at the Conclusion of the 40th Summit of the GCC Supreme Council</w:t>
      </w:r>
      <w:r w:rsidRPr="007B09BB">
        <w:rPr>
          <w:sz w:val="16"/>
          <w:szCs w:val="16"/>
        </w:rPr>
        <w:t xml:space="preserve">, 10 December 2019. Viewed at: </w:t>
      </w:r>
      <w:hyperlink r:id="rId20" w:history="1">
        <w:r w:rsidRPr="007B09BB">
          <w:rPr>
            <w:rStyle w:val="Hyperlink"/>
            <w:sz w:val="16"/>
            <w:szCs w:val="16"/>
          </w:rPr>
          <w:t>http://www.gcc-sg.org/en-us/MediaCenter/NewsCooperation/News/Pages/news2019-12-10-5.aspx</w:t>
        </w:r>
      </w:hyperlink>
      <w:r w:rsidRPr="007B09BB">
        <w:rPr>
          <w:rStyle w:val="Hyperlink"/>
          <w:sz w:val="16"/>
          <w:szCs w:val="16"/>
        </w:rPr>
        <w:t>.</w:t>
      </w:r>
    </w:p>
  </w:footnote>
  <w:footnote w:id="49">
    <w:p w14:paraId="05E97A60" w14:textId="77777777" w:rsidR="00DE4516" w:rsidRDefault="00DE4516" w:rsidP="009748D2">
      <w:pPr>
        <w:ind w:firstLine="567"/>
      </w:pPr>
      <w:r w:rsidRPr="007B09BB">
        <w:rPr>
          <w:sz w:val="16"/>
          <w:szCs w:val="16"/>
          <w:vertAlign w:val="superscript"/>
        </w:rPr>
        <w:footnoteRef/>
      </w:r>
      <w:r w:rsidRPr="007B09BB">
        <w:rPr>
          <w:sz w:val="16"/>
          <w:szCs w:val="16"/>
        </w:rPr>
        <w:t xml:space="preserve"> Secretariat General of the Gulf Cooperation Council, </w:t>
      </w:r>
      <w:r w:rsidRPr="007B09BB">
        <w:rPr>
          <w:i/>
          <w:iCs/>
          <w:sz w:val="16"/>
          <w:szCs w:val="16"/>
        </w:rPr>
        <w:t>The GCC Common Market and Economic Nationality</w:t>
      </w:r>
      <w:r w:rsidRPr="007B09BB">
        <w:rPr>
          <w:sz w:val="16"/>
          <w:szCs w:val="16"/>
        </w:rPr>
        <w:t xml:space="preserve">. Viewed at: </w:t>
      </w:r>
      <w:hyperlink r:id="rId21" w:history="1">
        <w:r w:rsidRPr="006939E1">
          <w:rPr>
            <w:rStyle w:val="Hyperlink"/>
            <w:sz w:val="16"/>
            <w:szCs w:val="16"/>
          </w:rPr>
          <w:t>https://www.gcc-sg.org/en-us/CooperationAndAchievements/Achievements/Economic Cooperation/TheGCCCommonMarketandEconomicnationality/Pages/MechanismofAchievingtheCommonM.aspx</w:t>
        </w:r>
      </w:hyperlink>
      <w:r w:rsidRPr="007B09BB">
        <w:rPr>
          <w:rStyle w:val="Hyperlink"/>
          <w:sz w:val="16"/>
          <w:szCs w:val="16"/>
        </w:rPr>
        <w:t>.</w:t>
      </w:r>
    </w:p>
  </w:footnote>
  <w:footnote w:id="50">
    <w:p w14:paraId="69085C83" w14:textId="77777777" w:rsidR="00DE4516" w:rsidRDefault="00DE4516" w:rsidP="009748D2">
      <w:pPr>
        <w:ind w:firstLine="567"/>
      </w:pPr>
      <w:r w:rsidRPr="007B09BB">
        <w:rPr>
          <w:sz w:val="16"/>
          <w:szCs w:val="16"/>
          <w:vertAlign w:val="superscript"/>
        </w:rPr>
        <w:footnoteRef/>
      </w:r>
      <w:r w:rsidRPr="007B09BB">
        <w:rPr>
          <w:sz w:val="16"/>
          <w:szCs w:val="16"/>
        </w:rPr>
        <w:t xml:space="preserve"> PAFTA members include the GCC members plus Algeria, Egypt, Iraq, Jordan, Lebanon, Libyan Arab Jamahiriya, Morocco, Palestine, Sudan, Syrian Arab Republic, Tunisia, and Yemen. Comoros, Djibouti, Mauritania, and Somalia are accession candidates. The agreement is sometimes referred to as GAFTA (General Arab Free Trade Agreement).</w:t>
      </w:r>
    </w:p>
  </w:footnote>
  <w:footnote w:id="51">
    <w:p w14:paraId="00D1EACE"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WT/REG223/N/1, 20 November 2006.</w:t>
      </w:r>
    </w:p>
  </w:footnote>
  <w:footnote w:id="52">
    <w:p w14:paraId="102992D1" w14:textId="77777777" w:rsidR="00DE4516" w:rsidRDefault="00DE4516" w:rsidP="009748D2">
      <w:pPr>
        <w:pStyle w:val="FootnoteText"/>
      </w:pPr>
      <w:r w:rsidRPr="007B09BB">
        <w:rPr>
          <w:rStyle w:val="FootnoteReference"/>
        </w:rPr>
        <w:footnoteRef/>
      </w:r>
      <w:r w:rsidRPr="007B09BB">
        <w:t xml:space="preserve"> Along with the United Arab Emirates, the Kingdom of Saudi Arabia, Qatar, Morocco, Lebanon, Egypt, Yemen, and Sudan. Economic and Social Commission for Western Asia (ESCWA) document E/ESCWA/EC.6/2019/6, 14 May 2019.</w:t>
      </w:r>
    </w:p>
  </w:footnote>
  <w:footnote w:id="53">
    <w:p w14:paraId="25F21553" w14:textId="77777777" w:rsidR="00DE4516" w:rsidRDefault="00DE4516" w:rsidP="009748D2">
      <w:pPr>
        <w:pStyle w:val="FootnoteText"/>
      </w:pPr>
      <w:r w:rsidRPr="007B09BB">
        <w:rPr>
          <w:rStyle w:val="FootnoteReference"/>
        </w:rPr>
        <w:footnoteRef/>
      </w:r>
      <w:r w:rsidRPr="007B09BB">
        <w:t xml:space="preserve"> Royal Decree No. 46/2014.</w:t>
      </w:r>
    </w:p>
  </w:footnote>
  <w:footnote w:id="54">
    <w:p w14:paraId="5328D560"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WT/REG259/N/1, S/C/N/472, 2 February 2009.</w:t>
      </w:r>
    </w:p>
  </w:footnote>
  <w:footnote w:id="55">
    <w:p w14:paraId="608E9941"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WT/REG259/1, 2 February 2009.</w:t>
      </w:r>
    </w:p>
  </w:footnote>
  <w:footnote w:id="56">
    <w:p w14:paraId="599A3ECF" w14:textId="77777777" w:rsidR="00DE4516" w:rsidRDefault="00DE4516" w:rsidP="009748D2">
      <w:pPr>
        <w:ind w:firstLine="567"/>
      </w:pPr>
      <w:r w:rsidRPr="007B09BB">
        <w:rPr>
          <w:sz w:val="16"/>
          <w:szCs w:val="16"/>
          <w:vertAlign w:val="superscript"/>
        </w:rPr>
        <w:footnoteRef/>
      </w:r>
      <w:r w:rsidRPr="007B09BB">
        <w:rPr>
          <w:sz w:val="16"/>
          <w:szCs w:val="16"/>
        </w:rPr>
        <w:t xml:space="preserve"> WTO document </w:t>
      </w:r>
      <w:r w:rsidRPr="007B09BB">
        <w:rPr>
          <w:sz w:val="16"/>
          <w:szCs w:val="16"/>
          <w:highlight w:val="white"/>
        </w:rPr>
        <w:t>WT/COMTD/N/45, 6 July 2015.</w:t>
      </w:r>
    </w:p>
  </w:footnote>
  <w:footnote w:id="57">
    <w:p w14:paraId="0D687022" w14:textId="77777777" w:rsidR="00DE4516" w:rsidRDefault="00DE4516" w:rsidP="009748D2">
      <w:pPr>
        <w:ind w:firstLine="567"/>
      </w:pPr>
      <w:r w:rsidRPr="007B09BB">
        <w:rPr>
          <w:sz w:val="16"/>
          <w:szCs w:val="16"/>
          <w:vertAlign w:val="superscript"/>
        </w:rPr>
        <w:footnoteRef/>
      </w:r>
      <w:r w:rsidRPr="007B09BB">
        <w:rPr>
          <w:sz w:val="16"/>
          <w:szCs w:val="16"/>
        </w:rPr>
        <w:t xml:space="preserve"> Ministry of Trade and Industry Singapore, </w:t>
      </w:r>
      <w:r w:rsidRPr="007B09BB">
        <w:rPr>
          <w:i/>
          <w:iCs/>
          <w:sz w:val="16"/>
          <w:szCs w:val="16"/>
        </w:rPr>
        <w:t>What You Need to Know About Singapore's Free Trade Agreements</w:t>
      </w:r>
      <w:r w:rsidRPr="007B09BB">
        <w:rPr>
          <w:sz w:val="16"/>
          <w:szCs w:val="16"/>
        </w:rPr>
        <w:t xml:space="preserve"> (information as of October 2019). Viewed at: </w:t>
      </w:r>
      <w:hyperlink r:id="rId22" w:history="1">
        <w:r w:rsidRPr="007B09BB">
          <w:rPr>
            <w:rStyle w:val="Hyperlink"/>
            <w:sz w:val="16"/>
            <w:szCs w:val="16"/>
          </w:rPr>
          <w:t>https://www.mti.gov.sg/-/media/MTI/Images/Improving-Trade/FTA_Booklet_Final.pd</w:t>
        </w:r>
        <w:r w:rsidRPr="007B09BB">
          <w:rPr>
            <w:rStyle w:val="Hyperlink"/>
            <w:color w:val="1155CC"/>
            <w:sz w:val="16"/>
            <w:szCs w:val="16"/>
          </w:rPr>
          <w:t>f</w:t>
        </w:r>
      </w:hyperlink>
      <w:r w:rsidRPr="007B09BB">
        <w:rPr>
          <w:sz w:val="16"/>
          <w:szCs w:val="16"/>
        </w:rPr>
        <w:t>.</w:t>
      </w:r>
    </w:p>
  </w:footnote>
  <w:footnote w:id="58">
    <w:p w14:paraId="7AA26F29" w14:textId="77777777" w:rsidR="00DE4516" w:rsidRDefault="00DE4516" w:rsidP="009748D2">
      <w:pPr>
        <w:ind w:firstLine="567"/>
      </w:pPr>
      <w:r w:rsidRPr="007B09BB">
        <w:rPr>
          <w:sz w:val="16"/>
          <w:szCs w:val="16"/>
          <w:vertAlign w:val="superscript"/>
        </w:rPr>
        <w:footnoteRef/>
      </w:r>
      <w:r w:rsidRPr="007B09BB">
        <w:rPr>
          <w:sz w:val="16"/>
          <w:szCs w:val="16"/>
        </w:rPr>
        <w:t xml:space="preserve"> Australian Government, Department of Foreign Affairs and Trade, Australia-Gulf Cooperation Council (GCC) FTA, updated June 2020. Viewed at: </w:t>
      </w:r>
      <w:hyperlink r:id="rId23" w:history="1">
        <w:r w:rsidRPr="0089179A">
          <w:rPr>
            <w:rStyle w:val="Hyperlink"/>
            <w:sz w:val="16"/>
            <w:szCs w:val="16"/>
          </w:rPr>
          <w:t>https://www.dfat.gov.au/trade/agreements/negotiations/agccfta/ Pages/australia-gulf-cooperation-council-gcc-fta</w:t>
        </w:r>
      </w:hyperlink>
      <w:r w:rsidRPr="007B09BB">
        <w:rPr>
          <w:rStyle w:val="Hyperlink"/>
          <w:sz w:val="16"/>
          <w:szCs w:val="16"/>
        </w:rPr>
        <w:t>.</w:t>
      </w:r>
    </w:p>
  </w:footnote>
  <w:footnote w:id="59">
    <w:p w14:paraId="448F7B8B" w14:textId="77777777" w:rsidR="00DE4516" w:rsidRDefault="00DE4516" w:rsidP="009748D2">
      <w:pPr>
        <w:pStyle w:val="FootnoteText"/>
      </w:pPr>
      <w:r w:rsidRPr="007B09BB">
        <w:rPr>
          <w:rStyle w:val="FootnoteReference"/>
          <w:szCs w:val="16"/>
        </w:rPr>
        <w:footnoteRef/>
      </w:r>
      <w:r w:rsidRPr="007B09BB">
        <w:rPr>
          <w:szCs w:val="16"/>
        </w:rPr>
        <w:t xml:space="preserve"> European Commission, </w:t>
      </w:r>
      <w:r w:rsidRPr="007B09BB">
        <w:rPr>
          <w:i/>
          <w:iCs/>
          <w:szCs w:val="16"/>
        </w:rPr>
        <w:t>Gulf Region</w:t>
      </w:r>
      <w:r w:rsidRPr="007B09BB">
        <w:rPr>
          <w:szCs w:val="16"/>
        </w:rPr>
        <w:t xml:space="preserve">. Viewed at: </w:t>
      </w:r>
      <w:hyperlink r:id="rId24" w:history="1">
        <w:r w:rsidRPr="007B09BB">
          <w:rPr>
            <w:rStyle w:val="Hyperlink"/>
          </w:rPr>
          <w:t>https://ec.europa.eu/trade/policy/countries-and-regions/regions/gulf-region/</w:t>
        </w:r>
      </w:hyperlink>
      <w:r w:rsidRPr="007B09BB">
        <w:rPr>
          <w:szCs w:val="16"/>
        </w:rPr>
        <w:t>.</w:t>
      </w:r>
    </w:p>
  </w:footnote>
  <w:footnote w:id="60">
    <w:p w14:paraId="4F8362E1" w14:textId="77777777" w:rsidR="00DE4516" w:rsidRDefault="00DE4516" w:rsidP="009748D2">
      <w:pPr>
        <w:ind w:firstLine="567"/>
      </w:pPr>
      <w:r w:rsidRPr="007B09BB">
        <w:rPr>
          <w:sz w:val="16"/>
          <w:szCs w:val="16"/>
          <w:vertAlign w:val="superscript"/>
        </w:rPr>
        <w:footnoteRef/>
      </w:r>
      <w:r w:rsidRPr="007B09BB">
        <w:rPr>
          <w:sz w:val="16"/>
          <w:szCs w:val="16"/>
        </w:rPr>
        <w:t xml:space="preserve"> United Nations Conference on Trade and Development (UNCTAD), Generalized System of Preferences List of Beneficiaries.</w:t>
      </w:r>
    </w:p>
  </w:footnote>
  <w:footnote w:id="61">
    <w:p w14:paraId="7E753457" w14:textId="77777777" w:rsidR="00DE4516" w:rsidRDefault="00DE4516" w:rsidP="009748D2">
      <w:pPr>
        <w:ind w:firstLine="567"/>
      </w:pPr>
      <w:r w:rsidRPr="007B09BB">
        <w:rPr>
          <w:sz w:val="16"/>
          <w:szCs w:val="16"/>
          <w:vertAlign w:val="superscript"/>
        </w:rPr>
        <w:footnoteRef/>
      </w:r>
      <w:r w:rsidRPr="007B09BB">
        <w:rPr>
          <w:sz w:val="16"/>
          <w:szCs w:val="16"/>
        </w:rPr>
        <w:t xml:space="preserve"> Royal Decree No. 18/2019, Article 3.</w:t>
      </w:r>
    </w:p>
  </w:footnote>
  <w:footnote w:id="62">
    <w:p w14:paraId="7165EF4E" w14:textId="77777777" w:rsidR="00DE4516" w:rsidRDefault="00DE4516" w:rsidP="009748D2">
      <w:pPr>
        <w:ind w:firstLine="567"/>
      </w:pPr>
      <w:r w:rsidRPr="007B09BB">
        <w:rPr>
          <w:sz w:val="16"/>
          <w:szCs w:val="16"/>
          <w:vertAlign w:val="superscript"/>
        </w:rPr>
        <w:footnoteRef/>
      </w:r>
      <w:r w:rsidRPr="007B09BB">
        <w:rPr>
          <w:sz w:val="16"/>
          <w:szCs w:val="16"/>
        </w:rPr>
        <w:t xml:space="preserve"> Royal Decree No. 18/2019, Article 4.</w:t>
      </w:r>
    </w:p>
  </w:footnote>
  <w:footnote w:id="63">
    <w:p w14:paraId="6E9A6D5B" w14:textId="77777777" w:rsidR="00DE4516" w:rsidRDefault="00DE4516" w:rsidP="009748D2">
      <w:pPr>
        <w:ind w:firstLine="567"/>
      </w:pPr>
      <w:r w:rsidRPr="007B09BB">
        <w:rPr>
          <w:sz w:val="16"/>
          <w:szCs w:val="16"/>
          <w:vertAlign w:val="superscript"/>
        </w:rPr>
        <w:footnoteRef/>
      </w:r>
      <w:r w:rsidRPr="007B09BB">
        <w:rPr>
          <w:sz w:val="16"/>
          <w:szCs w:val="16"/>
        </w:rPr>
        <w:t xml:space="preserve"> Pro Partner Group, </w:t>
      </w:r>
      <w:r w:rsidRPr="007B09BB">
        <w:rPr>
          <w:i/>
          <w:iCs/>
          <w:sz w:val="16"/>
          <w:szCs w:val="16"/>
        </w:rPr>
        <w:t>How to Set Up a 100% Foreign Owned Company in Oman?</w:t>
      </w:r>
      <w:r w:rsidRPr="007B09BB">
        <w:rPr>
          <w:sz w:val="16"/>
          <w:szCs w:val="16"/>
        </w:rPr>
        <w:t>, 24 February 2020.</w:t>
      </w:r>
    </w:p>
  </w:footnote>
  <w:footnote w:id="64">
    <w:p w14:paraId="35623D29" w14:textId="77777777" w:rsidR="00DE4516" w:rsidRDefault="00DE4516" w:rsidP="009748D2">
      <w:pPr>
        <w:ind w:firstLine="567"/>
      </w:pPr>
      <w:r w:rsidRPr="007B09BB">
        <w:rPr>
          <w:sz w:val="16"/>
          <w:szCs w:val="16"/>
          <w:vertAlign w:val="superscript"/>
        </w:rPr>
        <w:footnoteRef/>
      </w:r>
      <w:r w:rsidRPr="007B09BB">
        <w:rPr>
          <w:sz w:val="16"/>
          <w:szCs w:val="16"/>
        </w:rPr>
        <w:t xml:space="preserve"> UNCTAD Investment Policy Hub, </w:t>
      </w:r>
      <w:r w:rsidRPr="007B09BB">
        <w:rPr>
          <w:i/>
          <w:iCs/>
          <w:sz w:val="16"/>
          <w:szCs w:val="16"/>
        </w:rPr>
        <w:t>New Executive Regulations of the Foreign Capital Investment Law</w:t>
      </w:r>
      <w:r w:rsidRPr="007B09BB">
        <w:rPr>
          <w:sz w:val="16"/>
          <w:szCs w:val="16"/>
        </w:rPr>
        <w:t>, 14 June 2020.</w:t>
      </w:r>
    </w:p>
  </w:footnote>
  <w:footnote w:id="65">
    <w:p w14:paraId="14D1268A" w14:textId="77777777" w:rsidR="00DE4516" w:rsidRDefault="00DE4516" w:rsidP="009748D2">
      <w:pPr>
        <w:ind w:firstLine="567"/>
      </w:pPr>
      <w:r w:rsidRPr="007B09BB">
        <w:rPr>
          <w:sz w:val="16"/>
          <w:szCs w:val="16"/>
          <w:vertAlign w:val="superscript"/>
        </w:rPr>
        <w:footnoteRef/>
      </w:r>
      <w:r w:rsidRPr="007B09BB">
        <w:rPr>
          <w:sz w:val="16"/>
          <w:szCs w:val="16"/>
        </w:rPr>
        <w:t xml:space="preserve"> </w:t>
      </w:r>
      <w:r w:rsidRPr="007B09BB">
        <w:rPr>
          <w:i/>
          <w:iCs/>
          <w:sz w:val="16"/>
          <w:szCs w:val="16"/>
        </w:rPr>
        <w:t>Oman Daily Observer</w:t>
      </w:r>
      <w:r w:rsidRPr="007B09BB">
        <w:rPr>
          <w:sz w:val="16"/>
          <w:szCs w:val="16"/>
        </w:rPr>
        <w:t>, "Executive Regulations of Oman's Foreign Capital Investment Law Unveiled", 21 June 2020.</w:t>
      </w:r>
    </w:p>
  </w:footnote>
  <w:footnote w:id="66">
    <w:p w14:paraId="36C02B0A" w14:textId="77777777" w:rsidR="00DE4516" w:rsidRDefault="00DE4516" w:rsidP="009748D2">
      <w:pPr>
        <w:pStyle w:val="FootnoteText"/>
      </w:pPr>
      <w:r w:rsidRPr="007B09BB">
        <w:rPr>
          <w:rStyle w:val="FootnoteReference"/>
        </w:rPr>
        <w:footnoteRef/>
      </w:r>
      <w:r w:rsidRPr="007B09BB">
        <w:t xml:space="preserve"> </w:t>
      </w:r>
      <w:r w:rsidRPr="007B09BB">
        <w:rPr>
          <w:i/>
          <w:iCs/>
        </w:rPr>
        <w:t>Gulf News</w:t>
      </w:r>
      <w:r w:rsidRPr="007B09BB">
        <w:t>, "Expats Barred from More Jobs in Oman", 10 January 2021.</w:t>
      </w:r>
    </w:p>
  </w:footnote>
  <w:footnote w:id="67">
    <w:p w14:paraId="053FED3D" w14:textId="77777777" w:rsidR="00DE4516" w:rsidRDefault="00DE4516" w:rsidP="009748D2">
      <w:pPr>
        <w:pStyle w:val="FootnoteText"/>
      </w:pPr>
      <w:r w:rsidRPr="007B09BB">
        <w:rPr>
          <w:rStyle w:val="FootnoteReference"/>
        </w:rPr>
        <w:footnoteRef/>
      </w:r>
      <w:r w:rsidRPr="007B09BB">
        <w:t xml:space="preserve"> </w:t>
      </w:r>
      <w:r w:rsidRPr="007B09BB">
        <w:rPr>
          <w:i/>
          <w:iCs/>
        </w:rPr>
        <w:t>Aljazeera</w:t>
      </w:r>
      <w:r w:rsidRPr="007B09BB">
        <w:t>, "Oman Bars Expatriates from Certain Jobs as Pandemic Bites", 24 January 2021.</w:t>
      </w:r>
    </w:p>
  </w:footnote>
  <w:footnote w:id="68">
    <w:p w14:paraId="007CDF08" w14:textId="77777777" w:rsidR="00DE4516" w:rsidRDefault="00DE4516" w:rsidP="009748D2">
      <w:pPr>
        <w:pStyle w:val="FootnoteText"/>
      </w:pPr>
      <w:r w:rsidRPr="007B09BB">
        <w:rPr>
          <w:rStyle w:val="FootnoteReference"/>
        </w:rPr>
        <w:footnoteRef/>
      </w:r>
      <w:r w:rsidRPr="007B09BB">
        <w:t xml:space="preserve"> Tawfiq Nasrallah, "Teaching Profession to be Omanised in Sultanate", </w:t>
      </w:r>
      <w:r w:rsidRPr="007B09BB">
        <w:rPr>
          <w:i/>
          <w:iCs/>
        </w:rPr>
        <w:t>Gulf News</w:t>
      </w:r>
      <w:r w:rsidRPr="007B09BB">
        <w:t>, 25 January 2021.</w:t>
      </w:r>
    </w:p>
  </w:footnote>
  <w:footnote w:id="69">
    <w:p w14:paraId="5184ED47" w14:textId="77777777" w:rsidR="00DE4516" w:rsidRDefault="00DE4516" w:rsidP="009748D2">
      <w:pPr>
        <w:ind w:firstLine="567"/>
      </w:pPr>
      <w:r w:rsidRPr="007B09BB">
        <w:rPr>
          <w:sz w:val="16"/>
          <w:szCs w:val="16"/>
          <w:vertAlign w:val="superscript"/>
        </w:rPr>
        <w:footnoteRef/>
      </w:r>
      <w:r w:rsidRPr="007B09BB">
        <w:rPr>
          <w:sz w:val="16"/>
          <w:szCs w:val="16"/>
        </w:rPr>
        <w:t xml:space="preserve"> These locations are Musandam, Buraimi, Dhahirah, Al Wusta, Dhofar (except Salalah), Liwa, Shinas, Masirah, Jebal Akhdar, and Jebal Shams. This also applies to properties situated near royal palaces, security and military bodies, and lands for agricultural use. Samuel Kutty, "Ban on Ownership of Land by Non-Omanis in Some Places", </w:t>
      </w:r>
      <w:r w:rsidRPr="007B09BB">
        <w:rPr>
          <w:i/>
          <w:iCs/>
          <w:sz w:val="16"/>
          <w:szCs w:val="16"/>
        </w:rPr>
        <w:t>Oman Daily Observer</w:t>
      </w:r>
      <w:r w:rsidRPr="007B09BB">
        <w:rPr>
          <w:sz w:val="16"/>
          <w:szCs w:val="16"/>
        </w:rPr>
        <w:t>, 7 June 2020; and Helen Dean, "Ownership of Lands and Real Estate Properties by Non-Omani People", Cameron McKenna Nabarro Olswang LLP, 2 July 2020.</w:t>
      </w:r>
    </w:p>
  </w:footnote>
  <w:footnote w:id="70">
    <w:p w14:paraId="738F9F8C" w14:textId="77777777" w:rsidR="00DE4516" w:rsidRDefault="00DE4516" w:rsidP="009748D2">
      <w:pPr>
        <w:ind w:firstLine="567"/>
      </w:pPr>
      <w:r w:rsidRPr="007B09BB">
        <w:rPr>
          <w:sz w:val="16"/>
          <w:szCs w:val="16"/>
          <w:vertAlign w:val="superscript"/>
        </w:rPr>
        <w:footnoteRef/>
      </w:r>
      <w:r w:rsidRPr="007B09BB">
        <w:rPr>
          <w:sz w:val="16"/>
          <w:szCs w:val="16"/>
        </w:rPr>
        <w:t xml:space="preserve"> </w:t>
      </w:r>
      <w:r w:rsidRPr="007B09BB">
        <w:rPr>
          <w:i/>
          <w:iCs/>
          <w:sz w:val="16"/>
          <w:szCs w:val="16"/>
        </w:rPr>
        <w:t>Oman Daily Observer</w:t>
      </w:r>
      <w:r w:rsidRPr="007B09BB">
        <w:rPr>
          <w:sz w:val="16"/>
          <w:szCs w:val="16"/>
        </w:rPr>
        <w:t>, "Executive Regulations of Oman's Foreign Capital Investment Law Unveiled", 21 June 2020.</w:t>
      </w:r>
    </w:p>
  </w:footnote>
  <w:footnote w:id="71">
    <w:p w14:paraId="67E8B298" w14:textId="77777777" w:rsidR="00DE4516" w:rsidRDefault="00DE4516" w:rsidP="009748D2">
      <w:pPr>
        <w:ind w:firstLine="567"/>
      </w:pPr>
      <w:r w:rsidRPr="007B09BB">
        <w:rPr>
          <w:sz w:val="16"/>
          <w:szCs w:val="16"/>
          <w:vertAlign w:val="superscript"/>
        </w:rPr>
        <w:footnoteRef/>
      </w:r>
      <w:r w:rsidRPr="007B09BB">
        <w:rPr>
          <w:sz w:val="16"/>
          <w:szCs w:val="16"/>
        </w:rPr>
        <w:t xml:space="preserve"> Curtis, Mallet-Prevost, Colt &amp; Mosle LLP, Oman Law Blog, </w:t>
      </w:r>
      <w:r w:rsidRPr="007B09BB">
        <w:rPr>
          <w:i/>
          <w:iCs/>
          <w:sz w:val="16"/>
          <w:szCs w:val="16"/>
        </w:rPr>
        <w:t>Executive Regulations of the Foreign Capital Investment Law</w:t>
      </w:r>
      <w:r w:rsidRPr="007B09BB">
        <w:rPr>
          <w:sz w:val="16"/>
          <w:szCs w:val="16"/>
        </w:rPr>
        <w:t>, 19 August 2020.</w:t>
      </w:r>
    </w:p>
  </w:footnote>
  <w:footnote w:id="72">
    <w:p w14:paraId="6518716B" w14:textId="77777777" w:rsidR="00DE4516" w:rsidRDefault="00DE4516" w:rsidP="009748D2">
      <w:pPr>
        <w:ind w:firstLine="567"/>
      </w:pPr>
      <w:r w:rsidRPr="007B09BB">
        <w:rPr>
          <w:sz w:val="16"/>
          <w:szCs w:val="16"/>
          <w:vertAlign w:val="superscript"/>
        </w:rPr>
        <w:footnoteRef/>
      </w:r>
      <w:r w:rsidRPr="007B09BB">
        <w:rPr>
          <w:sz w:val="16"/>
          <w:szCs w:val="16"/>
        </w:rPr>
        <w:t xml:space="preserve"> </w:t>
      </w:r>
      <w:r w:rsidRPr="007B09BB">
        <w:rPr>
          <w:i/>
          <w:iCs/>
          <w:sz w:val="16"/>
          <w:szCs w:val="16"/>
        </w:rPr>
        <w:t>Oman Daily Observer</w:t>
      </w:r>
      <w:r w:rsidRPr="007B09BB">
        <w:rPr>
          <w:sz w:val="16"/>
          <w:szCs w:val="16"/>
        </w:rPr>
        <w:t>, "Executive Regulations of Oman's Foreign Capital Investment Law Unveiled", 21 June 2020.</w:t>
      </w:r>
    </w:p>
  </w:footnote>
  <w:footnote w:id="73">
    <w:p w14:paraId="75C40DE7" w14:textId="77777777" w:rsidR="00DE4516" w:rsidRDefault="00DE4516" w:rsidP="009748D2">
      <w:pPr>
        <w:pStyle w:val="FootnoteText"/>
      </w:pPr>
      <w:r w:rsidRPr="007B09BB">
        <w:rPr>
          <w:rStyle w:val="FootnoteReference"/>
        </w:rPr>
        <w:footnoteRef/>
      </w:r>
      <w:r w:rsidRPr="007B09BB">
        <w:t xml:space="preserve"> </w:t>
      </w:r>
      <w:r w:rsidRPr="007B09BB">
        <w:rPr>
          <w:szCs w:val="16"/>
        </w:rPr>
        <w:t>Dentons,</w:t>
      </w:r>
      <w:r w:rsidRPr="007B09BB">
        <w:t xml:space="preserve"> </w:t>
      </w:r>
      <w:r w:rsidRPr="007B09BB">
        <w:rPr>
          <w:i/>
          <w:iCs/>
        </w:rPr>
        <w:t>Oman I</w:t>
      </w:r>
      <w:r w:rsidRPr="007B09BB">
        <w:rPr>
          <w:i/>
          <w:iCs/>
          <w:szCs w:val="16"/>
        </w:rPr>
        <w:t>ssues Executive Regulations on New Foreign Capital Investment Law</w:t>
      </w:r>
      <w:r w:rsidRPr="007B09BB">
        <w:rPr>
          <w:szCs w:val="16"/>
        </w:rPr>
        <w:t>, 20 July 2020.</w:t>
      </w:r>
    </w:p>
  </w:footnote>
  <w:footnote w:id="74">
    <w:p w14:paraId="7D5656AB" w14:textId="77777777" w:rsidR="00DE4516" w:rsidRDefault="00DE4516" w:rsidP="009748D2">
      <w:pPr>
        <w:ind w:firstLine="567"/>
      </w:pPr>
      <w:r w:rsidRPr="007B09BB">
        <w:rPr>
          <w:sz w:val="16"/>
          <w:szCs w:val="16"/>
          <w:vertAlign w:val="superscript"/>
        </w:rPr>
        <w:footnoteRef/>
      </w:r>
      <w:r w:rsidRPr="007B09BB">
        <w:rPr>
          <w:sz w:val="16"/>
          <w:szCs w:val="16"/>
        </w:rPr>
        <w:t xml:space="preserve"> CMS, </w:t>
      </w:r>
      <w:r w:rsidRPr="007B09BB">
        <w:rPr>
          <w:i/>
          <w:iCs/>
          <w:sz w:val="16"/>
          <w:szCs w:val="16"/>
        </w:rPr>
        <w:t>Establishment of the Oman Investment Authority</w:t>
      </w:r>
      <w:r w:rsidRPr="007B09BB">
        <w:rPr>
          <w:sz w:val="16"/>
          <w:szCs w:val="16"/>
        </w:rPr>
        <w:t xml:space="preserve">, 29 June 2020; and </w:t>
      </w:r>
      <w:r w:rsidRPr="007B09BB">
        <w:rPr>
          <w:i/>
          <w:iCs/>
          <w:sz w:val="16"/>
          <w:szCs w:val="16"/>
        </w:rPr>
        <w:t>Oman News Agency</w:t>
      </w:r>
      <w:r w:rsidRPr="007B09BB">
        <w:rPr>
          <w:sz w:val="16"/>
          <w:szCs w:val="16"/>
        </w:rPr>
        <w:t>, "Investment Authority Continues Restructuring its Investments to Enhance Governance, Performance", 28 July 2020.</w:t>
      </w:r>
    </w:p>
  </w:footnote>
  <w:footnote w:id="75">
    <w:p w14:paraId="7447D2C8" w14:textId="77777777" w:rsidR="00DE4516" w:rsidRDefault="00DE4516" w:rsidP="009748D2">
      <w:pPr>
        <w:ind w:firstLine="567"/>
      </w:pPr>
      <w:r w:rsidRPr="007B09BB">
        <w:rPr>
          <w:sz w:val="16"/>
          <w:szCs w:val="16"/>
          <w:vertAlign w:val="superscript"/>
        </w:rPr>
        <w:footnoteRef/>
      </w:r>
      <w:r w:rsidRPr="007B09BB">
        <w:rPr>
          <w:sz w:val="16"/>
          <w:szCs w:val="16"/>
        </w:rPr>
        <w:t xml:space="preserve"> Royal Decree No. 97/2020.</w:t>
      </w:r>
    </w:p>
  </w:footnote>
  <w:footnote w:id="76">
    <w:p w14:paraId="026E3BD2" w14:textId="77777777" w:rsidR="00DE4516" w:rsidRDefault="00DE4516" w:rsidP="009748D2">
      <w:pPr>
        <w:ind w:firstLine="567"/>
      </w:pPr>
      <w:r w:rsidRPr="007B09BB">
        <w:rPr>
          <w:sz w:val="16"/>
          <w:szCs w:val="16"/>
          <w:vertAlign w:val="superscript"/>
        </w:rPr>
        <w:footnoteRef/>
      </w:r>
      <w:r w:rsidRPr="007B09BB">
        <w:rPr>
          <w:sz w:val="16"/>
          <w:szCs w:val="16"/>
        </w:rPr>
        <w:t xml:space="preserve"> Capital Market Authority, Legislation Regulating the Companies Operating in the Field of Securities and Listed Companies, Article 115.</w:t>
      </w:r>
    </w:p>
  </w:footnote>
  <w:footnote w:id="77">
    <w:p w14:paraId="59F98FD3" w14:textId="77777777" w:rsidR="00DE4516" w:rsidRDefault="00DE4516" w:rsidP="009748D2">
      <w:pPr>
        <w:ind w:firstLine="567"/>
      </w:pPr>
      <w:r w:rsidRPr="007B09BB">
        <w:rPr>
          <w:sz w:val="16"/>
          <w:szCs w:val="16"/>
          <w:vertAlign w:val="superscript"/>
        </w:rPr>
        <w:footnoteRef/>
      </w:r>
      <w:r w:rsidRPr="007B09BB">
        <w:rPr>
          <w:sz w:val="16"/>
          <w:szCs w:val="16"/>
        </w:rPr>
        <w:t xml:space="preserve"> Thomas Wigley, "Oman's New Insolvency Regime Comes into Force", </w:t>
      </w:r>
      <w:r w:rsidRPr="007B09BB">
        <w:rPr>
          <w:i/>
          <w:iCs/>
          <w:sz w:val="16"/>
          <w:szCs w:val="16"/>
        </w:rPr>
        <w:t>MEED</w:t>
      </w:r>
      <w:r w:rsidRPr="007B09BB">
        <w:rPr>
          <w:sz w:val="16"/>
          <w:szCs w:val="16"/>
        </w:rPr>
        <w:t>, 1 July 2020.</w:t>
      </w:r>
    </w:p>
  </w:footnote>
  <w:footnote w:id="78">
    <w:p w14:paraId="560F75C2" w14:textId="77777777" w:rsidR="00DE4516" w:rsidRDefault="00DE4516" w:rsidP="009748D2">
      <w:pPr>
        <w:ind w:firstLine="567"/>
      </w:pPr>
      <w:r w:rsidRPr="007B09BB">
        <w:rPr>
          <w:sz w:val="16"/>
          <w:szCs w:val="16"/>
          <w:vertAlign w:val="superscript"/>
        </w:rPr>
        <w:footnoteRef/>
      </w:r>
      <w:r w:rsidRPr="007B09BB">
        <w:rPr>
          <w:sz w:val="16"/>
          <w:szCs w:val="16"/>
        </w:rPr>
        <w:t xml:space="preserve"> World Bank Group, </w:t>
      </w:r>
      <w:r w:rsidRPr="007B09BB">
        <w:rPr>
          <w:i/>
          <w:iCs/>
          <w:sz w:val="16"/>
          <w:szCs w:val="16"/>
        </w:rPr>
        <w:t>Doing Business Oman 2020</w:t>
      </w:r>
      <w:r w:rsidRPr="007B09BB">
        <w:rPr>
          <w:sz w:val="16"/>
          <w:szCs w:val="16"/>
        </w:rPr>
        <w:t>.</w:t>
      </w:r>
    </w:p>
  </w:footnote>
  <w:footnote w:id="79">
    <w:p w14:paraId="2A2577BB" w14:textId="77777777" w:rsidR="00DE4516" w:rsidRDefault="00DE4516" w:rsidP="009748D2">
      <w:pPr>
        <w:ind w:firstLine="567"/>
      </w:pPr>
      <w:r w:rsidRPr="007B09BB">
        <w:rPr>
          <w:sz w:val="16"/>
          <w:szCs w:val="16"/>
          <w:vertAlign w:val="superscript"/>
        </w:rPr>
        <w:footnoteRef/>
      </w:r>
      <w:r w:rsidRPr="007B09BB">
        <w:rPr>
          <w:sz w:val="16"/>
          <w:szCs w:val="16"/>
        </w:rPr>
        <w:t xml:space="preserve"> Transparency International, </w:t>
      </w:r>
      <w:r w:rsidRPr="007B09BB">
        <w:rPr>
          <w:i/>
          <w:iCs/>
          <w:sz w:val="16"/>
          <w:szCs w:val="16"/>
        </w:rPr>
        <w:t>Corruption Perception Index Results 2019</w:t>
      </w:r>
      <w:r w:rsidRPr="007B09BB">
        <w:rPr>
          <w:sz w:val="16"/>
          <w:szCs w:val="16"/>
        </w:rPr>
        <w:t>.</w:t>
      </w:r>
    </w:p>
  </w:footnote>
  <w:footnote w:id="80">
    <w:p w14:paraId="7A6F1C1E" w14:textId="77777777" w:rsidR="00DE4516" w:rsidRDefault="00DE4516" w:rsidP="009748D2">
      <w:pPr>
        <w:ind w:firstLine="567"/>
      </w:pPr>
      <w:r w:rsidRPr="007B09BB">
        <w:rPr>
          <w:sz w:val="16"/>
          <w:szCs w:val="16"/>
          <w:vertAlign w:val="superscript"/>
        </w:rPr>
        <w:footnoteRef/>
      </w:r>
      <w:r w:rsidRPr="007B09BB">
        <w:rPr>
          <w:sz w:val="16"/>
          <w:szCs w:val="16"/>
        </w:rPr>
        <w:t xml:space="preserve"> Conrad Prabhu, "Oman Tipped to Become Regional Hub for Ecommerce", </w:t>
      </w:r>
      <w:r w:rsidRPr="007B09BB">
        <w:rPr>
          <w:i/>
          <w:iCs/>
          <w:sz w:val="16"/>
          <w:szCs w:val="16"/>
        </w:rPr>
        <w:t>Oman Daily Observer</w:t>
      </w:r>
      <w:r w:rsidRPr="007B09BB">
        <w:rPr>
          <w:sz w:val="16"/>
          <w:szCs w:val="16"/>
        </w:rPr>
        <w:t>, 8 September 2020.</w:t>
      </w:r>
    </w:p>
  </w:footnote>
  <w:footnote w:id="81">
    <w:p w14:paraId="1396AD47" w14:textId="77777777" w:rsidR="00DE4516" w:rsidRDefault="00DE4516" w:rsidP="009748D2">
      <w:pPr>
        <w:ind w:firstLine="567"/>
      </w:pPr>
      <w:r w:rsidRPr="007B09BB">
        <w:rPr>
          <w:sz w:val="16"/>
          <w:szCs w:val="16"/>
          <w:vertAlign w:val="superscript"/>
        </w:rPr>
        <w:footnoteRef/>
      </w:r>
      <w:r w:rsidRPr="007B09BB">
        <w:rPr>
          <w:sz w:val="16"/>
          <w:szCs w:val="16"/>
        </w:rPr>
        <w:t xml:space="preserve"> </w:t>
      </w:r>
      <w:r>
        <w:rPr>
          <w:sz w:val="16"/>
          <w:szCs w:val="16"/>
        </w:rPr>
        <w:t xml:space="preserve">With </w:t>
      </w:r>
      <w:r w:rsidRPr="007B09BB">
        <w:rPr>
          <w:sz w:val="16"/>
          <w:szCs w:val="16"/>
        </w:rPr>
        <w:t>Algeria, Austria, Belarus, Belgium-Luxembourg Economic Union, Brunei Darussalam</w:t>
      </w:r>
      <w:r w:rsidRPr="007B09BB">
        <w:rPr>
          <w:sz w:val="16"/>
          <w:szCs w:val="16"/>
          <w:highlight w:val="white"/>
        </w:rPr>
        <w:t xml:space="preserve">, </w:t>
      </w:r>
      <w:r w:rsidRPr="007B09BB">
        <w:rPr>
          <w:sz w:val="16"/>
          <w:szCs w:val="16"/>
        </w:rPr>
        <w:t xml:space="preserve">Bulgaria, China, Croatia, Egypt, Finland, France, Germany, India, </w:t>
      </w:r>
      <w:r>
        <w:rPr>
          <w:sz w:val="16"/>
          <w:szCs w:val="16"/>
        </w:rPr>
        <w:t xml:space="preserve">Islamic Republic of </w:t>
      </w:r>
      <w:r w:rsidRPr="007B09BB">
        <w:rPr>
          <w:sz w:val="16"/>
          <w:szCs w:val="16"/>
        </w:rPr>
        <w:t>Iran, Italy, Japan, Jordan, Republic of Korea, Lebanon, Morocco, Netherlands, Pakistan, Singapore, Sudan, Sweden, Switzerland, Syria, Tanzania, Tunisia, Turkey, Ukraine, United Kingdom, Uzbekistan, Viet Nam, and Yemen.</w:t>
      </w:r>
    </w:p>
  </w:footnote>
  <w:footnote w:id="82">
    <w:p w14:paraId="1682325F" w14:textId="77777777" w:rsidR="00DE4516" w:rsidRDefault="00DE4516" w:rsidP="009748D2">
      <w:pPr>
        <w:ind w:firstLine="567"/>
      </w:pPr>
      <w:r w:rsidRPr="007B09BB">
        <w:rPr>
          <w:sz w:val="16"/>
          <w:szCs w:val="16"/>
          <w:vertAlign w:val="superscript"/>
        </w:rPr>
        <w:footnoteRef/>
      </w:r>
      <w:r w:rsidRPr="007B09BB">
        <w:rPr>
          <w:sz w:val="16"/>
          <w:szCs w:val="16"/>
        </w:rPr>
        <w:t xml:space="preserve"> </w:t>
      </w:r>
      <w:r>
        <w:rPr>
          <w:sz w:val="16"/>
          <w:szCs w:val="16"/>
        </w:rPr>
        <w:t xml:space="preserve">With </w:t>
      </w:r>
      <w:r w:rsidRPr="007B09BB">
        <w:rPr>
          <w:sz w:val="16"/>
          <w:szCs w:val="16"/>
        </w:rPr>
        <w:t>Algeria, Belarus, Brunei Darussalam, Canada, China, Croatia, France, Hungary, India, the Islamic Republic of Iran, Italy, Japan, Republic of Korea, Lebanon, Mauritius, the Republic of Moldova, Morocco, Netherlands, Pakistan, Portugal, Seychelles, Singapore, South Africa, Spain, Sri Lanka, Sudan, Switzerland, Syria, Thailand, Tunisia, Turkey, the United Kingdom, Uzbekistan, Viet Nam, and Yemen. Agreements with Belgium, Egypt, Germany, and the Russian Federation are not in force.</w:t>
      </w:r>
    </w:p>
  </w:footnote>
  <w:footnote w:id="83">
    <w:p w14:paraId="1BD3151F" w14:textId="77777777" w:rsidR="00DE4516" w:rsidRDefault="00DE4516" w:rsidP="00670BAA">
      <w:pPr>
        <w:pStyle w:val="FootnoteText"/>
      </w:pPr>
      <w:r w:rsidRPr="00225231">
        <w:rPr>
          <w:rStyle w:val="FootnoteReference"/>
        </w:rPr>
        <w:footnoteRef/>
      </w:r>
      <w:r w:rsidRPr="00225231">
        <w:t xml:space="preserve"> Asyad, </w:t>
      </w:r>
      <w:r w:rsidRPr="00225231">
        <w:rPr>
          <w:i/>
          <w:iCs/>
        </w:rPr>
        <w:t>The Logistics of Performance</w:t>
      </w:r>
      <w:r w:rsidRPr="00225231">
        <w:t>, 23 January 2020.</w:t>
      </w:r>
    </w:p>
  </w:footnote>
  <w:footnote w:id="84">
    <w:p w14:paraId="0BDDF8FE" w14:textId="77777777" w:rsidR="00DE4516" w:rsidRDefault="00DE4516" w:rsidP="00670BAA">
      <w:pPr>
        <w:ind w:firstLine="567"/>
      </w:pPr>
      <w:r w:rsidRPr="00225231">
        <w:rPr>
          <w:sz w:val="16"/>
          <w:szCs w:val="16"/>
          <w:vertAlign w:val="superscript"/>
        </w:rPr>
        <w:footnoteRef/>
      </w:r>
      <w:r w:rsidRPr="00225231">
        <w:rPr>
          <w:rFonts w:cs="Verdana"/>
          <w:sz w:val="16"/>
          <w:szCs w:val="16"/>
        </w:rPr>
        <w:t xml:space="preserve"> Royal Oman Police, </w:t>
      </w:r>
      <w:r w:rsidRPr="00225231">
        <w:rPr>
          <w:rFonts w:cs="Verdana"/>
          <w:i/>
          <w:iCs/>
          <w:sz w:val="16"/>
          <w:szCs w:val="16"/>
        </w:rPr>
        <w:t>Bayan System</w:t>
      </w:r>
      <w:r w:rsidRPr="00225231">
        <w:rPr>
          <w:rFonts w:cs="Verdana"/>
          <w:sz w:val="16"/>
          <w:szCs w:val="16"/>
        </w:rPr>
        <w:t xml:space="preserve">. Viewed at: </w:t>
      </w:r>
      <w:hyperlink r:id="rId25">
        <w:r w:rsidRPr="00225231">
          <w:rPr>
            <w:rFonts w:cs="Verdana"/>
            <w:color w:val="1155CC"/>
            <w:sz w:val="16"/>
            <w:szCs w:val="16"/>
            <w:u w:val="single"/>
          </w:rPr>
          <w:t>https://www.customs.gov.om/dgcportal/bayan-system</w:t>
        </w:r>
      </w:hyperlink>
      <w:r w:rsidRPr="00225231">
        <w:rPr>
          <w:rFonts w:cs="Verdana"/>
          <w:sz w:val="16"/>
          <w:szCs w:val="16"/>
        </w:rPr>
        <w:t>.</w:t>
      </w:r>
    </w:p>
  </w:footnote>
  <w:footnote w:id="85">
    <w:p w14:paraId="5DA5DAA0" w14:textId="77777777" w:rsidR="00DE4516" w:rsidRDefault="00DE4516" w:rsidP="00670BAA">
      <w:pPr>
        <w:pStyle w:val="FootnoteText"/>
      </w:pPr>
      <w:r w:rsidRPr="00225231">
        <w:rPr>
          <w:rStyle w:val="FootnoteReference"/>
        </w:rPr>
        <w:footnoteRef/>
      </w:r>
      <w:r w:rsidRPr="00225231">
        <w:t xml:space="preserve"> The World Bank Doing Business database also indicates that the average time to import and export for documentary compliance is seven hours. However, time to import for border compliance is 39 hours.</w:t>
      </w:r>
    </w:p>
  </w:footnote>
  <w:footnote w:id="86">
    <w:p w14:paraId="3EC1085D" w14:textId="77777777" w:rsidR="00DE4516" w:rsidRDefault="00DE4516" w:rsidP="00670BAA">
      <w:pPr>
        <w:pStyle w:val="FootnoteText"/>
      </w:pPr>
      <w:r w:rsidRPr="00225231">
        <w:rPr>
          <w:rStyle w:val="FootnoteReference"/>
        </w:rPr>
        <w:footnoteRef/>
      </w:r>
      <w:r w:rsidRPr="00225231">
        <w:t xml:space="preserve"> Asyad, </w:t>
      </w:r>
      <w:r w:rsidRPr="00225231">
        <w:rPr>
          <w:i/>
          <w:iCs/>
        </w:rPr>
        <w:t>The Logistics of Performance</w:t>
      </w:r>
      <w:r w:rsidRPr="00225231">
        <w:t>, 23 January 2020.</w:t>
      </w:r>
    </w:p>
  </w:footnote>
  <w:footnote w:id="87">
    <w:p w14:paraId="0E6AA244" w14:textId="77777777" w:rsidR="00DE4516" w:rsidRDefault="00DE4516" w:rsidP="00670BAA">
      <w:pPr>
        <w:pStyle w:val="FootnoteText"/>
      </w:pPr>
      <w:r w:rsidRPr="00225231">
        <w:rPr>
          <w:rStyle w:val="FootnoteReference"/>
        </w:rPr>
        <w:footnoteRef/>
      </w:r>
      <w:r w:rsidRPr="00225231">
        <w:t xml:space="preserve"> These imports come directly from one of 86 commercial ports in more than 40 countries, which are directly connected to Oman, without any intermediate stop.</w:t>
      </w:r>
    </w:p>
  </w:footnote>
  <w:footnote w:id="88">
    <w:p w14:paraId="2BDFD34F" w14:textId="77777777" w:rsidR="00DE4516" w:rsidRDefault="00DE4516" w:rsidP="00670BAA">
      <w:pPr>
        <w:ind w:firstLine="567"/>
      </w:pPr>
      <w:r w:rsidRPr="00553133">
        <w:rPr>
          <w:sz w:val="16"/>
          <w:szCs w:val="16"/>
          <w:vertAlign w:val="superscript"/>
        </w:rPr>
        <w:footnoteRef/>
      </w:r>
      <w:r w:rsidRPr="00553133">
        <w:rPr>
          <w:rFonts w:cs="Verdana"/>
          <w:sz w:val="16"/>
          <w:szCs w:val="16"/>
        </w:rPr>
        <w:t xml:space="preserve"> Ministry of Commerce and Industry, </w:t>
      </w:r>
      <w:r>
        <w:rPr>
          <w:rFonts w:cs="Verdana"/>
          <w:sz w:val="16"/>
          <w:szCs w:val="16"/>
        </w:rPr>
        <w:t>"</w:t>
      </w:r>
      <w:r w:rsidRPr="00553133">
        <w:rPr>
          <w:rFonts w:cs="Verdana"/>
          <w:sz w:val="16"/>
          <w:szCs w:val="16"/>
        </w:rPr>
        <w:t>Direct Import of Goods and Commodities Helped in Revitalization of the Commercial Activity in Oman</w:t>
      </w:r>
      <w:r>
        <w:rPr>
          <w:rFonts w:cs="Verdana"/>
          <w:sz w:val="16"/>
          <w:szCs w:val="16"/>
        </w:rPr>
        <w:t>"</w:t>
      </w:r>
      <w:r w:rsidRPr="00553133">
        <w:rPr>
          <w:rFonts w:cs="Verdana"/>
          <w:sz w:val="16"/>
          <w:szCs w:val="16"/>
        </w:rPr>
        <w:t>;</w:t>
      </w:r>
      <w:r w:rsidRPr="00225231">
        <w:rPr>
          <w:rFonts w:cs="Verdana"/>
          <w:sz w:val="16"/>
          <w:szCs w:val="16"/>
        </w:rPr>
        <w:t xml:space="preserve"> </w:t>
      </w:r>
      <w:r w:rsidRPr="00225231">
        <w:rPr>
          <w:rFonts w:cs="Verdana"/>
          <w:i/>
          <w:iCs/>
          <w:sz w:val="16"/>
          <w:szCs w:val="16"/>
        </w:rPr>
        <w:t>Times of Oman</w:t>
      </w:r>
      <w:r w:rsidRPr="00225231">
        <w:rPr>
          <w:rFonts w:cs="Verdana"/>
          <w:sz w:val="16"/>
          <w:szCs w:val="16"/>
        </w:rPr>
        <w:t>, "Direct import has revitalised commercial activity in Oman", 16 May 2020.</w:t>
      </w:r>
    </w:p>
  </w:footnote>
  <w:footnote w:id="89">
    <w:p w14:paraId="44BA57EA" w14:textId="77777777" w:rsidR="00DE4516" w:rsidRDefault="00DE4516" w:rsidP="00670BAA">
      <w:pPr>
        <w:ind w:firstLine="567"/>
      </w:pPr>
      <w:r w:rsidRPr="00225231">
        <w:rPr>
          <w:sz w:val="16"/>
          <w:szCs w:val="16"/>
          <w:vertAlign w:val="superscript"/>
        </w:rPr>
        <w:footnoteRef/>
      </w:r>
      <w:r w:rsidRPr="00225231">
        <w:rPr>
          <w:rFonts w:cs="Verdana"/>
          <w:sz w:val="16"/>
          <w:szCs w:val="16"/>
        </w:rPr>
        <w:t xml:space="preserve"> WTO document G/PSI/N/1/Add.10, 19 July 2004.</w:t>
      </w:r>
    </w:p>
  </w:footnote>
  <w:footnote w:id="90">
    <w:p w14:paraId="3BCB7A29" w14:textId="77777777" w:rsidR="00DE4516" w:rsidRDefault="00DE4516" w:rsidP="00670BAA">
      <w:pPr>
        <w:ind w:firstLine="567"/>
      </w:pPr>
      <w:r w:rsidRPr="00225231">
        <w:rPr>
          <w:sz w:val="16"/>
          <w:szCs w:val="16"/>
          <w:vertAlign w:val="superscript"/>
        </w:rPr>
        <w:footnoteRef/>
      </w:r>
      <w:r w:rsidRPr="00225231">
        <w:rPr>
          <w:rFonts w:cs="Verdana"/>
          <w:sz w:val="16"/>
          <w:szCs w:val="16"/>
        </w:rPr>
        <w:t xml:space="preserve"> WTO document WT/PCTF/N/OMN/1, 14 August 2014.</w:t>
      </w:r>
    </w:p>
  </w:footnote>
  <w:footnote w:id="91">
    <w:p w14:paraId="081A3BAF" w14:textId="77777777" w:rsidR="00DE4516" w:rsidRDefault="00DE4516" w:rsidP="00670BAA">
      <w:pPr>
        <w:ind w:firstLine="567"/>
      </w:pPr>
      <w:r w:rsidRPr="00225231">
        <w:rPr>
          <w:sz w:val="16"/>
          <w:szCs w:val="16"/>
          <w:vertAlign w:val="superscript"/>
        </w:rPr>
        <w:footnoteRef/>
      </w:r>
      <w:r w:rsidRPr="00225231">
        <w:rPr>
          <w:sz w:val="16"/>
          <w:szCs w:val="16"/>
        </w:rPr>
        <w:t xml:space="preserve"> Trade Facilitation Agreement Database. Viewed at: </w:t>
      </w:r>
      <w:hyperlink r:id="rId26" w:history="1">
        <w:r w:rsidRPr="00225231">
          <w:rPr>
            <w:rStyle w:val="Hyperlink"/>
            <w:color w:val="1155CC"/>
            <w:sz w:val="16"/>
            <w:szCs w:val="16"/>
          </w:rPr>
          <w:t>https://tfadatabase.org/members/oman</w:t>
        </w:r>
      </w:hyperlink>
      <w:r w:rsidRPr="00225231">
        <w:rPr>
          <w:rFonts w:cs="Verdana"/>
          <w:sz w:val="16"/>
          <w:szCs w:val="16"/>
        </w:rPr>
        <w:t>.</w:t>
      </w:r>
    </w:p>
  </w:footnote>
  <w:footnote w:id="92">
    <w:p w14:paraId="7170524E" w14:textId="77777777" w:rsidR="00DE4516" w:rsidRDefault="00DE4516" w:rsidP="00670BAA">
      <w:pPr>
        <w:pStyle w:val="FootnoteText"/>
      </w:pPr>
      <w:r w:rsidRPr="00225231">
        <w:rPr>
          <w:rStyle w:val="FootnoteReference"/>
        </w:rPr>
        <w:footnoteRef/>
      </w:r>
      <w:r w:rsidRPr="00225231">
        <w:t xml:space="preserve"> WTO document G/VAL/N/1/OMN/2, 8 September 2008.</w:t>
      </w:r>
    </w:p>
  </w:footnote>
  <w:footnote w:id="93">
    <w:p w14:paraId="7D128134" w14:textId="77777777" w:rsidR="00DE4516" w:rsidRDefault="00DE4516" w:rsidP="00670BAA">
      <w:pPr>
        <w:pStyle w:val="FootnoteText"/>
      </w:pPr>
      <w:r w:rsidRPr="00225231">
        <w:rPr>
          <w:rStyle w:val="FootnoteReference"/>
        </w:rPr>
        <w:footnoteRef/>
      </w:r>
      <w:r w:rsidRPr="00225231">
        <w:t xml:space="preserve"> WTO document WT/Let/368, 22 December 2000.</w:t>
      </w:r>
    </w:p>
  </w:footnote>
  <w:footnote w:id="94">
    <w:p w14:paraId="49F3A64B" w14:textId="77777777" w:rsidR="00DE4516" w:rsidRPr="00DE4516" w:rsidRDefault="00DE4516" w:rsidP="00670BAA">
      <w:pPr>
        <w:pStyle w:val="FootnoteText"/>
        <w:rPr>
          <w:lang w:val="es-ES"/>
        </w:rPr>
      </w:pPr>
      <w:r w:rsidRPr="00225231">
        <w:rPr>
          <w:rStyle w:val="FootnoteReference"/>
        </w:rPr>
        <w:footnoteRef/>
      </w:r>
      <w:r w:rsidRPr="00BE1B87">
        <w:rPr>
          <w:lang w:val="es-ES"/>
        </w:rPr>
        <w:t xml:space="preserve"> WTO document G/VAL/M/66, 13 June 2018.</w:t>
      </w:r>
    </w:p>
  </w:footnote>
  <w:footnote w:id="95">
    <w:p w14:paraId="233F7592" w14:textId="77777777" w:rsidR="00DE4516" w:rsidRDefault="00DE4516" w:rsidP="00670BAA">
      <w:pPr>
        <w:pStyle w:val="FootnoteText"/>
      </w:pPr>
      <w:r w:rsidRPr="00225231">
        <w:rPr>
          <w:rStyle w:val="FootnoteReference"/>
        </w:rPr>
        <w:footnoteRef/>
      </w:r>
      <w:r w:rsidRPr="00225231">
        <w:t xml:space="preserve"> WTO document G/VAL/M/67, 2 April 2019.</w:t>
      </w:r>
    </w:p>
  </w:footnote>
  <w:footnote w:id="96">
    <w:p w14:paraId="548E3236" w14:textId="77777777" w:rsidR="00DE4516" w:rsidRDefault="00DE4516" w:rsidP="00670BAA">
      <w:pPr>
        <w:pStyle w:val="FootnoteText"/>
      </w:pPr>
      <w:r w:rsidRPr="00225231">
        <w:rPr>
          <w:rStyle w:val="FootnoteReference"/>
        </w:rPr>
        <w:footnoteRef/>
      </w:r>
      <w:r w:rsidRPr="00225231">
        <w:t xml:space="preserve"> </w:t>
      </w:r>
      <w:r w:rsidRPr="00225231">
        <w:rPr>
          <w:i/>
          <w:iCs/>
        </w:rPr>
        <w:t>Oman Daily Observer</w:t>
      </w:r>
      <w:r w:rsidRPr="00225231">
        <w:t>, "Oman Introduces New Advance Rulings Programme for Customs", 24 July 2019.</w:t>
      </w:r>
    </w:p>
  </w:footnote>
  <w:footnote w:id="97">
    <w:p w14:paraId="6E292917" w14:textId="77777777" w:rsidR="00DE4516" w:rsidRDefault="00DE4516" w:rsidP="00670BAA">
      <w:pPr>
        <w:pStyle w:val="FootnoteText"/>
      </w:pPr>
      <w:r w:rsidRPr="00225231">
        <w:rPr>
          <w:rStyle w:val="FootnoteReference"/>
        </w:rPr>
        <w:footnoteRef/>
      </w:r>
      <w:r w:rsidRPr="00225231">
        <w:t xml:space="preserve"> Royal Oman Police, Advance Rulings, Directorate General of Customs.</w:t>
      </w:r>
    </w:p>
  </w:footnote>
  <w:footnote w:id="98">
    <w:p w14:paraId="3C1A51A4" w14:textId="77777777" w:rsidR="00DE4516" w:rsidRDefault="00DE4516" w:rsidP="00670BAA">
      <w:pPr>
        <w:pStyle w:val="FootnoteText"/>
      </w:pPr>
      <w:r w:rsidRPr="00225231">
        <w:rPr>
          <w:rStyle w:val="FootnoteReference"/>
        </w:rPr>
        <w:footnoteRef/>
      </w:r>
      <w:r w:rsidRPr="00225231">
        <w:t xml:space="preserve"> WTO document G/VAL/N/1/OMN/1, 8 September 2008.</w:t>
      </w:r>
    </w:p>
  </w:footnote>
  <w:footnote w:id="99">
    <w:p w14:paraId="58BAC4D6" w14:textId="77777777" w:rsidR="00DE4516" w:rsidRDefault="00DE4516" w:rsidP="00670BAA">
      <w:pPr>
        <w:pStyle w:val="FootnoteText"/>
      </w:pPr>
      <w:r w:rsidRPr="00225231">
        <w:rPr>
          <w:rStyle w:val="FootnoteReference"/>
        </w:rPr>
        <w:footnoteRef/>
      </w:r>
      <w:r w:rsidRPr="00225231">
        <w:t xml:space="preserve"> Royal Decree No. 60/2014.</w:t>
      </w:r>
    </w:p>
  </w:footnote>
  <w:footnote w:id="100">
    <w:p w14:paraId="101E31CB" w14:textId="77777777" w:rsidR="00DE4516" w:rsidRDefault="00DE4516" w:rsidP="00670BAA">
      <w:pPr>
        <w:pStyle w:val="FootnoteText"/>
      </w:pPr>
      <w:r w:rsidRPr="00225231">
        <w:rPr>
          <w:rStyle w:val="FootnoteReference"/>
        </w:rPr>
        <w:footnoteRef/>
      </w:r>
      <w:r w:rsidRPr="00225231">
        <w:t xml:space="preserve"> WTO document G/RO/N/32, 30 April 2001.</w:t>
      </w:r>
    </w:p>
  </w:footnote>
  <w:footnote w:id="101">
    <w:p w14:paraId="7168E95F" w14:textId="77777777" w:rsidR="00DE4516" w:rsidRDefault="00DE4516" w:rsidP="00670BAA">
      <w:pPr>
        <w:pStyle w:val="FootnoteText"/>
      </w:pPr>
      <w:r w:rsidRPr="00225231">
        <w:rPr>
          <w:rStyle w:val="FootnoteReference"/>
        </w:rPr>
        <w:footnoteRef/>
      </w:r>
      <w:r w:rsidRPr="00225231">
        <w:t xml:space="preserve"> GCC Common Customs law, Article 25, 2003.</w:t>
      </w:r>
    </w:p>
  </w:footnote>
  <w:footnote w:id="102">
    <w:p w14:paraId="60CDDD4B" w14:textId="77777777" w:rsidR="00DE4516" w:rsidRDefault="00DE4516" w:rsidP="00670BAA">
      <w:pPr>
        <w:pStyle w:val="FootnoteText"/>
      </w:pPr>
      <w:r w:rsidRPr="00225231">
        <w:rPr>
          <w:rStyle w:val="FootnoteReference"/>
        </w:rPr>
        <w:footnoteRef/>
      </w:r>
      <w:r w:rsidRPr="00225231">
        <w:t xml:space="preserve"> Arab Rules of Origin for the Purpose of Implementing the Agreement to Facilitate and Develop Trade among Arab States, Rule 2: Standard of Origin.</w:t>
      </w:r>
    </w:p>
  </w:footnote>
  <w:footnote w:id="103">
    <w:p w14:paraId="54AF62C8" w14:textId="77777777" w:rsidR="00DE4516" w:rsidRDefault="00DE4516" w:rsidP="00670BAA">
      <w:pPr>
        <w:pStyle w:val="FootnoteText"/>
      </w:pPr>
      <w:r w:rsidRPr="00225231">
        <w:rPr>
          <w:rStyle w:val="FootnoteReference"/>
        </w:rPr>
        <w:footnoteRef/>
      </w:r>
      <w:r w:rsidRPr="00225231">
        <w:t xml:space="preserve"> The list is provided in Article IV of the FTA between the EFTA States and the Member States of the Cooperation Council for the Arab States of the Gulf.</w:t>
      </w:r>
    </w:p>
  </w:footnote>
  <w:footnote w:id="104">
    <w:p w14:paraId="676D7902" w14:textId="77777777" w:rsidR="00DE4516" w:rsidRDefault="00DE4516" w:rsidP="00670BAA">
      <w:pPr>
        <w:pStyle w:val="FootnoteText"/>
      </w:pPr>
      <w:r w:rsidRPr="00225231">
        <w:rPr>
          <w:rStyle w:val="FootnoteReference"/>
        </w:rPr>
        <w:footnoteRef/>
      </w:r>
      <w:r w:rsidRPr="00225231">
        <w:t xml:space="preserve"> Alcoholic beverages and pork products are "special products" under the GCC Agreement; GCC member States are allowed to prohibit the importation of these items or apply tariffs set at the national level.</w:t>
      </w:r>
    </w:p>
  </w:footnote>
  <w:footnote w:id="105">
    <w:p w14:paraId="6DC82035" w14:textId="77777777" w:rsidR="00DE4516" w:rsidRDefault="00DE4516" w:rsidP="00670BAA">
      <w:pPr>
        <w:pStyle w:val="FootnoteText"/>
      </w:pPr>
      <w:r w:rsidRPr="00225231">
        <w:rPr>
          <w:rStyle w:val="FootnoteReference"/>
        </w:rPr>
        <w:footnoteRef/>
      </w:r>
      <w:r w:rsidRPr="00225231">
        <w:t xml:space="preserve"> Unified VAT Agreement for the Cooperation Council of the Arab States of the Gulf.</w:t>
      </w:r>
    </w:p>
  </w:footnote>
  <w:footnote w:id="106">
    <w:p w14:paraId="31889355" w14:textId="77777777" w:rsidR="00DE4516" w:rsidRDefault="00DE4516" w:rsidP="00670BAA">
      <w:pPr>
        <w:pStyle w:val="FootnoteText"/>
      </w:pPr>
      <w:r w:rsidRPr="00225231">
        <w:rPr>
          <w:rStyle w:val="FootnoteReference"/>
        </w:rPr>
        <w:footnoteRef/>
      </w:r>
      <w:r w:rsidRPr="00225231">
        <w:t xml:space="preserve"> </w:t>
      </w:r>
      <w:r w:rsidRPr="00225231">
        <w:rPr>
          <w:i/>
          <w:iCs/>
        </w:rPr>
        <w:t>Times of Oman</w:t>
      </w:r>
      <w:r w:rsidRPr="00225231">
        <w:t>, "New Executive Decisions on VAT Implementation Issued by Oman Tax Authority", 6 January 2021.</w:t>
      </w:r>
    </w:p>
  </w:footnote>
  <w:footnote w:id="107">
    <w:p w14:paraId="5F88E3F1" w14:textId="77777777" w:rsidR="00DE4516" w:rsidRDefault="00DE4516" w:rsidP="00670BAA">
      <w:pPr>
        <w:pStyle w:val="FootnoteText"/>
      </w:pPr>
      <w:r w:rsidRPr="00225231">
        <w:rPr>
          <w:rStyle w:val="FootnoteReference"/>
        </w:rPr>
        <w:footnoteRef/>
      </w:r>
      <w:r w:rsidRPr="00225231">
        <w:t xml:space="preserve"> Information provided by the authorities.</w:t>
      </w:r>
    </w:p>
  </w:footnote>
  <w:footnote w:id="108">
    <w:p w14:paraId="219D7A02" w14:textId="77777777" w:rsidR="00DE4516" w:rsidRDefault="00DE4516" w:rsidP="00670BAA">
      <w:pPr>
        <w:ind w:firstLine="567"/>
      </w:pPr>
      <w:r w:rsidRPr="00225231">
        <w:rPr>
          <w:rStyle w:val="FootnoteReference"/>
          <w:sz w:val="16"/>
          <w:szCs w:val="16"/>
        </w:rPr>
        <w:footnoteRef/>
      </w:r>
      <w:r w:rsidRPr="00225231">
        <w:rPr>
          <w:sz w:val="16"/>
          <w:szCs w:val="16"/>
        </w:rPr>
        <w:t xml:space="preserve"> WTO document G/MA/QR/10, 15 December 2020.</w:t>
      </w:r>
    </w:p>
  </w:footnote>
  <w:footnote w:id="109">
    <w:p w14:paraId="315E4FF5" w14:textId="77777777" w:rsidR="00DE4516" w:rsidRDefault="00DE4516" w:rsidP="00670BAA">
      <w:pPr>
        <w:pStyle w:val="Heading2"/>
        <w:keepNext w:val="0"/>
        <w:numPr>
          <w:ilvl w:val="0"/>
          <w:numId w:val="0"/>
        </w:numPr>
        <w:spacing w:after="0"/>
        <w:ind w:firstLine="567"/>
      </w:pPr>
      <w:r w:rsidRPr="00225231">
        <w:rPr>
          <w:rStyle w:val="FootnoteReference"/>
          <w:b w:val="0"/>
          <w:bCs w:val="0"/>
          <w:color w:val="auto"/>
          <w:sz w:val="16"/>
          <w:szCs w:val="16"/>
        </w:rPr>
        <w:footnoteRef/>
      </w:r>
      <w:r w:rsidRPr="00225231">
        <w:rPr>
          <w:b w:val="0"/>
          <w:bCs w:val="0"/>
          <w:color w:val="auto"/>
          <w:sz w:val="16"/>
          <w:szCs w:val="16"/>
        </w:rPr>
        <w:t xml:space="preserve"> Omanuna, Oman eGovernment Services Portal, </w:t>
      </w:r>
      <w:r w:rsidRPr="00225231">
        <w:rPr>
          <w:b w:val="0"/>
          <w:bCs w:val="0"/>
          <w:i/>
          <w:iCs w:val="0"/>
          <w:color w:val="auto"/>
          <w:sz w:val="16"/>
          <w:szCs w:val="16"/>
        </w:rPr>
        <w:t>Strategies and Policies</w:t>
      </w:r>
      <w:r w:rsidRPr="00225231">
        <w:rPr>
          <w:b w:val="0"/>
          <w:bCs w:val="0"/>
          <w:color w:val="auto"/>
          <w:sz w:val="16"/>
          <w:szCs w:val="16"/>
        </w:rPr>
        <w:t>.</w:t>
      </w:r>
    </w:p>
  </w:footnote>
  <w:footnote w:id="110">
    <w:p w14:paraId="0A2E2A72" w14:textId="77777777" w:rsidR="00DE4516" w:rsidRDefault="00DE4516" w:rsidP="00670BAA">
      <w:pPr>
        <w:ind w:firstLine="567"/>
      </w:pPr>
      <w:r w:rsidRPr="00225231">
        <w:rPr>
          <w:rStyle w:val="FootnoteReference"/>
          <w:sz w:val="16"/>
          <w:szCs w:val="16"/>
        </w:rPr>
        <w:footnoteRef/>
      </w:r>
      <w:r w:rsidRPr="00225231">
        <w:rPr>
          <w:sz w:val="16"/>
          <w:szCs w:val="16"/>
        </w:rPr>
        <w:t xml:space="preserve"> Ministerial Decision No. 2/2019.</w:t>
      </w:r>
    </w:p>
  </w:footnote>
  <w:footnote w:id="111">
    <w:p w14:paraId="281F12FC" w14:textId="77777777" w:rsidR="00DE4516" w:rsidRDefault="00DE4516" w:rsidP="00670BAA">
      <w:pPr>
        <w:ind w:firstLine="567"/>
      </w:pPr>
      <w:r w:rsidRPr="00225231">
        <w:rPr>
          <w:rStyle w:val="FootnoteReference"/>
          <w:sz w:val="16"/>
          <w:szCs w:val="16"/>
        </w:rPr>
        <w:footnoteRef/>
      </w:r>
      <w:r w:rsidRPr="00225231">
        <w:rPr>
          <w:sz w:val="16"/>
          <w:szCs w:val="16"/>
        </w:rPr>
        <w:t xml:space="preserve"> Ministerial Decision No. 362/2019; Muscat Daily, Oman bans imports of poultry products from four</w:t>
      </w:r>
      <w:r>
        <w:rPr>
          <w:sz w:val="16"/>
          <w:szCs w:val="16"/>
        </w:rPr>
        <w:t> </w:t>
      </w:r>
      <w:r w:rsidRPr="00225231">
        <w:rPr>
          <w:sz w:val="16"/>
          <w:szCs w:val="16"/>
        </w:rPr>
        <w:t>countries, lifts bans for five, 18 April 2018.</w:t>
      </w:r>
    </w:p>
  </w:footnote>
  <w:footnote w:id="112">
    <w:p w14:paraId="4B281088" w14:textId="77777777" w:rsidR="00DE4516" w:rsidRDefault="00DE4516" w:rsidP="00670BAA">
      <w:pPr>
        <w:ind w:firstLine="567"/>
      </w:pPr>
      <w:r w:rsidRPr="00225231">
        <w:rPr>
          <w:rStyle w:val="FootnoteReference"/>
          <w:sz w:val="16"/>
          <w:szCs w:val="16"/>
        </w:rPr>
        <w:footnoteRef/>
      </w:r>
      <w:r w:rsidRPr="00225231">
        <w:rPr>
          <w:sz w:val="16"/>
          <w:szCs w:val="16"/>
        </w:rPr>
        <w:t xml:space="preserve"> </w:t>
      </w:r>
      <w:r w:rsidRPr="00225231">
        <w:rPr>
          <w:sz w:val="16"/>
          <w:szCs w:val="16"/>
          <w:highlight w:val="white"/>
        </w:rPr>
        <w:t xml:space="preserve">Ministerial Decisions No. 146/2020 and </w:t>
      </w:r>
      <w:r w:rsidRPr="00225231">
        <w:rPr>
          <w:sz w:val="16"/>
          <w:szCs w:val="16"/>
        </w:rPr>
        <w:t>No. 221/2020</w:t>
      </w:r>
      <w:r w:rsidRPr="00225231">
        <w:rPr>
          <w:sz w:val="16"/>
          <w:szCs w:val="16"/>
          <w:highlight w:val="white"/>
        </w:rPr>
        <w:t>.</w:t>
      </w:r>
    </w:p>
  </w:footnote>
  <w:footnote w:id="113">
    <w:p w14:paraId="5B0F1A14" w14:textId="77777777" w:rsidR="00DE4516" w:rsidRDefault="00DE4516" w:rsidP="00670BAA">
      <w:pPr>
        <w:ind w:firstLine="567"/>
      </w:pPr>
      <w:r w:rsidRPr="00225231">
        <w:rPr>
          <w:rStyle w:val="FootnoteReference"/>
          <w:sz w:val="16"/>
          <w:szCs w:val="16"/>
        </w:rPr>
        <w:footnoteRef/>
      </w:r>
      <w:r w:rsidRPr="00225231">
        <w:rPr>
          <w:sz w:val="16"/>
          <w:szCs w:val="16"/>
        </w:rPr>
        <w:t xml:space="preserve"> Ministerial Decision No. 68/2020.</w:t>
      </w:r>
    </w:p>
  </w:footnote>
  <w:footnote w:id="114">
    <w:p w14:paraId="6D6867F3" w14:textId="77777777" w:rsidR="00DE4516" w:rsidRDefault="00DE4516" w:rsidP="00670BAA">
      <w:pPr>
        <w:ind w:firstLine="567"/>
      </w:pPr>
      <w:r w:rsidRPr="00225231">
        <w:rPr>
          <w:rStyle w:val="FootnoteReference"/>
          <w:sz w:val="16"/>
          <w:szCs w:val="16"/>
        </w:rPr>
        <w:footnoteRef/>
      </w:r>
      <w:r w:rsidRPr="00225231">
        <w:rPr>
          <w:sz w:val="16"/>
          <w:szCs w:val="16"/>
        </w:rPr>
        <w:t xml:space="preserve"> Ministerial Decision No. 176/2020.</w:t>
      </w:r>
    </w:p>
  </w:footnote>
  <w:footnote w:id="115">
    <w:p w14:paraId="5968CAB0" w14:textId="77777777" w:rsidR="00DE4516" w:rsidRDefault="00DE4516" w:rsidP="00670BAA">
      <w:pPr>
        <w:pStyle w:val="FootnoteText"/>
      </w:pPr>
      <w:r w:rsidRPr="00225231">
        <w:rPr>
          <w:rStyle w:val="FootnoteReference"/>
        </w:rPr>
        <w:footnoteRef/>
      </w:r>
      <w:r w:rsidRPr="00225231">
        <w:t xml:space="preserve"> WTO document G/ADP/N/1/OMN/3, 28 September 2015.</w:t>
      </w:r>
    </w:p>
  </w:footnote>
  <w:footnote w:id="116">
    <w:p w14:paraId="2434B40E" w14:textId="77777777" w:rsidR="00DE4516" w:rsidRDefault="00DE4516" w:rsidP="00670BAA">
      <w:pPr>
        <w:pStyle w:val="FootnoteText"/>
      </w:pPr>
      <w:r w:rsidRPr="00225231">
        <w:rPr>
          <w:rStyle w:val="FootnoteReference"/>
        </w:rPr>
        <w:footnoteRef/>
      </w:r>
      <w:r w:rsidRPr="00225231">
        <w:t xml:space="preserve"> Information provided by the authorities.</w:t>
      </w:r>
    </w:p>
  </w:footnote>
  <w:footnote w:id="117">
    <w:p w14:paraId="14EC4911" w14:textId="77777777" w:rsidR="00DE4516" w:rsidRDefault="00DE4516" w:rsidP="00670BAA">
      <w:pPr>
        <w:pStyle w:val="FootnoteText"/>
      </w:pPr>
      <w:r w:rsidRPr="00225231">
        <w:rPr>
          <w:rStyle w:val="FootnoteReference"/>
        </w:rPr>
        <w:footnoteRef/>
      </w:r>
      <w:r w:rsidRPr="00225231">
        <w:t xml:space="preserve"> GCC Common Law on Antidumping, Countervailing Measures and Safeguard Measures, 2011, Article 7.</w:t>
      </w:r>
    </w:p>
  </w:footnote>
  <w:footnote w:id="118">
    <w:p w14:paraId="47BBCBB2" w14:textId="77777777" w:rsidR="00DE4516" w:rsidRDefault="00DE4516" w:rsidP="00670BAA">
      <w:pPr>
        <w:pStyle w:val="FootnoteText"/>
      </w:pPr>
      <w:r w:rsidRPr="00225231">
        <w:rPr>
          <w:rStyle w:val="FootnoteReference"/>
        </w:rPr>
        <w:footnoteRef/>
      </w:r>
      <w:r w:rsidRPr="00225231">
        <w:t xml:space="preserve"> WTO document G/ADP/N/300/OMN, 29 August 2017.</w:t>
      </w:r>
    </w:p>
  </w:footnote>
  <w:footnote w:id="119">
    <w:p w14:paraId="0A824030" w14:textId="77777777" w:rsidR="00DE4516" w:rsidRDefault="00DE4516" w:rsidP="00670BAA">
      <w:pPr>
        <w:pStyle w:val="FootnoteText"/>
      </w:pPr>
      <w:r w:rsidRPr="00225231">
        <w:rPr>
          <w:rStyle w:val="FootnoteReference"/>
        </w:rPr>
        <w:footnoteRef/>
      </w:r>
      <w:r w:rsidRPr="00225231">
        <w:t xml:space="preserve"> WTO document G/ADP/N/350/OMN, 5 February 2021.</w:t>
      </w:r>
    </w:p>
  </w:footnote>
  <w:footnote w:id="120">
    <w:p w14:paraId="41E520B8" w14:textId="77777777" w:rsidR="00DE4516" w:rsidRDefault="00DE4516" w:rsidP="00670BAA">
      <w:pPr>
        <w:pStyle w:val="FootnoteText"/>
      </w:pPr>
      <w:r w:rsidRPr="00225231">
        <w:rPr>
          <w:rStyle w:val="FootnoteReference"/>
        </w:rPr>
        <w:footnoteRef/>
      </w:r>
      <w:r w:rsidRPr="00225231">
        <w:t xml:space="preserve"> WTO document G/SG/N/11/OMN/1, 21 October 2016.</w:t>
      </w:r>
    </w:p>
  </w:footnote>
  <w:footnote w:id="121">
    <w:p w14:paraId="0E24FDED" w14:textId="77777777" w:rsidR="00DE4516" w:rsidRDefault="00DE4516" w:rsidP="00670BAA">
      <w:pPr>
        <w:pStyle w:val="FootnoteText"/>
      </w:pPr>
      <w:r w:rsidRPr="00225231">
        <w:rPr>
          <w:rStyle w:val="FootnoteReference"/>
        </w:rPr>
        <w:footnoteRef/>
      </w:r>
      <w:r w:rsidRPr="00225231">
        <w:t xml:space="preserve"> WTO document G/SG/N/11/OMN/2/Suppl.2, 30 April 2018.</w:t>
      </w:r>
    </w:p>
  </w:footnote>
  <w:footnote w:id="122">
    <w:p w14:paraId="3C2E20B9" w14:textId="77777777" w:rsidR="00DE4516" w:rsidRDefault="00DE4516" w:rsidP="00670BAA">
      <w:pPr>
        <w:pStyle w:val="FootnoteText"/>
      </w:pPr>
      <w:r w:rsidRPr="00225231">
        <w:rPr>
          <w:rStyle w:val="FootnoteReference"/>
        </w:rPr>
        <w:footnoteRef/>
      </w:r>
      <w:r w:rsidRPr="00225231">
        <w:t xml:space="preserve"> WTO document G/SG/N/11/OMN/3/Suppl.1, 14 June 2019.</w:t>
      </w:r>
    </w:p>
  </w:footnote>
  <w:footnote w:id="123">
    <w:p w14:paraId="50AA38D1" w14:textId="77777777" w:rsidR="00DE4516" w:rsidRDefault="00DE4516" w:rsidP="00670BAA">
      <w:pPr>
        <w:pStyle w:val="FootnoteText"/>
      </w:pPr>
      <w:r w:rsidRPr="00225231">
        <w:rPr>
          <w:rStyle w:val="FootnoteReference"/>
        </w:rPr>
        <w:footnoteRef/>
      </w:r>
      <w:r w:rsidRPr="00225231">
        <w:t xml:space="preserve"> International Chamber of Commerce, ICC-ECCO Guide to International Offset Contracts, 2019.</w:t>
      </w:r>
    </w:p>
  </w:footnote>
  <w:footnote w:id="124">
    <w:p w14:paraId="2D527B13" w14:textId="77777777" w:rsidR="00DE4516" w:rsidRDefault="00DE4516" w:rsidP="00670BAA">
      <w:pPr>
        <w:pStyle w:val="FootnoteText"/>
      </w:pPr>
      <w:r w:rsidRPr="00225231">
        <w:rPr>
          <w:rStyle w:val="FootnoteReference"/>
        </w:rPr>
        <w:footnoteRef/>
      </w:r>
      <w:r w:rsidRPr="00225231">
        <w:t xml:space="preserve"> </w:t>
      </w:r>
      <w:r w:rsidRPr="00225231">
        <w:rPr>
          <w:szCs w:val="16"/>
        </w:rPr>
        <w:t xml:space="preserve">Curtis, Mallet-Prevost, Colt &amp; Mosle LLP, </w:t>
      </w:r>
      <w:r w:rsidRPr="00225231">
        <w:t xml:space="preserve">Oman Law Blog, </w:t>
      </w:r>
      <w:r w:rsidRPr="00AC5D9A">
        <w:rPr>
          <w:i/>
          <w:iCs/>
        </w:rPr>
        <w:t>Offset Obligations Under the Oman Authority of Partnership for Development</w:t>
      </w:r>
      <w:r w:rsidRPr="00225231">
        <w:t>, 26 January 2016.</w:t>
      </w:r>
    </w:p>
  </w:footnote>
  <w:footnote w:id="125">
    <w:p w14:paraId="504856E0" w14:textId="77777777" w:rsidR="00DE4516" w:rsidRDefault="00DE4516" w:rsidP="00670BAA">
      <w:pPr>
        <w:pStyle w:val="FootnoteText"/>
      </w:pPr>
      <w:r w:rsidRPr="00225231">
        <w:rPr>
          <w:rStyle w:val="FootnoteReference"/>
        </w:rPr>
        <w:footnoteRef/>
      </w:r>
      <w:r w:rsidRPr="00225231">
        <w:t xml:space="preserve"> Royal Decree No. 54/2019.</w:t>
      </w:r>
    </w:p>
  </w:footnote>
  <w:footnote w:id="126">
    <w:p w14:paraId="0239BA74" w14:textId="77777777" w:rsidR="00DE4516" w:rsidRDefault="00DE4516" w:rsidP="00670BAA">
      <w:pPr>
        <w:pStyle w:val="FootnoteText"/>
      </w:pPr>
      <w:r w:rsidRPr="00225231">
        <w:rPr>
          <w:rStyle w:val="FootnoteReference"/>
        </w:rPr>
        <w:footnoteRef/>
      </w:r>
      <w:r w:rsidRPr="00225231">
        <w:t xml:space="preserve"> Dubai Exports, </w:t>
      </w:r>
      <w:r w:rsidRPr="00AC5D9A">
        <w:rPr>
          <w:i/>
          <w:iCs/>
        </w:rPr>
        <w:t>Exporting to Oman Economic Overview &amp; Trade &amp; Analysis</w:t>
      </w:r>
      <w:r w:rsidRPr="00225231">
        <w:t>, August 2019.</w:t>
      </w:r>
    </w:p>
  </w:footnote>
  <w:footnote w:id="127">
    <w:p w14:paraId="7BB296E7" w14:textId="77777777" w:rsidR="00DE4516" w:rsidRDefault="00DE4516" w:rsidP="00670BAA">
      <w:pPr>
        <w:pStyle w:val="FootnoteText"/>
      </w:pPr>
      <w:r w:rsidRPr="00225231">
        <w:rPr>
          <w:rStyle w:val="FootnoteReference"/>
        </w:rPr>
        <w:footnoteRef/>
      </w:r>
      <w:r w:rsidRPr="00225231">
        <w:t xml:space="preserve"> Royal Oman Police, Customs Services, Directorate General of Customs.</w:t>
      </w:r>
    </w:p>
  </w:footnote>
  <w:footnote w:id="128">
    <w:p w14:paraId="0D5426EA" w14:textId="77777777" w:rsidR="00DE4516" w:rsidRDefault="00DE4516" w:rsidP="00670BAA">
      <w:pPr>
        <w:pStyle w:val="FootnoteText"/>
      </w:pPr>
      <w:r w:rsidRPr="00225231">
        <w:rPr>
          <w:rStyle w:val="FootnoteReference"/>
        </w:rPr>
        <w:footnoteRef/>
      </w:r>
      <w:r w:rsidRPr="00225231">
        <w:t xml:space="preserve"> WTO document WT/COMTD/RTA/9/1, WT/REG276/1, 21 March 2018.</w:t>
      </w:r>
    </w:p>
  </w:footnote>
  <w:footnote w:id="129">
    <w:p w14:paraId="7065A750" w14:textId="77777777" w:rsidR="00DE4516" w:rsidRDefault="00DE4516" w:rsidP="00670BAA">
      <w:pPr>
        <w:ind w:firstLine="567"/>
      </w:pPr>
      <w:r w:rsidRPr="00225231">
        <w:rPr>
          <w:rStyle w:val="FootnoteReference"/>
          <w:sz w:val="16"/>
          <w:szCs w:val="16"/>
        </w:rPr>
        <w:footnoteRef/>
      </w:r>
      <w:r w:rsidRPr="00225231">
        <w:rPr>
          <w:sz w:val="16"/>
          <w:szCs w:val="16"/>
        </w:rPr>
        <w:t xml:space="preserve"> Importation and exportation of date palms and seedlings are subject to risk analysis.</w:t>
      </w:r>
    </w:p>
  </w:footnote>
  <w:footnote w:id="130">
    <w:p w14:paraId="06D08CC5" w14:textId="77777777" w:rsidR="00DE4516" w:rsidRDefault="00DE4516" w:rsidP="00670BAA">
      <w:pPr>
        <w:ind w:firstLine="567"/>
      </w:pPr>
      <w:r w:rsidRPr="00225231">
        <w:rPr>
          <w:rStyle w:val="FootnoteReference"/>
          <w:sz w:val="16"/>
          <w:szCs w:val="16"/>
        </w:rPr>
        <w:footnoteRef/>
      </w:r>
      <w:r w:rsidRPr="00225231">
        <w:rPr>
          <w:sz w:val="16"/>
          <w:szCs w:val="16"/>
        </w:rPr>
        <w:t xml:space="preserve"> The latest ban on abalone fishing, which lasted for two years, was removed through Ministerial Decision No. 246/2019. To regulate stocks, a ban on lobster fishing applies from June to February, and shrimp fishing is allowed only from September to November.</w:t>
      </w:r>
    </w:p>
  </w:footnote>
  <w:footnote w:id="131">
    <w:p w14:paraId="09B519D7" w14:textId="77777777" w:rsidR="00DE4516" w:rsidRDefault="00DE4516" w:rsidP="00670BAA">
      <w:pPr>
        <w:ind w:firstLine="567"/>
      </w:pPr>
      <w:r w:rsidRPr="00225231">
        <w:rPr>
          <w:rStyle w:val="FootnoteReference"/>
          <w:sz w:val="16"/>
          <w:szCs w:val="16"/>
        </w:rPr>
        <w:footnoteRef/>
      </w:r>
      <w:r w:rsidRPr="00225231">
        <w:rPr>
          <w:sz w:val="16"/>
          <w:szCs w:val="16"/>
        </w:rPr>
        <w:t xml:space="preserve"> </w:t>
      </w:r>
      <w:r w:rsidRPr="00AC5D9A">
        <w:rPr>
          <w:i/>
          <w:iCs/>
          <w:sz w:val="16"/>
          <w:szCs w:val="16"/>
        </w:rPr>
        <w:t>Oman Daily Observer</w:t>
      </w:r>
      <w:r w:rsidRPr="00225231">
        <w:rPr>
          <w:sz w:val="16"/>
          <w:szCs w:val="16"/>
        </w:rPr>
        <w:t>, "No Export, Bulk Sale of Face Masks", 26 February 2020.</w:t>
      </w:r>
    </w:p>
  </w:footnote>
  <w:footnote w:id="132">
    <w:p w14:paraId="03AD1065" w14:textId="77777777" w:rsidR="00DE4516" w:rsidRDefault="00DE4516" w:rsidP="00670BAA">
      <w:pPr>
        <w:pStyle w:val="FootnoteText"/>
      </w:pPr>
      <w:r w:rsidRPr="00225231">
        <w:rPr>
          <w:rStyle w:val="FootnoteReference"/>
        </w:rPr>
        <w:footnoteRef/>
      </w:r>
      <w:r w:rsidRPr="00225231">
        <w:t xml:space="preserve"> </w:t>
      </w:r>
      <w:r w:rsidRPr="00AC5D9A">
        <w:rPr>
          <w:i/>
          <w:iCs/>
        </w:rPr>
        <w:t>Oman Daily Observer</w:t>
      </w:r>
      <w:r w:rsidRPr="00225231">
        <w:t>, "No Export of Livestock without Approval: MoAF", 20 April 2020.</w:t>
      </w:r>
    </w:p>
  </w:footnote>
  <w:footnote w:id="133">
    <w:p w14:paraId="215AAA84" w14:textId="77777777" w:rsidR="00DE4516" w:rsidRDefault="00DE4516" w:rsidP="00670BAA">
      <w:pPr>
        <w:pStyle w:val="FootnoteText"/>
      </w:pPr>
      <w:r w:rsidRPr="00225231">
        <w:rPr>
          <w:rStyle w:val="FootnoteReference"/>
        </w:rPr>
        <w:footnoteRef/>
      </w:r>
      <w:r w:rsidRPr="00225231">
        <w:t xml:space="preserve"> WTO document G/SCM/N/315/OMN, 26 June 2017.</w:t>
      </w:r>
    </w:p>
  </w:footnote>
  <w:footnote w:id="134">
    <w:p w14:paraId="2E4C49CB" w14:textId="77777777" w:rsidR="00DE4516" w:rsidRDefault="00DE4516" w:rsidP="00670BAA">
      <w:pPr>
        <w:pStyle w:val="FootnoteText"/>
      </w:pPr>
      <w:r w:rsidRPr="00225231">
        <w:rPr>
          <w:rStyle w:val="FootnoteReference"/>
        </w:rPr>
        <w:footnoteRef/>
      </w:r>
      <w:r w:rsidRPr="00225231">
        <w:t xml:space="preserve"> Royal Oman Police, Oman Government Portal, Refunding Customs Taxes (Duties).</w:t>
      </w:r>
    </w:p>
  </w:footnote>
  <w:footnote w:id="135">
    <w:p w14:paraId="3FB7C14B" w14:textId="77777777" w:rsidR="00DE4516" w:rsidRDefault="00DE4516" w:rsidP="00670BAA">
      <w:pPr>
        <w:pStyle w:val="FootnoteText"/>
      </w:pPr>
      <w:r w:rsidRPr="00225231">
        <w:rPr>
          <w:rStyle w:val="FootnoteReference"/>
        </w:rPr>
        <w:footnoteRef/>
      </w:r>
      <w:r w:rsidRPr="00225231">
        <w:t xml:space="preserve"> Gulf Cooperation Council Secretariat General, Common Customs Law, Interpretative Annex, Article 16.</w:t>
      </w:r>
    </w:p>
  </w:footnote>
  <w:footnote w:id="136">
    <w:p w14:paraId="077F3E34" w14:textId="77777777" w:rsidR="00DE4516" w:rsidRDefault="00DE4516" w:rsidP="00670BAA">
      <w:pPr>
        <w:pStyle w:val="FootnoteText"/>
      </w:pPr>
      <w:r w:rsidRPr="00225231">
        <w:rPr>
          <w:rStyle w:val="FootnoteReference"/>
        </w:rPr>
        <w:footnoteRef/>
      </w:r>
      <w:r w:rsidRPr="00225231">
        <w:t xml:space="preserve"> Royal Oman Police, Oman Government Portal, Customs Services.</w:t>
      </w:r>
    </w:p>
  </w:footnote>
  <w:footnote w:id="137">
    <w:p w14:paraId="37821035" w14:textId="77777777" w:rsidR="00DE4516" w:rsidRDefault="00DE4516" w:rsidP="00670BAA">
      <w:pPr>
        <w:ind w:firstLine="567"/>
      </w:pPr>
      <w:r w:rsidRPr="00225231">
        <w:rPr>
          <w:sz w:val="16"/>
          <w:szCs w:val="16"/>
          <w:vertAlign w:val="superscript"/>
        </w:rPr>
        <w:footnoteRef/>
      </w:r>
      <w:r w:rsidRPr="00225231">
        <w:rPr>
          <w:sz w:val="16"/>
          <w:szCs w:val="16"/>
        </w:rPr>
        <w:t xml:space="preserve"> Royal Decree No. 97/2020.</w:t>
      </w:r>
    </w:p>
  </w:footnote>
  <w:footnote w:id="138">
    <w:p w14:paraId="13B48764" w14:textId="77777777" w:rsidR="00DE4516" w:rsidRDefault="00DE4516" w:rsidP="00670BAA">
      <w:pPr>
        <w:pStyle w:val="FootnoteText"/>
      </w:pPr>
      <w:r w:rsidRPr="00225231">
        <w:rPr>
          <w:rStyle w:val="FootnoteReference"/>
        </w:rPr>
        <w:footnoteRef/>
      </w:r>
      <w:r w:rsidRPr="00225231">
        <w:t xml:space="preserve"> CMS Law, </w:t>
      </w:r>
      <w:r w:rsidRPr="00AC5D9A">
        <w:rPr>
          <w:i/>
          <w:iCs/>
        </w:rPr>
        <w:t>CMS Guide to Oman's Economic and Free Zones</w:t>
      </w:r>
      <w:r w:rsidRPr="00225231">
        <w:t>, 14 October 2019.</w:t>
      </w:r>
    </w:p>
  </w:footnote>
  <w:footnote w:id="139">
    <w:p w14:paraId="0FBABB68" w14:textId="77777777" w:rsidR="00DE4516" w:rsidRDefault="00DE4516" w:rsidP="00670BAA">
      <w:pPr>
        <w:pStyle w:val="FootnoteText"/>
      </w:pPr>
      <w:r w:rsidRPr="00225231">
        <w:rPr>
          <w:rStyle w:val="FootnoteReference"/>
        </w:rPr>
        <w:footnoteRef/>
      </w:r>
      <w:r w:rsidRPr="00225231">
        <w:t xml:space="preserve"> SEZs are integrated regional development projects, allowing all kinds of economic activities, while free zones are fenced-in pieces of land, with their own customs office, with predefined economic activities and no housing allowed.</w:t>
      </w:r>
    </w:p>
  </w:footnote>
  <w:footnote w:id="140">
    <w:p w14:paraId="09B4417A" w14:textId="77777777" w:rsidR="00DE4516" w:rsidRDefault="00DE4516" w:rsidP="00670BAA">
      <w:pPr>
        <w:pStyle w:val="FootnoteText"/>
      </w:pPr>
      <w:r w:rsidRPr="00225231">
        <w:rPr>
          <w:rStyle w:val="FootnoteReference"/>
        </w:rPr>
        <w:footnoteRef/>
      </w:r>
      <w:r w:rsidRPr="00225231">
        <w:t xml:space="preserve"> CMS Law, </w:t>
      </w:r>
      <w:r w:rsidRPr="00AC5D9A">
        <w:rPr>
          <w:i/>
          <w:iCs/>
        </w:rPr>
        <w:t xml:space="preserve">CMS Guide to Oman's </w:t>
      </w:r>
      <w:r w:rsidRPr="00225231">
        <w:rPr>
          <w:i/>
          <w:iCs/>
        </w:rPr>
        <w:t>E</w:t>
      </w:r>
      <w:r w:rsidRPr="00AC5D9A">
        <w:rPr>
          <w:i/>
          <w:iCs/>
        </w:rPr>
        <w:t xml:space="preserve">conomic and </w:t>
      </w:r>
      <w:r w:rsidRPr="00225231">
        <w:rPr>
          <w:i/>
          <w:iCs/>
        </w:rPr>
        <w:t>F</w:t>
      </w:r>
      <w:r w:rsidRPr="00AC5D9A">
        <w:rPr>
          <w:i/>
          <w:iCs/>
        </w:rPr>
        <w:t xml:space="preserve">ree </w:t>
      </w:r>
      <w:r w:rsidRPr="00225231">
        <w:rPr>
          <w:i/>
          <w:iCs/>
        </w:rPr>
        <w:t>Z</w:t>
      </w:r>
      <w:r w:rsidRPr="00AC5D9A">
        <w:rPr>
          <w:i/>
          <w:iCs/>
        </w:rPr>
        <w:t>ones</w:t>
      </w:r>
      <w:r w:rsidRPr="00225231">
        <w:t>, 14 October 2019.</w:t>
      </w:r>
    </w:p>
  </w:footnote>
  <w:footnote w:id="141">
    <w:p w14:paraId="63409DBD" w14:textId="77777777" w:rsidR="00DE4516" w:rsidRDefault="00DE4516" w:rsidP="00670BAA">
      <w:pPr>
        <w:pStyle w:val="FootnoteText"/>
      </w:pPr>
      <w:r w:rsidRPr="00225231">
        <w:rPr>
          <w:rStyle w:val="FootnoteReference"/>
        </w:rPr>
        <w:footnoteRef/>
      </w:r>
      <w:r w:rsidRPr="00225231">
        <w:t xml:space="preserve"> Sohar Port and Freezone, SOHAR Freezone Investor Guide, 2017.</w:t>
      </w:r>
    </w:p>
  </w:footnote>
  <w:footnote w:id="142">
    <w:p w14:paraId="40F0533F" w14:textId="77777777" w:rsidR="00DE4516" w:rsidRDefault="00DE4516" w:rsidP="00670BAA">
      <w:pPr>
        <w:pStyle w:val="FootnoteText"/>
      </w:pPr>
      <w:r w:rsidRPr="00225231">
        <w:rPr>
          <w:rStyle w:val="FootnoteReference"/>
        </w:rPr>
        <w:footnoteRef/>
      </w:r>
      <w:r w:rsidRPr="00225231">
        <w:t xml:space="preserve"> Healy Consultants Group PLC, </w:t>
      </w:r>
      <w:r w:rsidRPr="00AC5D9A">
        <w:rPr>
          <w:i/>
          <w:iCs/>
        </w:rPr>
        <w:t>Oman: Free Zones</w:t>
      </w:r>
      <w:r w:rsidRPr="00225231">
        <w:t xml:space="preserve">. Viewed at: </w:t>
      </w:r>
      <w:hyperlink r:id="rId27" w:history="1">
        <w:r w:rsidRPr="00225231">
          <w:rPr>
            <w:rStyle w:val="Hyperlink"/>
          </w:rPr>
          <w:t>https://www.healyconsultants.com/oman-company-registration/free-zones/</w:t>
        </w:r>
      </w:hyperlink>
      <w:r w:rsidRPr="00225231">
        <w:t>.</w:t>
      </w:r>
    </w:p>
  </w:footnote>
  <w:footnote w:id="143">
    <w:p w14:paraId="5EB66DD4" w14:textId="77777777" w:rsidR="00DE4516" w:rsidRDefault="00DE4516" w:rsidP="00670BAA">
      <w:pPr>
        <w:pStyle w:val="FootnoteText"/>
      </w:pPr>
      <w:r w:rsidRPr="00225231">
        <w:rPr>
          <w:rStyle w:val="FootnoteReference"/>
        </w:rPr>
        <w:footnoteRef/>
      </w:r>
      <w:r w:rsidRPr="00225231">
        <w:t xml:space="preserve"> Salalah Free Zone, </w:t>
      </w:r>
      <w:r w:rsidRPr="00AC5D9A">
        <w:rPr>
          <w:i/>
          <w:iCs/>
        </w:rPr>
        <w:t>Licenses</w:t>
      </w:r>
      <w:r w:rsidRPr="00225231">
        <w:t xml:space="preserve">. Viewed at: </w:t>
      </w:r>
      <w:hyperlink r:id="rId28" w:history="1">
        <w:r w:rsidRPr="00225231">
          <w:rPr>
            <w:rStyle w:val="Hyperlink"/>
          </w:rPr>
          <w:t>https://www.sfzco.com/services_overview.html</w:t>
        </w:r>
      </w:hyperlink>
      <w:r w:rsidRPr="00225231">
        <w:t>.</w:t>
      </w:r>
    </w:p>
  </w:footnote>
  <w:footnote w:id="144">
    <w:p w14:paraId="17A044F8" w14:textId="77777777" w:rsidR="00DE4516" w:rsidRDefault="00DE4516" w:rsidP="00670BAA">
      <w:pPr>
        <w:pStyle w:val="FootnoteText"/>
      </w:pPr>
      <w:r w:rsidRPr="00225231">
        <w:rPr>
          <w:rStyle w:val="FootnoteReference"/>
        </w:rPr>
        <w:footnoteRef/>
      </w:r>
      <w:r w:rsidRPr="00225231">
        <w:t xml:space="preserve"> </w:t>
      </w:r>
      <w:r w:rsidRPr="00AC5D9A">
        <w:rPr>
          <w:i/>
          <w:iCs/>
        </w:rPr>
        <w:t>Oman Daily Observer</w:t>
      </w:r>
      <w:r w:rsidRPr="00225231">
        <w:t>, "Investments in Sohar, Salalah Free Zones Total RO 3.7 bn", 30 June 2020.</w:t>
      </w:r>
    </w:p>
  </w:footnote>
  <w:footnote w:id="145">
    <w:p w14:paraId="7A82A798" w14:textId="77777777" w:rsidR="00DE4516" w:rsidRDefault="00DE4516" w:rsidP="00670BAA">
      <w:pPr>
        <w:pStyle w:val="FootnoteText"/>
      </w:pPr>
      <w:r w:rsidRPr="00225231">
        <w:rPr>
          <w:rStyle w:val="FootnoteReference"/>
        </w:rPr>
        <w:footnoteRef/>
      </w:r>
      <w:r w:rsidRPr="00225231">
        <w:t xml:space="preserve"> </w:t>
      </w:r>
      <w:r w:rsidRPr="00AC5D9A">
        <w:rPr>
          <w:i/>
          <w:iCs/>
        </w:rPr>
        <w:t>Oman Daily Observer</w:t>
      </w:r>
      <w:r w:rsidRPr="00225231">
        <w:t>, "Proposal to Establish Special Economic Zone in Musandam</w:t>
      </w:r>
      <w:r>
        <w:t>"</w:t>
      </w:r>
      <w:r w:rsidRPr="00225231">
        <w:t>, 29 August 2019.</w:t>
      </w:r>
    </w:p>
  </w:footnote>
  <w:footnote w:id="146">
    <w:p w14:paraId="016479B1" w14:textId="77777777" w:rsidR="00DE4516" w:rsidRDefault="00DE4516" w:rsidP="00670BAA">
      <w:pPr>
        <w:pStyle w:val="FootnoteText"/>
      </w:pPr>
      <w:r w:rsidRPr="00225231">
        <w:rPr>
          <w:rStyle w:val="FootnoteReference"/>
        </w:rPr>
        <w:footnoteRef/>
      </w:r>
      <w:r w:rsidRPr="00225231">
        <w:t xml:space="preserve"> Credit Oman, </w:t>
      </w:r>
      <w:r w:rsidRPr="00AC5D9A">
        <w:rPr>
          <w:i/>
          <w:iCs/>
        </w:rPr>
        <w:t>Services</w:t>
      </w:r>
      <w:r w:rsidRPr="00225231">
        <w:t xml:space="preserve">. Viewed at: </w:t>
      </w:r>
      <w:hyperlink r:id="rId29" w:history="1">
        <w:r w:rsidRPr="00225231">
          <w:rPr>
            <w:rStyle w:val="Hyperlink"/>
          </w:rPr>
          <w:t>http://arabic.creditoman.om/services.aspx</w:t>
        </w:r>
      </w:hyperlink>
      <w:r w:rsidRPr="00225231">
        <w:t>.</w:t>
      </w:r>
    </w:p>
  </w:footnote>
  <w:footnote w:id="147">
    <w:p w14:paraId="069D3E5E" w14:textId="77777777" w:rsidR="00DE4516" w:rsidRDefault="00DE4516" w:rsidP="00670BAA">
      <w:pPr>
        <w:pStyle w:val="FootnoteText"/>
      </w:pPr>
      <w:r w:rsidRPr="00225231">
        <w:rPr>
          <w:rStyle w:val="FootnoteReference"/>
        </w:rPr>
        <w:footnoteRef/>
      </w:r>
      <w:r w:rsidRPr="00225231">
        <w:t xml:space="preserve"> </w:t>
      </w:r>
      <w:r w:rsidRPr="00AC5D9A">
        <w:rPr>
          <w:i/>
          <w:iCs/>
        </w:rPr>
        <w:t>Oman News Agency</w:t>
      </w:r>
      <w:r w:rsidRPr="00225231">
        <w:t>, "Credit Oman Provides Services to Omani Manufacturers, Exporters", 6 April 2020.</w:t>
      </w:r>
    </w:p>
  </w:footnote>
  <w:footnote w:id="148">
    <w:p w14:paraId="596E3F11" w14:textId="77777777" w:rsidR="00DE4516" w:rsidRDefault="00DE4516" w:rsidP="00670BAA">
      <w:pPr>
        <w:pStyle w:val="FootnoteText"/>
      </w:pPr>
      <w:r w:rsidRPr="00225231">
        <w:rPr>
          <w:rStyle w:val="FootnoteReference"/>
        </w:rPr>
        <w:footnoteRef/>
      </w:r>
      <w:r w:rsidRPr="00225231">
        <w:t xml:space="preserve"> The investment services centre shall undertake the commercial registration of the foreign investor and facilitate and simplify the procedures for obtaining all approvals, permits and licences needed to the investment project.</w:t>
      </w:r>
    </w:p>
  </w:footnote>
  <w:footnote w:id="149">
    <w:p w14:paraId="757646DF" w14:textId="77777777" w:rsidR="00DE4516" w:rsidRDefault="00DE4516" w:rsidP="00670BAA">
      <w:pPr>
        <w:pStyle w:val="FootnoteText"/>
      </w:pPr>
      <w:r w:rsidRPr="00225231">
        <w:rPr>
          <w:rStyle w:val="FootnoteReference"/>
        </w:rPr>
        <w:footnoteRef/>
      </w:r>
      <w:r w:rsidRPr="00225231">
        <w:t xml:space="preserve"> Omanuna, Oman eGovernment Services Portal, </w:t>
      </w:r>
      <w:r w:rsidRPr="00AC5D9A">
        <w:rPr>
          <w:i/>
          <w:iCs/>
        </w:rPr>
        <w:t>Investment in Oman</w:t>
      </w:r>
      <w:r w:rsidRPr="00225231">
        <w:t>.</w:t>
      </w:r>
    </w:p>
  </w:footnote>
  <w:footnote w:id="150">
    <w:p w14:paraId="5589D5D7" w14:textId="77777777" w:rsidR="00DE4516" w:rsidRDefault="00DE4516" w:rsidP="00670BAA">
      <w:pPr>
        <w:pStyle w:val="FootnoteText"/>
      </w:pPr>
      <w:r w:rsidRPr="00225231">
        <w:rPr>
          <w:rStyle w:val="FootnoteReference"/>
        </w:rPr>
        <w:footnoteRef/>
      </w:r>
      <w:r w:rsidRPr="00225231">
        <w:t xml:space="preserve"> Oman Development Bank, </w:t>
      </w:r>
      <w:r w:rsidRPr="00AC5D9A">
        <w:rPr>
          <w:i/>
          <w:iCs/>
        </w:rPr>
        <w:t>Overview Oman Development Bank</w:t>
      </w:r>
      <w:r w:rsidRPr="00225231">
        <w:t xml:space="preserve">. Viewed at: </w:t>
      </w:r>
      <w:hyperlink r:id="rId30" w:history="1">
        <w:r w:rsidRPr="00225231">
          <w:rPr>
            <w:rStyle w:val="Hyperlink"/>
          </w:rPr>
          <w:t>https://www.oman.om/wps/wcm/connect/en/site/home/gov/gov1/gov5governmentorganizations/odb/odb</w:t>
        </w:r>
      </w:hyperlink>
      <w:r w:rsidRPr="00225231">
        <w:t>.</w:t>
      </w:r>
    </w:p>
  </w:footnote>
  <w:footnote w:id="151">
    <w:p w14:paraId="23DD8AA0" w14:textId="77777777" w:rsidR="00DE4516" w:rsidRDefault="00DE4516" w:rsidP="00670BAA">
      <w:pPr>
        <w:pStyle w:val="FootnoteText"/>
      </w:pPr>
      <w:r w:rsidRPr="00225231">
        <w:rPr>
          <w:rStyle w:val="FootnoteReference"/>
        </w:rPr>
        <w:footnoteRef/>
      </w:r>
      <w:r w:rsidRPr="00225231">
        <w:t xml:space="preserve"> Authority of Small and Medium Enterprises Development, </w:t>
      </w:r>
      <w:r w:rsidRPr="00AC5D9A">
        <w:rPr>
          <w:i/>
          <w:iCs/>
        </w:rPr>
        <w:t>Riyada Mandates</w:t>
      </w:r>
      <w:r w:rsidRPr="00225231">
        <w:t>.</w:t>
      </w:r>
    </w:p>
  </w:footnote>
  <w:footnote w:id="152">
    <w:p w14:paraId="051BD6B9" w14:textId="77777777" w:rsidR="00DE4516" w:rsidRDefault="00DE4516" w:rsidP="00670BAA">
      <w:pPr>
        <w:pStyle w:val="FootnoteText"/>
      </w:pPr>
      <w:r w:rsidRPr="00225231">
        <w:rPr>
          <w:rStyle w:val="FootnoteReference"/>
        </w:rPr>
        <w:footnoteRef/>
      </w:r>
      <w:r w:rsidRPr="00225231">
        <w:t xml:space="preserve"> Zainab Al Nasseri, "Al Raffd Funds RO 99m among 2,563 SMEs", </w:t>
      </w:r>
      <w:r w:rsidRPr="00AC5D9A">
        <w:rPr>
          <w:i/>
          <w:iCs/>
        </w:rPr>
        <w:t>Oman Daily Observer</w:t>
      </w:r>
      <w:r w:rsidRPr="00225231">
        <w:t>, 14 June 2020.</w:t>
      </w:r>
    </w:p>
  </w:footnote>
  <w:footnote w:id="153">
    <w:p w14:paraId="18092C55" w14:textId="77777777" w:rsidR="00DE4516" w:rsidRDefault="00DE4516" w:rsidP="00670BAA">
      <w:pPr>
        <w:pStyle w:val="FootnoteText"/>
      </w:pPr>
      <w:r w:rsidRPr="00225231">
        <w:rPr>
          <w:rStyle w:val="FootnoteReference"/>
        </w:rPr>
        <w:footnoteRef/>
      </w:r>
      <w:r w:rsidRPr="00225231">
        <w:t xml:space="preserve"> Arif Manawy, </w:t>
      </w:r>
      <w:r w:rsidRPr="00AC5D9A">
        <w:rPr>
          <w:i/>
          <w:iCs/>
        </w:rPr>
        <w:t>Changes to the Tax Regime in Oman</w:t>
      </w:r>
      <w:r w:rsidRPr="00225231">
        <w:t>, Al Tamimi &amp; Co., April 2017.</w:t>
      </w:r>
    </w:p>
  </w:footnote>
  <w:footnote w:id="154">
    <w:p w14:paraId="32F68A67" w14:textId="77777777" w:rsidR="00DE4516" w:rsidRDefault="00DE4516" w:rsidP="00670BAA">
      <w:pPr>
        <w:pStyle w:val="FootnoteText"/>
      </w:pPr>
      <w:r w:rsidRPr="00225231">
        <w:rPr>
          <w:rStyle w:val="FootnoteReference"/>
        </w:rPr>
        <w:footnoteRef/>
      </w:r>
      <w:r w:rsidRPr="00225231">
        <w:t xml:space="preserve"> Following Ministerial Decision No. 112/2019, the rate of excise tax on carbonated drinks is 50% and 100% for alcohol, energy drinks, pork products, and tobacco products. KPMG, </w:t>
      </w:r>
      <w:r w:rsidRPr="00AC5D9A">
        <w:rPr>
          <w:i/>
          <w:iCs/>
        </w:rPr>
        <w:t xml:space="preserve">Oman </w:t>
      </w:r>
      <w:r w:rsidRPr="00225231">
        <w:rPr>
          <w:i/>
          <w:iCs/>
        </w:rPr>
        <w:t>E</w:t>
      </w:r>
      <w:r w:rsidRPr="00AC5D9A">
        <w:rPr>
          <w:i/>
          <w:iCs/>
        </w:rPr>
        <w:t xml:space="preserve">xcise </w:t>
      </w:r>
      <w:r w:rsidRPr="00225231">
        <w:rPr>
          <w:i/>
          <w:iCs/>
        </w:rPr>
        <w:t>T</w:t>
      </w:r>
      <w:r w:rsidRPr="00AC5D9A">
        <w:rPr>
          <w:i/>
          <w:iCs/>
        </w:rPr>
        <w:t xml:space="preserve">ax </w:t>
      </w:r>
      <w:r w:rsidRPr="00225231">
        <w:rPr>
          <w:i/>
          <w:iCs/>
        </w:rPr>
        <w:t>U</w:t>
      </w:r>
      <w:r w:rsidRPr="00AC5D9A">
        <w:rPr>
          <w:i/>
          <w:iCs/>
        </w:rPr>
        <w:t xml:space="preserve">pdate – </w:t>
      </w:r>
      <w:r w:rsidRPr="00225231">
        <w:rPr>
          <w:i/>
          <w:iCs/>
        </w:rPr>
        <w:t>M</w:t>
      </w:r>
      <w:r w:rsidRPr="00AC5D9A">
        <w:rPr>
          <w:i/>
          <w:iCs/>
        </w:rPr>
        <w:t xml:space="preserve">andatory </w:t>
      </w:r>
      <w:r w:rsidRPr="00225231">
        <w:rPr>
          <w:i/>
          <w:iCs/>
        </w:rPr>
        <w:t>E</w:t>
      </w:r>
      <w:r w:rsidRPr="00AC5D9A">
        <w:rPr>
          <w:i/>
          <w:iCs/>
        </w:rPr>
        <w:t xml:space="preserve">xcise </w:t>
      </w:r>
      <w:r w:rsidRPr="00225231">
        <w:rPr>
          <w:i/>
          <w:iCs/>
        </w:rPr>
        <w:t>T</w:t>
      </w:r>
      <w:r w:rsidRPr="00AC5D9A">
        <w:rPr>
          <w:i/>
          <w:iCs/>
        </w:rPr>
        <w:t xml:space="preserve">ax </w:t>
      </w:r>
      <w:r w:rsidRPr="00225231">
        <w:rPr>
          <w:i/>
          <w:iCs/>
        </w:rPr>
        <w:t>C</w:t>
      </w:r>
      <w:r w:rsidRPr="00AC5D9A">
        <w:rPr>
          <w:i/>
          <w:iCs/>
        </w:rPr>
        <w:t>ompliances</w:t>
      </w:r>
      <w:r w:rsidRPr="00225231">
        <w:t>, 30 June 2019.</w:t>
      </w:r>
    </w:p>
  </w:footnote>
  <w:footnote w:id="155">
    <w:p w14:paraId="37285CDF" w14:textId="77777777" w:rsidR="00DE4516" w:rsidRDefault="00DE4516" w:rsidP="00670BAA">
      <w:pPr>
        <w:pStyle w:val="FootnoteText"/>
      </w:pPr>
      <w:r w:rsidRPr="00225231">
        <w:rPr>
          <w:rStyle w:val="FootnoteReference"/>
        </w:rPr>
        <w:footnoteRef/>
      </w:r>
      <w:r w:rsidRPr="00225231">
        <w:t xml:space="preserve"> EY Global, </w:t>
      </w:r>
      <w:r w:rsidRPr="00AC5D9A">
        <w:rPr>
          <w:i/>
          <w:iCs/>
        </w:rPr>
        <w:t>Oman Amends Income Tax Law</w:t>
      </w:r>
      <w:r w:rsidRPr="00225231">
        <w:t>, 22 September 2020.</w:t>
      </w:r>
    </w:p>
  </w:footnote>
  <w:footnote w:id="156">
    <w:p w14:paraId="227FAD7B" w14:textId="77777777" w:rsidR="00DE4516" w:rsidRDefault="00DE4516" w:rsidP="00670BAA">
      <w:pPr>
        <w:pStyle w:val="FootnoteText"/>
      </w:pPr>
      <w:r w:rsidRPr="00225231">
        <w:rPr>
          <w:rStyle w:val="FootnoteReference"/>
        </w:rPr>
        <w:footnoteRef/>
      </w:r>
      <w:r w:rsidRPr="00225231">
        <w:t xml:space="preserve"> Turki Al Balushim Abeer Abu Omar and Zainab Fattah, "Oman to Break Gulf's Income Tax Taboo to Curb Deficit", </w:t>
      </w:r>
      <w:r w:rsidRPr="00AC5D9A">
        <w:rPr>
          <w:i/>
          <w:iCs/>
        </w:rPr>
        <w:t>Bloomberg</w:t>
      </w:r>
      <w:r w:rsidRPr="00225231">
        <w:t>, 2 November 2020.</w:t>
      </w:r>
    </w:p>
  </w:footnote>
  <w:footnote w:id="157">
    <w:p w14:paraId="172F12B1" w14:textId="77777777" w:rsidR="00DE4516" w:rsidRDefault="00DE4516" w:rsidP="00670BAA">
      <w:pPr>
        <w:pStyle w:val="FootnoteText"/>
      </w:pPr>
      <w:r w:rsidRPr="00225231">
        <w:rPr>
          <w:rStyle w:val="FootnoteReference"/>
        </w:rPr>
        <w:footnoteRef/>
      </w:r>
      <w:r w:rsidRPr="00225231">
        <w:t xml:space="preserve"> International Organization for Standardization, </w:t>
      </w:r>
      <w:r w:rsidRPr="00AC5D9A">
        <w:rPr>
          <w:i/>
          <w:iCs/>
        </w:rPr>
        <w:t>DGSM: Oman</w:t>
      </w:r>
      <w:r w:rsidRPr="00225231">
        <w:t xml:space="preserve">. Viewed at: </w:t>
      </w:r>
      <w:hyperlink r:id="rId31" w:history="1">
        <w:r w:rsidRPr="00225231">
          <w:rPr>
            <w:rStyle w:val="Hyperlink"/>
          </w:rPr>
          <w:t>https://www.iso.org/member/2007.html</w:t>
        </w:r>
      </w:hyperlink>
      <w:r w:rsidRPr="00225231">
        <w:t>.</w:t>
      </w:r>
    </w:p>
  </w:footnote>
  <w:footnote w:id="158">
    <w:p w14:paraId="03ECBCF6" w14:textId="77777777" w:rsidR="00DE4516" w:rsidRDefault="00DE4516" w:rsidP="00670BAA">
      <w:pPr>
        <w:pStyle w:val="FootnoteText"/>
      </w:pPr>
      <w:r w:rsidRPr="00225231">
        <w:rPr>
          <w:rStyle w:val="FootnoteReference"/>
        </w:rPr>
        <w:footnoteRef/>
      </w:r>
      <w:r w:rsidRPr="00225231">
        <w:t xml:space="preserve"> The DGSM was established under Royal Decree No. 39/1976; its duties and functions were defined by Royal Decree No. 1/1978.</w:t>
      </w:r>
    </w:p>
  </w:footnote>
  <w:footnote w:id="159">
    <w:p w14:paraId="2C19E6BC" w14:textId="77777777" w:rsidR="00DE4516" w:rsidRDefault="00DE4516" w:rsidP="00670BAA">
      <w:pPr>
        <w:pStyle w:val="FootnoteText"/>
      </w:pPr>
      <w:r w:rsidRPr="00225231">
        <w:rPr>
          <w:rStyle w:val="FootnoteReference"/>
        </w:rPr>
        <w:footnoteRef/>
      </w:r>
      <w:r w:rsidRPr="00225231">
        <w:t xml:space="preserve"> WTO document G/TBT/CS/2/Rev.12, 17 February 2006.</w:t>
      </w:r>
    </w:p>
  </w:footnote>
  <w:footnote w:id="160">
    <w:p w14:paraId="78B58B11" w14:textId="77777777" w:rsidR="00DE4516" w:rsidRDefault="00DE4516" w:rsidP="00670BAA">
      <w:pPr>
        <w:pStyle w:val="FootnoteText"/>
      </w:pPr>
      <w:r w:rsidRPr="00225231">
        <w:rPr>
          <w:rStyle w:val="FootnoteReference"/>
        </w:rPr>
        <w:footnoteRef/>
      </w:r>
      <w:r w:rsidRPr="00225231">
        <w:t xml:space="preserve"> GCC Standardization Organization, </w:t>
      </w:r>
      <w:r w:rsidRPr="00AC5D9A">
        <w:rPr>
          <w:i/>
          <w:iCs/>
        </w:rPr>
        <w:t>Standards Development</w:t>
      </w:r>
      <w:r w:rsidRPr="00225231">
        <w:t xml:space="preserve">. Viewed at: </w:t>
      </w:r>
      <w:hyperlink r:id="rId32" w:history="1">
        <w:r w:rsidRPr="00225231">
          <w:rPr>
            <w:rStyle w:val="Hyperlink"/>
          </w:rPr>
          <w:t>https://www.gso.org.sa/en/standards/method-of-standards-development/</w:t>
        </w:r>
      </w:hyperlink>
      <w:r w:rsidRPr="00225231">
        <w:t>.</w:t>
      </w:r>
    </w:p>
  </w:footnote>
  <w:footnote w:id="161">
    <w:p w14:paraId="67A50408" w14:textId="77777777" w:rsidR="00DE4516" w:rsidRDefault="00DE4516" w:rsidP="00670BAA">
      <w:pPr>
        <w:pStyle w:val="FootnoteText"/>
      </w:pPr>
      <w:r w:rsidRPr="00225231">
        <w:rPr>
          <w:rStyle w:val="FootnoteReference"/>
        </w:rPr>
        <w:footnoteRef/>
      </w:r>
      <w:r w:rsidRPr="00225231">
        <w:t xml:space="preserve"> The committees are the Omani Codex Committee for Food, the Technical Committee for Building Materials and Construction, the Technical Committee for Oil and Gas, the Technical Committee for Mechanical and Metallic Products, the Technical Committee for Electrical and Electronic Products, the Technical Committee for Chemical Products and Textiles, and the Technical Committee for Metrology.</w:t>
      </w:r>
    </w:p>
  </w:footnote>
  <w:footnote w:id="162">
    <w:p w14:paraId="4098A6A9" w14:textId="77777777" w:rsidR="00DE4516" w:rsidRDefault="00DE4516" w:rsidP="00670BAA">
      <w:pPr>
        <w:pStyle w:val="FootnoteText"/>
      </w:pPr>
      <w:r w:rsidRPr="00225231">
        <w:rPr>
          <w:rStyle w:val="FootnoteReference"/>
        </w:rPr>
        <w:footnoteRef/>
      </w:r>
      <w:r w:rsidRPr="00225231">
        <w:t xml:space="preserve"> In case of urgency, this period may be reduced.</w:t>
      </w:r>
    </w:p>
  </w:footnote>
  <w:footnote w:id="163">
    <w:p w14:paraId="3B3E6F9F" w14:textId="77777777" w:rsidR="00DE4516" w:rsidRDefault="00DE4516" w:rsidP="00670BAA">
      <w:pPr>
        <w:pStyle w:val="FootnoteText"/>
      </w:pPr>
      <w:r w:rsidRPr="00225231">
        <w:rPr>
          <w:rStyle w:val="FootnoteReference"/>
        </w:rPr>
        <w:footnoteRef/>
      </w:r>
      <w:r w:rsidRPr="00225231">
        <w:t xml:space="preserve"> DGSM Standards Store, </w:t>
      </w:r>
      <w:r w:rsidRPr="00AC5D9A">
        <w:rPr>
          <w:i/>
          <w:iCs/>
        </w:rPr>
        <w:t>Search Standards</w:t>
      </w:r>
      <w:r w:rsidRPr="00225231">
        <w:t>.</w:t>
      </w:r>
    </w:p>
  </w:footnote>
  <w:footnote w:id="164">
    <w:p w14:paraId="654CF283" w14:textId="77777777" w:rsidR="00DE4516" w:rsidRDefault="00DE4516" w:rsidP="00670BAA">
      <w:pPr>
        <w:pStyle w:val="FootnoteText"/>
      </w:pPr>
      <w:r w:rsidRPr="00225231">
        <w:rPr>
          <w:rStyle w:val="FootnoteReference"/>
        </w:rPr>
        <w:footnoteRef/>
      </w:r>
      <w:r w:rsidRPr="00225231">
        <w:t xml:space="preserve"> </w:t>
      </w:r>
      <w:r w:rsidRPr="00AC5D9A">
        <w:rPr>
          <w:i/>
          <w:iCs/>
        </w:rPr>
        <w:t>Oman Daily Observer</w:t>
      </w:r>
      <w:r w:rsidRPr="00225231">
        <w:t>, "MOCI Waives Mandatory Arabic Labeling on Products", 3 April 2020.</w:t>
      </w:r>
    </w:p>
  </w:footnote>
  <w:footnote w:id="165">
    <w:p w14:paraId="54007DEE" w14:textId="77777777" w:rsidR="00DE4516" w:rsidRDefault="00DE4516" w:rsidP="00670BAA">
      <w:pPr>
        <w:pStyle w:val="FootnoteText"/>
      </w:pPr>
      <w:r w:rsidRPr="00225231">
        <w:rPr>
          <w:rStyle w:val="FootnoteReference"/>
        </w:rPr>
        <w:footnoteRef/>
      </w:r>
      <w:r w:rsidRPr="00225231">
        <w:t xml:space="preserve"> </w:t>
      </w:r>
      <w:r w:rsidRPr="00225231">
        <w:rPr>
          <w:szCs w:val="16"/>
        </w:rPr>
        <w:t xml:space="preserve">Curtis, Mallet-Prevost, Colt &amp; Mosle LLP, </w:t>
      </w:r>
      <w:r w:rsidRPr="00225231">
        <w:t xml:space="preserve">Oman Law Blog, </w:t>
      </w:r>
      <w:r w:rsidRPr="00AC5D9A">
        <w:rPr>
          <w:i/>
          <w:iCs/>
        </w:rPr>
        <w:t xml:space="preserve">Importation of Food Into Oman – What You Need </w:t>
      </w:r>
      <w:r w:rsidRPr="00225231">
        <w:rPr>
          <w:i/>
          <w:iCs/>
        </w:rPr>
        <w:t>t</w:t>
      </w:r>
      <w:r w:rsidRPr="00AC5D9A">
        <w:rPr>
          <w:i/>
          <w:iCs/>
        </w:rPr>
        <w:t>o Know</w:t>
      </w:r>
      <w:r w:rsidRPr="00225231">
        <w:t>, 14 December 2015.</w:t>
      </w:r>
    </w:p>
  </w:footnote>
  <w:footnote w:id="166">
    <w:p w14:paraId="31EBF458" w14:textId="77777777" w:rsidR="00DE4516" w:rsidRDefault="00DE4516" w:rsidP="00670BAA">
      <w:pPr>
        <w:pStyle w:val="FootnoteText"/>
      </w:pPr>
      <w:r w:rsidRPr="00225231">
        <w:rPr>
          <w:rStyle w:val="FootnoteReference"/>
        </w:rPr>
        <w:footnoteRef/>
      </w:r>
      <w:r w:rsidRPr="00225231">
        <w:t xml:space="preserve"> Samuel Kutty, "Ensuring Food Safety", 5 May 2018, </w:t>
      </w:r>
      <w:r w:rsidRPr="00AC5D9A">
        <w:rPr>
          <w:i/>
          <w:iCs/>
        </w:rPr>
        <w:t>Oman Daily Observer</w:t>
      </w:r>
      <w:r w:rsidRPr="00225231">
        <w:t>.</w:t>
      </w:r>
    </w:p>
  </w:footnote>
  <w:footnote w:id="167">
    <w:p w14:paraId="4409A87D" w14:textId="77777777" w:rsidR="00DE4516" w:rsidRDefault="00DE4516" w:rsidP="00670BAA">
      <w:pPr>
        <w:pStyle w:val="FootnoteText"/>
      </w:pPr>
      <w:r w:rsidRPr="00225231">
        <w:rPr>
          <w:rStyle w:val="FootnoteReference"/>
        </w:rPr>
        <w:footnoteRef/>
      </w:r>
      <w:r w:rsidRPr="00225231">
        <w:t xml:space="preserve"> International Standards Organization, </w:t>
      </w:r>
      <w:r w:rsidRPr="00AC5D9A">
        <w:rPr>
          <w:i/>
          <w:iCs/>
        </w:rPr>
        <w:t>DGSM: Oman</w:t>
      </w:r>
      <w:r w:rsidRPr="00225231">
        <w:t xml:space="preserve">. Viewed at: </w:t>
      </w:r>
      <w:hyperlink r:id="rId33" w:history="1">
        <w:r w:rsidRPr="00225231">
          <w:rPr>
            <w:rStyle w:val="Hyperlink"/>
          </w:rPr>
          <w:t>https://www.iso.org/member/2007.html</w:t>
        </w:r>
      </w:hyperlink>
      <w:r w:rsidRPr="00225231">
        <w:t>.</w:t>
      </w:r>
    </w:p>
  </w:footnote>
  <w:footnote w:id="168">
    <w:p w14:paraId="4191990E" w14:textId="77777777" w:rsidR="00DE4516" w:rsidRDefault="00DE4516" w:rsidP="00670BAA">
      <w:pPr>
        <w:pStyle w:val="FootnoteText"/>
      </w:pPr>
      <w:r w:rsidRPr="00225231">
        <w:rPr>
          <w:rStyle w:val="FootnoteReference"/>
        </w:rPr>
        <w:footnoteRef/>
      </w:r>
      <w:r w:rsidRPr="00225231">
        <w:t xml:space="preserve"> Tobacco Control Laws, </w:t>
      </w:r>
      <w:r w:rsidRPr="00AC5D9A">
        <w:rPr>
          <w:i/>
          <w:iCs/>
        </w:rPr>
        <w:t>Legislation by Country: Oman</w:t>
      </w:r>
      <w:r w:rsidRPr="00225231">
        <w:t xml:space="preserve">. Viewed at: </w:t>
      </w:r>
      <w:hyperlink r:id="rId34" w:history="1">
        <w:r w:rsidRPr="00225231">
          <w:rPr>
            <w:rStyle w:val="Hyperlink"/>
          </w:rPr>
          <w:t>https://www.tobaccocontrollaws.org/legislation/country/oman/summary</w:t>
        </w:r>
      </w:hyperlink>
      <w:r w:rsidRPr="00225231">
        <w:t>.</w:t>
      </w:r>
    </w:p>
  </w:footnote>
  <w:footnote w:id="169">
    <w:p w14:paraId="09A9792B" w14:textId="77777777" w:rsidR="00DE4516" w:rsidRDefault="00DE4516" w:rsidP="00670BAA">
      <w:pPr>
        <w:pStyle w:val="FootnoteText"/>
      </w:pPr>
      <w:r w:rsidRPr="00225231">
        <w:rPr>
          <w:rStyle w:val="FootnoteReference"/>
        </w:rPr>
        <w:footnoteRef/>
      </w:r>
      <w:r w:rsidRPr="00225231">
        <w:t xml:space="preserve"> UL, </w:t>
      </w:r>
      <w:r w:rsidRPr="00AC5D9A">
        <w:rPr>
          <w:i/>
          <w:iCs/>
        </w:rPr>
        <w:t>Sultanate of Oman – Energy Efficiency and Labeling Requirements for Air Conditioners</w:t>
      </w:r>
      <w:r w:rsidRPr="00225231">
        <w:t>, 19 June 2019.</w:t>
      </w:r>
    </w:p>
  </w:footnote>
  <w:footnote w:id="170">
    <w:p w14:paraId="459A1A3F" w14:textId="77777777" w:rsidR="00DE4516" w:rsidRDefault="00DE4516" w:rsidP="00670BAA">
      <w:pPr>
        <w:pStyle w:val="FootnoteText"/>
      </w:pPr>
      <w:r w:rsidRPr="00225231">
        <w:rPr>
          <w:rStyle w:val="FootnoteReference"/>
        </w:rPr>
        <w:footnoteRef/>
      </w:r>
      <w:r w:rsidRPr="00225231">
        <w:t xml:space="preserve"> Samuel Kutty, "Standards Set for Cosmetic Products", </w:t>
      </w:r>
      <w:r w:rsidRPr="00225231">
        <w:rPr>
          <w:i/>
          <w:iCs/>
        </w:rPr>
        <w:t>Oman Daily Observer</w:t>
      </w:r>
      <w:r w:rsidRPr="00225231">
        <w:t>, 28 July 2019.</w:t>
      </w:r>
    </w:p>
  </w:footnote>
  <w:footnote w:id="171">
    <w:p w14:paraId="43EDC27F" w14:textId="77777777" w:rsidR="00DE4516" w:rsidRDefault="00DE4516" w:rsidP="00670BAA">
      <w:pPr>
        <w:pStyle w:val="FootnoteText"/>
      </w:pPr>
      <w:r w:rsidRPr="00225231">
        <w:rPr>
          <w:rStyle w:val="FootnoteReference"/>
        </w:rPr>
        <w:footnoteRef/>
      </w:r>
      <w:r w:rsidRPr="00225231">
        <w:t xml:space="preserve"> WTO document G/SPS/ENQ/26, 11 March 2011.</w:t>
      </w:r>
    </w:p>
  </w:footnote>
  <w:footnote w:id="172">
    <w:p w14:paraId="134B534A" w14:textId="77777777" w:rsidR="00DE4516" w:rsidRDefault="00DE4516" w:rsidP="00670BAA">
      <w:pPr>
        <w:pStyle w:val="FootnoteText"/>
      </w:pPr>
      <w:r w:rsidRPr="00225231">
        <w:rPr>
          <w:rStyle w:val="FootnoteReference"/>
        </w:rPr>
        <w:footnoteRef/>
      </w:r>
      <w:r w:rsidRPr="00225231">
        <w:t xml:space="preserve"> Dr Bandar M. Alodiani, </w:t>
      </w:r>
      <w:r w:rsidRPr="00AC5D9A">
        <w:rPr>
          <w:i/>
          <w:iCs/>
        </w:rPr>
        <w:t>GCC Guide for Control on Imported Foods</w:t>
      </w:r>
      <w:r w:rsidRPr="00225231">
        <w:t>, Secretariat General of the Gulf Cooperation Council, April 2018.</w:t>
      </w:r>
    </w:p>
  </w:footnote>
  <w:footnote w:id="173">
    <w:p w14:paraId="4BC6E67E" w14:textId="77777777" w:rsidR="00DE4516" w:rsidRDefault="00DE4516" w:rsidP="00670BAA">
      <w:pPr>
        <w:pStyle w:val="FootnoteText"/>
      </w:pPr>
      <w:r w:rsidRPr="00225231">
        <w:rPr>
          <w:rStyle w:val="FootnoteReference"/>
        </w:rPr>
        <w:footnoteRef/>
      </w:r>
      <w:r w:rsidRPr="00225231">
        <w:t xml:space="preserve"> Royal Decrees No. 45/2004 and No. 47/2004. The Regulations of the Plant Quarantine Law were issued through Ministerial Decision No. 32/2006; the Regulations of the Veterinary Quarantine Law were issued through Ministerial Decision No. 107/2008.</w:t>
      </w:r>
    </w:p>
  </w:footnote>
  <w:footnote w:id="174">
    <w:p w14:paraId="28855AD9" w14:textId="77777777" w:rsidR="00DE4516" w:rsidRDefault="00DE4516" w:rsidP="00670BAA">
      <w:pPr>
        <w:pStyle w:val="FootnoteText"/>
      </w:pPr>
      <w:r w:rsidRPr="00225231">
        <w:rPr>
          <w:rStyle w:val="FootnoteReference"/>
        </w:rPr>
        <w:footnoteRef/>
      </w:r>
      <w:r w:rsidRPr="00225231">
        <w:t xml:space="preserve"> Oman Government Portal, Ministry of Agriculture and Fisheries, Permit to Import Plant/Plant Products.</w:t>
      </w:r>
    </w:p>
  </w:footnote>
  <w:footnote w:id="175">
    <w:p w14:paraId="1EFAFFF7" w14:textId="77777777" w:rsidR="00DE4516" w:rsidRDefault="00DE4516" w:rsidP="00670BAA">
      <w:pPr>
        <w:pStyle w:val="FootnoteText"/>
      </w:pPr>
      <w:r w:rsidRPr="00225231">
        <w:rPr>
          <w:rStyle w:val="FootnoteReference"/>
        </w:rPr>
        <w:footnoteRef/>
      </w:r>
      <w:r w:rsidRPr="00225231">
        <w:t xml:space="preserve"> WTO document G/SPS/GEN/49/Rev.8, 9 October 2007.</w:t>
      </w:r>
    </w:p>
  </w:footnote>
  <w:footnote w:id="176">
    <w:p w14:paraId="1E3A6500" w14:textId="77777777" w:rsidR="00DE4516" w:rsidRDefault="00DE4516" w:rsidP="00670BAA">
      <w:pPr>
        <w:pStyle w:val="FootnoteText"/>
      </w:pPr>
      <w:r w:rsidRPr="00225231">
        <w:rPr>
          <w:rStyle w:val="FootnoteReference"/>
        </w:rPr>
        <w:footnoteRef/>
      </w:r>
      <w:r w:rsidRPr="00225231">
        <w:t xml:space="preserve"> Royal Decree No. 67/2014. Executive Regulations came into force in January 2021 through Ministerial Decision No. 18/2021.</w:t>
      </w:r>
    </w:p>
  </w:footnote>
  <w:footnote w:id="177">
    <w:p w14:paraId="4141624E" w14:textId="77777777" w:rsidR="00DE4516" w:rsidRDefault="00DE4516" w:rsidP="00670BAA">
      <w:pPr>
        <w:pStyle w:val="FootnoteText"/>
      </w:pPr>
      <w:r w:rsidRPr="00225231">
        <w:rPr>
          <w:rStyle w:val="FootnoteReference"/>
        </w:rPr>
        <w:footnoteRef/>
      </w:r>
      <w:r w:rsidRPr="00225231">
        <w:t xml:space="preserve"> Ahmed Al Barwani, </w:t>
      </w:r>
      <w:r w:rsidRPr="00AC5D9A">
        <w:rPr>
          <w:i/>
          <w:iCs/>
        </w:rPr>
        <w:t>Market Forces in Oman: The New Competition Law</w:t>
      </w:r>
      <w:r w:rsidRPr="00225231">
        <w:t>, Al Tamimi &amp; Co., May 2015.</w:t>
      </w:r>
    </w:p>
  </w:footnote>
  <w:footnote w:id="178">
    <w:p w14:paraId="046511BF" w14:textId="77777777" w:rsidR="00DE4516" w:rsidRDefault="00DE4516" w:rsidP="00670BAA">
      <w:pPr>
        <w:ind w:firstLine="567"/>
      </w:pPr>
      <w:r w:rsidRPr="00225231">
        <w:rPr>
          <w:rStyle w:val="FootnoteReference"/>
          <w:sz w:val="16"/>
          <w:szCs w:val="16"/>
        </w:rPr>
        <w:footnoteRef/>
      </w:r>
      <w:r w:rsidRPr="00225231">
        <w:rPr>
          <w:sz w:val="16"/>
          <w:szCs w:val="16"/>
        </w:rPr>
        <w:t xml:space="preserve"> Royal Decree No. 67/2014, 30 November 2014; Curtis, Mallet-Prevost, Colt &amp; Mosle LLP, </w:t>
      </w:r>
      <w:r w:rsidRPr="00225231">
        <w:rPr>
          <w:rFonts w:cs="Verdana"/>
          <w:sz w:val="16"/>
          <w:szCs w:val="16"/>
        </w:rPr>
        <w:t xml:space="preserve">Oman Law Blog, </w:t>
      </w:r>
      <w:hyperlink r:id="rId35" w:history="1">
        <w:r w:rsidRPr="00AC5D9A">
          <w:rPr>
            <w:rStyle w:val="Hyperlink"/>
            <w:rFonts w:cs="Verdana"/>
            <w:i/>
            <w:iCs/>
            <w:sz w:val="16"/>
            <w:szCs w:val="16"/>
          </w:rPr>
          <w:t>Anti-Monopoly and Competition Law in Oman</w:t>
        </w:r>
      </w:hyperlink>
      <w:r w:rsidRPr="00225231">
        <w:rPr>
          <w:rFonts w:cs="Verdana"/>
          <w:sz w:val="16"/>
          <w:szCs w:val="16"/>
        </w:rPr>
        <w:t>, 18 September 2017.</w:t>
      </w:r>
    </w:p>
  </w:footnote>
  <w:footnote w:id="179">
    <w:p w14:paraId="346683D6" w14:textId="77777777" w:rsidR="00DE4516" w:rsidRDefault="00DE4516" w:rsidP="00670BAA">
      <w:pPr>
        <w:ind w:firstLine="567"/>
      </w:pPr>
      <w:r w:rsidRPr="00225231">
        <w:rPr>
          <w:rStyle w:val="FootnoteReference"/>
          <w:sz w:val="16"/>
          <w:szCs w:val="16"/>
        </w:rPr>
        <w:footnoteRef/>
      </w:r>
      <w:r w:rsidRPr="00225231">
        <w:rPr>
          <w:sz w:val="16"/>
          <w:szCs w:val="16"/>
        </w:rPr>
        <w:t xml:space="preserve"> Royal Decree No. 77/2020.</w:t>
      </w:r>
    </w:p>
  </w:footnote>
  <w:footnote w:id="180">
    <w:p w14:paraId="5BDC6C1A" w14:textId="77777777" w:rsidR="00DE4516" w:rsidRDefault="00DE4516" w:rsidP="00670BAA">
      <w:pPr>
        <w:ind w:firstLine="567"/>
      </w:pPr>
      <w:r w:rsidRPr="00225231">
        <w:rPr>
          <w:rStyle w:val="FootnoteReference"/>
          <w:sz w:val="16"/>
          <w:szCs w:val="16"/>
        </w:rPr>
        <w:footnoteRef/>
      </w:r>
      <w:r w:rsidRPr="00225231">
        <w:rPr>
          <w:sz w:val="16"/>
          <w:szCs w:val="16"/>
        </w:rPr>
        <w:t xml:space="preserve"> Curtis, Mallet-Prevost, Colt &amp; Mosle LLP, </w:t>
      </w:r>
      <w:r w:rsidRPr="00225231">
        <w:rPr>
          <w:rFonts w:cs="Verdana"/>
          <w:sz w:val="16"/>
          <w:szCs w:val="16"/>
        </w:rPr>
        <w:t xml:space="preserve">Oman Law Blog, </w:t>
      </w:r>
      <w:hyperlink r:id="rId36" w:history="1">
        <w:r w:rsidRPr="00AC5D9A">
          <w:rPr>
            <w:rStyle w:val="Hyperlink"/>
            <w:rFonts w:cs="Verdana"/>
            <w:i/>
            <w:iCs/>
            <w:sz w:val="16"/>
            <w:szCs w:val="16"/>
          </w:rPr>
          <w:t>Sultanate of Oman: The Consumer Protection Law</w:t>
        </w:r>
      </w:hyperlink>
      <w:r w:rsidRPr="00225231">
        <w:rPr>
          <w:rFonts w:cs="Verdana"/>
          <w:sz w:val="16"/>
          <w:szCs w:val="16"/>
        </w:rPr>
        <w:t xml:space="preserve">, 12 January 2015; </w:t>
      </w:r>
      <w:r w:rsidRPr="00225231">
        <w:rPr>
          <w:sz w:val="16"/>
          <w:szCs w:val="16"/>
        </w:rPr>
        <w:t xml:space="preserve">STA Law Firm, </w:t>
      </w:r>
      <w:r w:rsidRPr="00AC5D9A">
        <w:rPr>
          <w:i/>
          <w:iCs/>
          <w:sz w:val="16"/>
          <w:szCs w:val="16"/>
        </w:rPr>
        <w:t>Consumer Protection Law - Country Focus: Oman</w:t>
      </w:r>
      <w:r w:rsidRPr="00225231">
        <w:rPr>
          <w:sz w:val="16"/>
          <w:szCs w:val="16"/>
        </w:rPr>
        <w:t>, 5 November 2018.</w:t>
      </w:r>
    </w:p>
  </w:footnote>
  <w:footnote w:id="181">
    <w:p w14:paraId="322C069A" w14:textId="77777777" w:rsidR="00DE4516" w:rsidRDefault="00DE4516" w:rsidP="00670BAA">
      <w:pPr>
        <w:pStyle w:val="FootnoteText"/>
      </w:pPr>
      <w:r w:rsidRPr="00225231">
        <w:rPr>
          <w:rStyle w:val="FootnoteReference"/>
        </w:rPr>
        <w:footnoteRef/>
      </w:r>
      <w:r w:rsidRPr="00225231">
        <w:t xml:space="preserve"> Turki Al Balushi and Zainab Fattah, "Oman to Start Removing Utility Subsidies January Next Year", </w:t>
      </w:r>
      <w:r w:rsidRPr="00AC5D9A">
        <w:rPr>
          <w:i/>
          <w:iCs/>
        </w:rPr>
        <w:t>Bloomberg</w:t>
      </w:r>
      <w:r w:rsidRPr="00225231">
        <w:t>, 20 December 2020.</w:t>
      </w:r>
    </w:p>
  </w:footnote>
  <w:footnote w:id="182">
    <w:p w14:paraId="5E05FDA9" w14:textId="77777777" w:rsidR="00DE4516" w:rsidRDefault="00DE4516" w:rsidP="00670BAA">
      <w:pPr>
        <w:ind w:firstLine="567"/>
      </w:pPr>
      <w:r w:rsidRPr="00225231">
        <w:rPr>
          <w:vertAlign w:val="superscript"/>
        </w:rPr>
        <w:footnoteRef/>
      </w:r>
      <w:r w:rsidRPr="00225231">
        <w:rPr>
          <w:rFonts w:cs="Verdana"/>
          <w:sz w:val="16"/>
          <w:szCs w:val="16"/>
        </w:rPr>
        <w:t xml:space="preserve"> WTO document </w:t>
      </w:r>
      <w:r w:rsidRPr="00225231">
        <w:rPr>
          <w:rFonts w:cs="Verdana"/>
          <w:sz w:val="16"/>
          <w:szCs w:val="16"/>
          <w:highlight w:val="white"/>
        </w:rPr>
        <w:t>G/STR/N/15/OMN, 13 August 2014.</w:t>
      </w:r>
    </w:p>
  </w:footnote>
  <w:footnote w:id="183">
    <w:p w14:paraId="26E133AF" w14:textId="77777777" w:rsidR="00DE4516" w:rsidRDefault="00DE4516" w:rsidP="00670BAA">
      <w:pPr>
        <w:ind w:firstLine="567"/>
      </w:pPr>
      <w:r w:rsidRPr="00225231">
        <w:rPr>
          <w:vertAlign w:val="superscript"/>
        </w:rPr>
        <w:footnoteRef/>
      </w:r>
      <w:r w:rsidRPr="00225231">
        <w:rPr>
          <w:rFonts w:cs="Verdana"/>
          <w:sz w:val="16"/>
          <w:szCs w:val="16"/>
        </w:rPr>
        <w:t xml:space="preserve"> Implementation Support and Follow-up Unit, </w:t>
      </w:r>
      <w:r w:rsidRPr="00AC5D9A">
        <w:rPr>
          <w:rFonts w:cs="Verdana"/>
          <w:i/>
          <w:iCs/>
          <w:sz w:val="16"/>
          <w:szCs w:val="16"/>
        </w:rPr>
        <w:t>Annual Report 2017</w:t>
      </w:r>
      <w:r w:rsidRPr="00225231">
        <w:rPr>
          <w:rFonts w:cs="Verdana"/>
          <w:sz w:val="16"/>
          <w:szCs w:val="16"/>
        </w:rPr>
        <w:t xml:space="preserve">. Viewed at: </w:t>
      </w:r>
      <w:hyperlink r:id="rId37">
        <w:r w:rsidRPr="00225231">
          <w:rPr>
            <w:rFonts w:cs="Verdana"/>
            <w:color w:val="1155CC"/>
            <w:sz w:val="16"/>
            <w:szCs w:val="16"/>
            <w:u w:val="single"/>
          </w:rPr>
          <w:t>https://isfu.gov.om/Annual_Report_2017_EN.pdf</w:t>
        </w:r>
      </w:hyperlink>
      <w:r w:rsidRPr="00225231">
        <w:rPr>
          <w:rFonts w:cs="Verdana"/>
          <w:sz w:val="16"/>
          <w:szCs w:val="16"/>
        </w:rPr>
        <w:t>.</w:t>
      </w:r>
    </w:p>
  </w:footnote>
  <w:footnote w:id="184">
    <w:p w14:paraId="28887AA5" w14:textId="77777777" w:rsidR="00DE4516" w:rsidRDefault="00DE4516" w:rsidP="00670BAA">
      <w:pPr>
        <w:ind w:firstLine="567"/>
      </w:pPr>
      <w:r w:rsidRPr="00225231">
        <w:rPr>
          <w:vertAlign w:val="superscript"/>
        </w:rPr>
        <w:footnoteRef/>
      </w:r>
      <w:r w:rsidRPr="00225231">
        <w:rPr>
          <w:rFonts w:cs="Verdana"/>
          <w:sz w:val="16"/>
          <w:szCs w:val="16"/>
        </w:rPr>
        <w:t xml:space="preserve"> Richard Baxter, </w:t>
      </w:r>
      <w:r w:rsidRPr="00AC5D9A">
        <w:rPr>
          <w:rFonts w:cs="Verdana"/>
          <w:i/>
          <w:iCs/>
          <w:sz w:val="16"/>
          <w:szCs w:val="16"/>
        </w:rPr>
        <w:t xml:space="preserve">Oman Refines </w:t>
      </w:r>
      <w:r w:rsidRPr="00225231">
        <w:rPr>
          <w:rFonts w:cs="Verdana"/>
          <w:i/>
          <w:iCs/>
          <w:sz w:val="16"/>
          <w:szCs w:val="16"/>
        </w:rPr>
        <w:t>I</w:t>
      </w:r>
      <w:r w:rsidRPr="00AC5D9A">
        <w:rPr>
          <w:rFonts w:cs="Verdana"/>
          <w:i/>
          <w:iCs/>
          <w:sz w:val="16"/>
          <w:szCs w:val="16"/>
        </w:rPr>
        <w:t>ts Legislative Framework to Incentivise Enhanced Private Sector Investment</w:t>
      </w:r>
      <w:r w:rsidRPr="00225231">
        <w:rPr>
          <w:rFonts w:cs="Verdana"/>
          <w:sz w:val="16"/>
          <w:szCs w:val="16"/>
        </w:rPr>
        <w:t>, Al Tamimi &amp; Company, 31 January 2020.</w:t>
      </w:r>
    </w:p>
  </w:footnote>
  <w:footnote w:id="185">
    <w:p w14:paraId="16D5DD04" w14:textId="77777777" w:rsidR="00DE4516" w:rsidRDefault="00DE4516" w:rsidP="00670BAA">
      <w:pPr>
        <w:pStyle w:val="FootnoteText"/>
      </w:pPr>
      <w:r w:rsidRPr="00225231">
        <w:rPr>
          <w:rStyle w:val="FootnoteReference"/>
        </w:rPr>
        <w:footnoteRef/>
      </w:r>
      <w:r w:rsidRPr="00225231">
        <w:t xml:space="preserve"> Royal Decree No. 61/2020.</w:t>
      </w:r>
    </w:p>
  </w:footnote>
  <w:footnote w:id="186">
    <w:p w14:paraId="258CAA76" w14:textId="77777777" w:rsidR="00DE4516" w:rsidRDefault="00DE4516" w:rsidP="00670BAA">
      <w:pPr>
        <w:ind w:firstLine="567"/>
      </w:pPr>
      <w:r w:rsidRPr="00225231">
        <w:rPr>
          <w:vertAlign w:val="superscript"/>
        </w:rPr>
        <w:footnoteRef/>
      </w:r>
      <w:r w:rsidRPr="00225231">
        <w:rPr>
          <w:rFonts w:cs="Verdana"/>
          <w:sz w:val="16"/>
          <w:szCs w:val="16"/>
        </w:rPr>
        <w:t xml:space="preserve"> Oman Oil Company, Orpic, Oman Oil Company Exploration and Production, Oman Gas Company, Duqm Refinery, Salalah Methanol Company, Oman Trading International, OXEA, and Salalah Liquified Petroleum Gas. Several mergers between oil and gas companies had already been initiated in the previous years. OQ, </w:t>
      </w:r>
      <w:r w:rsidRPr="00AC5D9A">
        <w:rPr>
          <w:rFonts w:cs="Verdana"/>
          <w:i/>
          <w:iCs/>
          <w:sz w:val="16"/>
          <w:szCs w:val="16"/>
        </w:rPr>
        <w:t>Our Journey</w:t>
      </w:r>
      <w:r w:rsidRPr="00225231">
        <w:rPr>
          <w:rFonts w:cs="Verdana"/>
          <w:sz w:val="16"/>
          <w:szCs w:val="16"/>
        </w:rPr>
        <w:t xml:space="preserve">. Viewed at: </w:t>
      </w:r>
      <w:hyperlink r:id="rId38">
        <w:r w:rsidRPr="00225231">
          <w:rPr>
            <w:rFonts w:cs="Verdana"/>
            <w:color w:val="1155CC"/>
            <w:sz w:val="16"/>
            <w:szCs w:val="16"/>
            <w:u w:val="single"/>
          </w:rPr>
          <w:t>https://oq.com/en/about-oq/company/our-journey</w:t>
        </w:r>
      </w:hyperlink>
      <w:r w:rsidRPr="00225231">
        <w:rPr>
          <w:rFonts w:cs="Verdana"/>
          <w:sz w:val="16"/>
          <w:szCs w:val="16"/>
        </w:rPr>
        <w:t>.</w:t>
      </w:r>
    </w:p>
  </w:footnote>
  <w:footnote w:id="187">
    <w:p w14:paraId="207439B3" w14:textId="77777777" w:rsidR="00DE4516" w:rsidRDefault="00DE4516" w:rsidP="00670BAA">
      <w:pPr>
        <w:ind w:firstLine="567"/>
      </w:pPr>
      <w:r w:rsidRPr="00225231">
        <w:rPr>
          <w:vertAlign w:val="superscript"/>
        </w:rPr>
        <w:footnoteRef/>
      </w:r>
      <w:r w:rsidRPr="00225231">
        <w:rPr>
          <w:rFonts w:cs="Verdana"/>
          <w:sz w:val="16"/>
          <w:szCs w:val="16"/>
        </w:rPr>
        <w:t xml:space="preserve"> </w:t>
      </w:r>
      <w:r w:rsidRPr="00AC5D9A">
        <w:rPr>
          <w:rFonts w:cs="Verdana"/>
          <w:i/>
          <w:iCs/>
          <w:sz w:val="16"/>
          <w:szCs w:val="16"/>
        </w:rPr>
        <w:t>The Arab Weekly</w:t>
      </w:r>
      <w:r w:rsidRPr="00225231">
        <w:rPr>
          <w:rFonts w:cs="Verdana"/>
          <w:sz w:val="16"/>
          <w:szCs w:val="16"/>
        </w:rPr>
        <w:t>, "Oman Strikes $1 Billion Privatisation Deal with China", 22 December 2019.</w:t>
      </w:r>
    </w:p>
  </w:footnote>
  <w:footnote w:id="188">
    <w:p w14:paraId="25D650C9" w14:textId="77777777" w:rsidR="00DE4516" w:rsidRDefault="00DE4516" w:rsidP="00670BAA">
      <w:pPr>
        <w:pStyle w:val="FootnoteText"/>
      </w:pPr>
      <w:r w:rsidRPr="00225231">
        <w:rPr>
          <w:rStyle w:val="FootnoteReference"/>
        </w:rPr>
        <w:footnoteRef/>
      </w:r>
      <w:r w:rsidRPr="00225231">
        <w:t xml:space="preserve"> James Dallas, "The New Oman Tender Law – Fundamental Issues", </w:t>
      </w:r>
      <w:r w:rsidRPr="00AC5D9A">
        <w:rPr>
          <w:i/>
          <w:iCs/>
        </w:rPr>
        <w:t>Dentons</w:t>
      </w:r>
      <w:r w:rsidRPr="00225231">
        <w:t>, 3 February 2009.</w:t>
      </w:r>
    </w:p>
  </w:footnote>
  <w:footnote w:id="189">
    <w:p w14:paraId="29E5F0CF" w14:textId="77777777" w:rsidR="00DE4516" w:rsidRDefault="00DE4516" w:rsidP="00670BAA">
      <w:pPr>
        <w:pStyle w:val="FootnoteText"/>
      </w:pPr>
      <w:r w:rsidRPr="00225231">
        <w:rPr>
          <w:rStyle w:val="FootnoteReference"/>
        </w:rPr>
        <w:footnoteRef/>
      </w:r>
      <w:r w:rsidRPr="00225231">
        <w:t xml:space="preserve"> </w:t>
      </w:r>
      <w:r w:rsidRPr="00225231">
        <w:rPr>
          <w:szCs w:val="16"/>
        </w:rPr>
        <w:t xml:space="preserve">Curtis, Mallet-Prevost, Colt &amp; Mosle LLP, </w:t>
      </w:r>
      <w:r w:rsidRPr="00225231">
        <w:t xml:space="preserve">Oman Law Blog, </w:t>
      </w:r>
      <w:r w:rsidRPr="00AC5D9A">
        <w:rPr>
          <w:i/>
          <w:iCs/>
        </w:rPr>
        <w:t>Oman Drives Privatization and PPP Initiatives</w:t>
      </w:r>
      <w:r w:rsidRPr="00225231">
        <w:t>, 5 November 2019.</w:t>
      </w:r>
    </w:p>
  </w:footnote>
  <w:footnote w:id="190">
    <w:p w14:paraId="7553FB1B" w14:textId="77777777" w:rsidR="00DE4516" w:rsidRDefault="00DE4516" w:rsidP="00670BAA">
      <w:pPr>
        <w:pStyle w:val="FootnoteText"/>
      </w:pPr>
      <w:r w:rsidRPr="00225231">
        <w:rPr>
          <w:rStyle w:val="FootnoteReference"/>
        </w:rPr>
        <w:footnoteRef/>
      </w:r>
      <w:r w:rsidRPr="00225231">
        <w:t xml:space="preserve"> Royal Decree No. 36/2008.</w:t>
      </w:r>
    </w:p>
  </w:footnote>
  <w:footnote w:id="191">
    <w:p w14:paraId="31D526B5" w14:textId="77777777" w:rsidR="00DE4516" w:rsidRDefault="00DE4516" w:rsidP="00670BAA">
      <w:pPr>
        <w:pStyle w:val="FootnoteText"/>
      </w:pPr>
      <w:r w:rsidRPr="00225231">
        <w:rPr>
          <w:rStyle w:val="FootnoteReference"/>
        </w:rPr>
        <w:footnoteRef/>
      </w:r>
      <w:r w:rsidRPr="00225231">
        <w:t xml:space="preserve"> Royal Decree No. 36/2008.</w:t>
      </w:r>
    </w:p>
  </w:footnote>
  <w:footnote w:id="192">
    <w:p w14:paraId="593AB6CF" w14:textId="77777777" w:rsidR="00DE4516" w:rsidRDefault="00DE4516" w:rsidP="00670BAA">
      <w:pPr>
        <w:ind w:firstLine="567"/>
      </w:pPr>
      <w:r w:rsidRPr="00225231">
        <w:rPr>
          <w:rStyle w:val="FootnoteReference"/>
          <w:sz w:val="16"/>
          <w:szCs w:val="16"/>
        </w:rPr>
        <w:footnoteRef/>
      </w:r>
      <w:r w:rsidRPr="00225231">
        <w:rPr>
          <w:sz w:val="16"/>
          <w:szCs w:val="16"/>
        </w:rPr>
        <w:t xml:space="preserve"> </w:t>
      </w:r>
      <w:r w:rsidRPr="00D4268E">
        <w:rPr>
          <w:i/>
          <w:iCs/>
          <w:sz w:val="16"/>
          <w:szCs w:val="16"/>
        </w:rPr>
        <w:t>Oman Daily News</w:t>
      </w:r>
      <w:r w:rsidRPr="00225231">
        <w:rPr>
          <w:sz w:val="16"/>
          <w:szCs w:val="16"/>
        </w:rPr>
        <w:t>, "Oman Formulating National Strategies for Intellectual Property", 15 December 2019.</w:t>
      </w:r>
    </w:p>
  </w:footnote>
  <w:footnote w:id="193">
    <w:p w14:paraId="3C8400DC" w14:textId="77777777" w:rsidR="00DE4516" w:rsidRDefault="00DE4516" w:rsidP="00670BAA">
      <w:pPr>
        <w:ind w:firstLine="567"/>
      </w:pPr>
      <w:r w:rsidRPr="00225231">
        <w:rPr>
          <w:rStyle w:val="FootnoteReference"/>
          <w:sz w:val="16"/>
          <w:szCs w:val="16"/>
        </w:rPr>
        <w:footnoteRef/>
      </w:r>
      <w:r w:rsidRPr="00225231">
        <w:rPr>
          <w:sz w:val="16"/>
          <w:szCs w:val="16"/>
        </w:rPr>
        <w:t xml:space="preserve"> Royal Decree No. 67/2008, Articles 12(1)(B) and 13.</w:t>
      </w:r>
    </w:p>
  </w:footnote>
  <w:footnote w:id="194">
    <w:p w14:paraId="2F21D3B6" w14:textId="77777777" w:rsidR="00DE4516" w:rsidRDefault="00DE4516" w:rsidP="00670BAA">
      <w:pPr>
        <w:ind w:firstLine="567"/>
      </w:pPr>
      <w:r w:rsidRPr="00225231">
        <w:rPr>
          <w:rStyle w:val="FootnoteReference"/>
          <w:sz w:val="16"/>
          <w:szCs w:val="16"/>
        </w:rPr>
        <w:footnoteRef/>
      </w:r>
      <w:r w:rsidRPr="00225231">
        <w:rPr>
          <w:sz w:val="16"/>
          <w:szCs w:val="16"/>
        </w:rPr>
        <w:t xml:space="preserve"> GCC Patent Office, Patent Regulation of the Gulf Cooperation Council for the Arab States of the Gulf and its Implementing Bylaws, Article 13.</w:t>
      </w:r>
    </w:p>
  </w:footnote>
  <w:footnote w:id="195">
    <w:p w14:paraId="3FC3B426" w14:textId="77777777" w:rsidR="00DE4516" w:rsidRDefault="00DE4516" w:rsidP="00670BAA">
      <w:pPr>
        <w:pStyle w:val="FootnoteText"/>
      </w:pPr>
      <w:r w:rsidRPr="00225231">
        <w:rPr>
          <w:rStyle w:val="FootnoteReference"/>
        </w:rPr>
        <w:footnoteRef/>
      </w:r>
      <w:r w:rsidRPr="00225231">
        <w:t xml:space="preserve"> Tima Hachem and Lea Feghali, </w:t>
      </w:r>
      <w:r w:rsidRPr="00D4268E">
        <w:rPr>
          <w:i/>
          <w:iCs/>
        </w:rPr>
        <w:t xml:space="preserve">Patent Litigation in the Gulf </w:t>
      </w:r>
      <w:r w:rsidRPr="00225231">
        <w:rPr>
          <w:i/>
          <w:iCs/>
        </w:rPr>
        <w:t xml:space="preserve">Cooperation </w:t>
      </w:r>
      <w:r w:rsidRPr="00D4268E">
        <w:rPr>
          <w:i/>
          <w:iCs/>
        </w:rPr>
        <w:t>Council</w:t>
      </w:r>
      <w:r w:rsidRPr="00225231">
        <w:rPr>
          <w:i/>
          <w:iCs/>
        </w:rPr>
        <w:t xml:space="preserve"> (GCC)</w:t>
      </w:r>
      <w:r w:rsidRPr="00D4268E">
        <w:rPr>
          <w:i/>
          <w:iCs/>
        </w:rPr>
        <w:t>: Overview</w:t>
      </w:r>
      <w:r w:rsidRPr="00225231">
        <w:t>, Thomson Reuters Practical Law, 1 August 2020.</w:t>
      </w:r>
    </w:p>
  </w:footnote>
  <w:footnote w:id="196">
    <w:p w14:paraId="51E2F723" w14:textId="77777777" w:rsidR="00DE4516" w:rsidRDefault="00DE4516" w:rsidP="00670BAA">
      <w:pPr>
        <w:ind w:firstLine="567"/>
      </w:pPr>
      <w:r w:rsidRPr="00225231">
        <w:rPr>
          <w:rStyle w:val="FootnoteReference"/>
          <w:sz w:val="16"/>
          <w:szCs w:val="16"/>
        </w:rPr>
        <w:footnoteRef/>
      </w:r>
      <w:r w:rsidRPr="00225231">
        <w:rPr>
          <w:sz w:val="16"/>
          <w:szCs w:val="16"/>
        </w:rPr>
        <w:t xml:space="preserve"> Royal Decree No. 67/2008, Article 13.</w:t>
      </w:r>
    </w:p>
  </w:footnote>
  <w:footnote w:id="197">
    <w:p w14:paraId="0B2FD1AF" w14:textId="77777777" w:rsidR="00DE4516" w:rsidRDefault="00DE4516" w:rsidP="00670BAA">
      <w:pPr>
        <w:ind w:firstLine="567"/>
      </w:pPr>
      <w:r w:rsidRPr="00225231">
        <w:rPr>
          <w:rStyle w:val="FootnoteReference"/>
          <w:sz w:val="16"/>
          <w:szCs w:val="16"/>
        </w:rPr>
        <w:footnoteRef/>
      </w:r>
      <w:r w:rsidRPr="00225231">
        <w:rPr>
          <w:sz w:val="16"/>
          <w:szCs w:val="16"/>
        </w:rPr>
        <w:t xml:space="preserve"> AGIP, </w:t>
      </w:r>
      <w:r w:rsidRPr="00D4268E">
        <w:rPr>
          <w:i/>
          <w:iCs/>
          <w:sz w:val="16"/>
          <w:szCs w:val="16"/>
        </w:rPr>
        <w:t>Oman and Egypt Sign Cooperation Agreement on Patent Technical Examination</w:t>
      </w:r>
      <w:r w:rsidRPr="00225231">
        <w:rPr>
          <w:sz w:val="16"/>
          <w:szCs w:val="16"/>
        </w:rPr>
        <w:t>, 9 September 2014.</w:t>
      </w:r>
    </w:p>
  </w:footnote>
  <w:footnote w:id="198">
    <w:p w14:paraId="448BE37E" w14:textId="77777777" w:rsidR="00DE4516" w:rsidRDefault="00DE4516" w:rsidP="00670BAA">
      <w:pPr>
        <w:ind w:firstLine="567"/>
      </w:pPr>
      <w:r w:rsidRPr="00225231">
        <w:rPr>
          <w:rStyle w:val="FootnoteReference"/>
          <w:sz w:val="16"/>
          <w:szCs w:val="16"/>
        </w:rPr>
        <w:footnoteRef/>
      </w:r>
      <w:r w:rsidRPr="00225231">
        <w:rPr>
          <w:sz w:val="16"/>
          <w:szCs w:val="16"/>
        </w:rPr>
        <w:t xml:space="preserve"> Co-authored, collective, and anonymous works and works published 25 years after their creation may follow longer protection lengths. UNESCO World Anti-Piracy Observatory, Oman.</w:t>
      </w:r>
    </w:p>
  </w:footnote>
  <w:footnote w:id="199">
    <w:p w14:paraId="45A32619" w14:textId="77777777" w:rsidR="00DE4516" w:rsidRDefault="00DE4516" w:rsidP="00670BAA">
      <w:pPr>
        <w:ind w:firstLine="567"/>
      </w:pPr>
      <w:r w:rsidRPr="00225231">
        <w:rPr>
          <w:rStyle w:val="FootnoteReference"/>
          <w:sz w:val="16"/>
          <w:szCs w:val="16"/>
        </w:rPr>
        <w:footnoteRef/>
      </w:r>
      <w:r w:rsidRPr="00225231">
        <w:rPr>
          <w:sz w:val="16"/>
          <w:szCs w:val="16"/>
        </w:rPr>
        <w:t xml:space="preserve"> UNESCO World Anti-Piracy Observatory, Oman.</w:t>
      </w:r>
    </w:p>
  </w:footnote>
  <w:footnote w:id="200">
    <w:p w14:paraId="1EF9784F" w14:textId="77777777" w:rsidR="00DE4516" w:rsidRDefault="00DE4516" w:rsidP="00670BAA">
      <w:pPr>
        <w:ind w:firstLine="567"/>
      </w:pPr>
      <w:r w:rsidRPr="00225231">
        <w:rPr>
          <w:rStyle w:val="FootnoteReference"/>
          <w:sz w:val="16"/>
          <w:szCs w:val="16"/>
        </w:rPr>
        <w:footnoteRef/>
      </w:r>
      <w:r w:rsidRPr="00225231">
        <w:rPr>
          <w:sz w:val="16"/>
          <w:szCs w:val="16"/>
        </w:rPr>
        <w:t xml:space="preserve"> Royal Decree No. 65/2008, Article 57.</w:t>
      </w:r>
    </w:p>
  </w:footnote>
  <w:footnote w:id="201">
    <w:p w14:paraId="63891F67" w14:textId="77777777" w:rsidR="00DE4516" w:rsidRDefault="00DE4516" w:rsidP="00670BAA">
      <w:pPr>
        <w:ind w:firstLine="567"/>
      </w:pPr>
      <w:r w:rsidRPr="00225231">
        <w:rPr>
          <w:rStyle w:val="FootnoteReference"/>
          <w:sz w:val="16"/>
          <w:szCs w:val="16"/>
        </w:rPr>
        <w:footnoteRef/>
      </w:r>
      <w:r w:rsidRPr="00225231">
        <w:rPr>
          <w:sz w:val="16"/>
          <w:szCs w:val="16"/>
        </w:rPr>
        <w:t xml:space="preserve"> Royal Decree No. 33/2017.</w:t>
      </w:r>
    </w:p>
  </w:footnote>
  <w:footnote w:id="202">
    <w:p w14:paraId="1E868ECF" w14:textId="77777777" w:rsidR="00DE4516" w:rsidRDefault="00DE4516" w:rsidP="00670BAA">
      <w:pPr>
        <w:ind w:firstLine="567"/>
      </w:pPr>
      <w:r w:rsidRPr="00225231">
        <w:rPr>
          <w:rStyle w:val="FootnoteReference"/>
          <w:sz w:val="16"/>
          <w:szCs w:val="16"/>
        </w:rPr>
        <w:footnoteRef/>
      </w:r>
      <w:r w:rsidRPr="00225231">
        <w:rPr>
          <w:sz w:val="16"/>
          <w:szCs w:val="16"/>
        </w:rPr>
        <w:t xml:space="preserve"> BSA, </w:t>
      </w:r>
      <w:r w:rsidRPr="00D4268E">
        <w:rPr>
          <w:i/>
          <w:iCs/>
          <w:sz w:val="16"/>
          <w:szCs w:val="16"/>
        </w:rPr>
        <w:t>How to Register a Trademark in the Sultanate of Oman</w:t>
      </w:r>
      <w:r w:rsidRPr="00225231">
        <w:rPr>
          <w:sz w:val="16"/>
          <w:szCs w:val="16"/>
        </w:rPr>
        <w:t>, April 2020.</w:t>
      </w:r>
    </w:p>
  </w:footnote>
  <w:footnote w:id="203">
    <w:p w14:paraId="2B214D41" w14:textId="77777777" w:rsidR="00DE4516" w:rsidRDefault="00DE4516" w:rsidP="00670BAA">
      <w:pPr>
        <w:ind w:firstLine="567"/>
      </w:pPr>
      <w:r w:rsidRPr="00225231">
        <w:rPr>
          <w:rStyle w:val="FootnoteReference"/>
          <w:sz w:val="16"/>
          <w:szCs w:val="16"/>
        </w:rPr>
        <w:footnoteRef/>
      </w:r>
      <w:r w:rsidRPr="00225231">
        <w:rPr>
          <w:sz w:val="16"/>
          <w:szCs w:val="16"/>
        </w:rPr>
        <w:t xml:space="preserve"> Baianat Intellectual Property, </w:t>
      </w:r>
      <w:r w:rsidRPr="005512BF">
        <w:rPr>
          <w:i/>
          <w:iCs/>
          <w:sz w:val="16"/>
          <w:szCs w:val="16"/>
        </w:rPr>
        <w:t>Oman Announces a New Electronic Procedure for Trademarks Registration</w:t>
      </w:r>
      <w:r w:rsidRPr="00225231">
        <w:rPr>
          <w:sz w:val="16"/>
          <w:szCs w:val="16"/>
        </w:rPr>
        <w:t>, 10 September 2020.</w:t>
      </w:r>
    </w:p>
  </w:footnote>
  <w:footnote w:id="204">
    <w:p w14:paraId="379D76FA" w14:textId="77777777" w:rsidR="00DE4516" w:rsidRDefault="00DE4516" w:rsidP="00670BAA">
      <w:pPr>
        <w:pStyle w:val="FootnoteText"/>
      </w:pPr>
      <w:r w:rsidRPr="00225231">
        <w:rPr>
          <w:rStyle w:val="FootnoteReference"/>
        </w:rPr>
        <w:footnoteRef/>
      </w:r>
      <w:r w:rsidRPr="00225231">
        <w:t xml:space="preserve"> Royal Decree No. 67/2008, Article 24.</w:t>
      </w:r>
    </w:p>
  </w:footnote>
  <w:footnote w:id="205">
    <w:p w14:paraId="2EEA2FC9" w14:textId="77777777" w:rsidR="00DE4516" w:rsidRDefault="00DE4516" w:rsidP="00670BAA">
      <w:pPr>
        <w:pStyle w:val="FootnoteText"/>
      </w:pPr>
      <w:r w:rsidRPr="00225231">
        <w:rPr>
          <w:rStyle w:val="FootnoteReference"/>
        </w:rPr>
        <w:footnoteRef/>
      </w:r>
      <w:r w:rsidRPr="00225231">
        <w:t xml:space="preserve"> Royal Decree No. 67/2008, Article 27.</w:t>
      </w:r>
    </w:p>
  </w:footnote>
  <w:footnote w:id="206">
    <w:p w14:paraId="6937F920" w14:textId="77777777" w:rsidR="00DE4516" w:rsidRDefault="00DE4516" w:rsidP="00670BAA">
      <w:pPr>
        <w:ind w:firstLine="567"/>
      </w:pPr>
      <w:r w:rsidRPr="00225231">
        <w:rPr>
          <w:rStyle w:val="FootnoteReference"/>
          <w:sz w:val="16"/>
          <w:szCs w:val="16"/>
        </w:rPr>
        <w:footnoteRef/>
      </w:r>
      <w:r w:rsidRPr="00225231">
        <w:rPr>
          <w:sz w:val="16"/>
          <w:szCs w:val="16"/>
        </w:rPr>
        <w:t xml:space="preserve"> </w:t>
      </w:r>
      <w:r w:rsidRPr="005512BF">
        <w:rPr>
          <w:i/>
          <w:iCs/>
          <w:sz w:val="16"/>
          <w:szCs w:val="16"/>
        </w:rPr>
        <w:t>Times of Oman</w:t>
      </w:r>
      <w:r w:rsidRPr="00225231">
        <w:rPr>
          <w:sz w:val="16"/>
          <w:szCs w:val="16"/>
        </w:rPr>
        <w:t>, "Oman Seeks to Protect Country Specific Products", 15 December 2018.</w:t>
      </w:r>
    </w:p>
  </w:footnote>
  <w:footnote w:id="207">
    <w:p w14:paraId="235D28ED" w14:textId="77777777" w:rsidR="00DE4516" w:rsidRDefault="00DE4516" w:rsidP="00670BAA">
      <w:pPr>
        <w:ind w:firstLine="567"/>
      </w:pPr>
      <w:r w:rsidRPr="00225231">
        <w:rPr>
          <w:rStyle w:val="FootnoteReference"/>
          <w:sz w:val="16"/>
          <w:szCs w:val="16"/>
        </w:rPr>
        <w:footnoteRef/>
      </w:r>
      <w:r w:rsidRPr="00225231">
        <w:rPr>
          <w:sz w:val="16"/>
          <w:szCs w:val="16"/>
        </w:rPr>
        <w:t xml:space="preserve"> Royal Decree No. 67/2008, Article 93.</w:t>
      </w:r>
    </w:p>
  </w:footnote>
  <w:footnote w:id="208">
    <w:p w14:paraId="47F7DFF1" w14:textId="77777777" w:rsidR="00DE4516" w:rsidRDefault="00DE4516" w:rsidP="00670BAA">
      <w:pPr>
        <w:ind w:firstLine="567"/>
      </w:pPr>
      <w:r w:rsidRPr="00225231">
        <w:rPr>
          <w:rStyle w:val="FootnoteReference"/>
          <w:sz w:val="16"/>
          <w:szCs w:val="16"/>
        </w:rPr>
        <w:footnoteRef/>
      </w:r>
      <w:r w:rsidRPr="00225231">
        <w:rPr>
          <w:sz w:val="16"/>
          <w:szCs w:val="16"/>
        </w:rPr>
        <w:t xml:space="preserve"> Royal Decree No. 67/2008, Article 94.</w:t>
      </w:r>
    </w:p>
  </w:footnote>
  <w:footnote w:id="209">
    <w:p w14:paraId="0B570435" w14:textId="77777777" w:rsidR="00DE4516" w:rsidRDefault="00DE4516" w:rsidP="00670BAA">
      <w:pPr>
        <w:pStyle w:val="FootnoteText"/>
      </w:pPr>
      <w:r w:rsidRPr="00225231">
        <w:rPr>
          <w:rStyle w:val="FootnoteReference"/>
        </w:rPr>
        <w:footnoteRef/>
      </w:r>
      <w:r w:rsidRPr="00225231">
        <w:t xml:space="preserve"> Royal Decree No. 49/2009, Article 25(2).</w:t>
      </w:r>
    </w:p>
  </w:footnote>
  <w:footnote w:id="210">
    <w:p w14:paraId="24492F0F" w14:textId="77777777" w:rsidR="00DE4516" w:rsidRDefault="00DE4516" w:rsidP="0058392D">
      <w:pPr>
        <w:pStyle w:val="FootnoteText"/>
      </w:pPr>
      <w:r w:rsidRPr="00A260F0">
        <w:rPr>
          <w:rStyle w:val="FootnoteReference"/>
        </w:rPr>
        <w:footnoteRef/>
      </w:r>
      <w:r w:rsidRPr="00A260F0">
        <w:t xml:space="preserve"> Alpen Capital (2019), </w:t>
      </w:r>
      <w:r w:rsidRPr="00BC5149">
        <w:rPr>
          <w:i/>
          <w:iCs/>
        </w:rPr>
        <w:t>GCC Food Industry</w:t>
      </w:r>
      <w:r w:rsidRPr="00A260F0">
        <w:t xml:space="preserve">. Viewed at: </w:t>
      </w:r>
      <w:hyperlink r:id="rId39" w:history="1">
        <w:r w:rsidRPr="00A260F0">
          <w:rPr>
            <w:rStyle w:val="Hyperlink"/>
          </w:rPr>
          <w:t>http://www.alpencapital.com/downloads/reports/2019/GCC-Food-Industry-Report-September-2019.pdf</w:t>
        </w:r>
      </w:hyperlink>
      <w:r w:rsidRPr="00A260F0">
        <w:t>.</w:t>
      </w:r>
    </w:p>
  </w:footnote>
  <w:footnote w:id="211">
    <w:p w14:paraId="269F2911" w14:textId="77777777" w:rsidR="00DE4516" w:rsidRDefault="00DE4516" w:rsidP="0058392D">
      <w:pPr>
        <w:pStyle w:val="FootnoteText"/>
      </w:pPr>
      <w:r w:rsidRPr="00A260F0">
        <w:rPr>
          <w:rStyle w:val="FootnoteReference"/>
        </w:rPr>
        <w:footnoteRef/>
      </w:r>
      <w:r w:rsidRPr="00A260F0">
        <w:t xml:space="preserve"> Ministry of Justice and Legal Affairs, </w:t>
      </w:r>
      <w:r w:rsidRPr="00A260F0">
        <w:rPr>
          <w:i/>
          <w:iCs/>
        </w:rPr>
        <w:t>Royal Decree 29/2018 Promulgating the Law on the Prohibition of the Ownership of Land and Real Estate by Non-Omanis in Certain Places</w:t>
      </w:r>
      <w:r w:rsidRPr="00A260F0">
        <w:t xml:space="preserve">, 11 November 2018. Viewed at: </w:t>
      </w:r>
      <w:hyperlink r:id="rId40" w:history="1">
        <w:r w:rsidRPr="00A260F0">
          <w:rPr>
            <w:rStyle w:val="Hyperlink"/>
          </w:rPr>
          <w:t>https://mjla.gov.om/eng/legislation/decrees/details.aspx?Id=513&amp;type=L</w:t>
        </w:r>
      </w:hyperlink>
      <w:r w:rsidRPr="00A260F0">
        <w:t>.</w:t>
      </w:r>
    </w:p>
  </w:footnote>
  <w:footnote w:id="212">
    <w:p w14:paraId="42F74A1E" w14:textId="77777777" w:rsidR="00DE4516" w:rsidRDefault="00DE4516" w:rsidP="0058392D">
      <w:pPr>
        <w:pStyle w:val="FootnoteText"/>
      </w:pPr>
      <w:r w:rsidRPr="00A260F0">
        <w:rPr>
          <w:rStyle w:val="FootnoteReference"/>
        </w:rPr>
        <w:footnoteRef/>
      </w:r>
      <w:r w:rsidRPr="00A260F0">
        <w:t xml:space="preserve"> WTO document G/AG/N/OMN/20, 31 July 2019.</w:t>
      </w:r>
    </w:p>
  </w:footnote>
  <w:footnote w:id="213">
    <w:p w14:paraId="23E32BAE" w14:textId="77777777" w:rsidR="00DE4516" w:rsidRDefault="00DE4516" w:rsidP="0058392D">
      <w:pPr>
        <w:pStyle w:val="FootnoteText"/>
      </w:pPr>
      <w:r w:rsidRPr="00A260F0">
        <w:rPr>
          <w:rStyle w:val="FootnoteReference"/>
        </w:rPr>
        <w:footnoteRef/>
      </w:r>
      <w:r w:rsidRPr="00A260F0">
        <w:t xml:space="preserve"> The authorities encourage fishermen to replace old boats by applying FAO, ILO, and IMO standards and regulations in the specifications of the new and improved boats, such as better storage, improved fish quality, more safety assurance, modern equipment, and better accommodation on board.</w:t>
      </w:r>
    </w:p>
  </w:footnote>
  <w:footnote w:id="214">
    <w:p w14:paraId="5D0F7053" w14:textId="77777777" w:rsidR="00DE4516" w:rsidRDefault="00DE4516" w:rsidP="0058392D">
      <w:pPr>
        <w:pStyle w:val="FootnoteText"/>
      </w:pPr>
      <w:r w:rsidRPr="00A260F0">
        <w:rPr>
          <w:rStyle w:val="FootnoteReference"/>
        </w:rPr>
        <w:footnoteRef/>
      </w:r>
      <w:r w:rsidRPr="00A260F0">
        <w:t xml:space="preserve"> Ministry of Justice and Legal Affairs, </w:t>
      </w:r>
      <w:r w:rsidRPr="00A260F0">
        <w:rPr>
          <w:i/>
          <w:iCs/>
        </w:rPr>
        <w:t>Royal Decree 96/2020 Amending the Name of the Ministry of Oil and Gas to the Ministry of Energy and Minerals, Determining Its Competences, and Adopting Its Organisational Structure</w:t>
      </w:r>
      <w:r w:rsidRPr="00A260F0">
        <w:t xml:space="preserve">, 18 August 2020. Viewed at: </w:t>
      </w:r>
      <w:hyperlink r:id="rId41" w:history="1">
        <w:r w:rsidRPr="00A260F0">
          <w:rPr>
            <w:rStyle w:val="Hyperlink"/>
          </w:rPr>
          <w:t>https://mjla.gov.om/eng/legislation/decrees/details.aspx?Id=1246&amp;type=L</w:t>
        </w:r>
      </w:hyperlink>
      <w:r w:rsidRPr="00A260F0">
        <w:t>.</w:t>
      </w:r>
    </w:p>
  </w:footnote>
  <w:footnote w:id="215">
    <w:p w14:paraId="3455103F" w14:textId="77777777" w:rsidR="00DE4516" w:rsidRDefault="00DE4516" w:rsidP="0058392D">
      <w:pPr>
        <w:pStyle w:val="FootnoteText"/>
      </w:pPr>
      <w:r w:rsidRPr="00A260F0">
        <w:rPr>
          <w:rStyle w:val="FootnoteReference"/>
        </w:rPr>
        <w:footnoteRef/>
      </w:r>
      <w:r w:rsidRPr="00A260F0">
        <w:t xml:space="preserve"> Ministry of Justice and Legal Affairs, </w:t>
      </w:r>
      <w:r w:rsidRPr="00A260F0">
        <w:rPr>
          <w:i/>
          <w:iCs/>
        </w:rPr>
        <w:t>Royal Decree 19/2019 Promulgating the Mineral Resources Law</w:t>
      </w:r>
      <w:r w:rsidRPr="00BC5149">
        <w:t>,</w:t>
      </w:r>
      <w:r w:rsidRPr="00A260F0">
        <w:rPr>
          <w:i/>
          <w:iCs/>
        </w:rPr>
        <w:t xml:space="preserve"> </w:t>
      </w:r>
      <w:r w:rsidRPr="00BC5149">
        <w:t>13 February 2019</w:t>
      </w:r>
      <w:r w:rsidRPr="00A260F0">
        <w:t xml:space="preserve">. Viewed at: </w:t>
      </w:r>
      <w:hyperlink r:id="rId42" w:history="1">
        <w:r w:rsidRPr="00A260F0">
          <w:rPr>
            <w:rStyle w:val="Hyperlink"/>
          </w:rPr>
          <w:t>https://mjla.gov.om/eng/legislation/decrees/details.aspx?Id=549&amp;type=L</w:t>
        </w:r>
      </w:hyperlink>
      <w:r w:rsidRPr="00A260F0">
        <w:t>.</w:t>
      </w:r>
    </w:p>
  </w:footnote>
  <w:footnote w:id="216">
    <w:p w14:paraId="3E5D1089" w14:textId="77777777" w:rsidR="00DE4516" w:rsidRDefault="00DE4516" w:rsidP="0058392D">
      <w:pPr>
        <w:pStyle w:val="FootnoteText"/>
      </w:pPr>
      <w:r w:rsidRPr="00A260F0">
        <w:rPr>
          <w:rStyle w:val="FootnoteReference"/>
        </w:rPr>
        <w:footnoteRef/>
      </w:r>
      <w:r w:rsidRPr="00A260F0">
        <w:t xml:space="preserve"> Minerals Development Oman (MDO) is owned by the State General Reserve Fund (50%), the Oman Investment Fund (25%), and the Oman National Investments Development Company (25%).</w:t>
      </w:r>
    </w:p>
  </w:footnote>
  <w:footnote w:id="217">
    <w:p w14:paraId="135034D5" w14:textId="77777777" w:rsidR="00DE4516" w:rsidRDefault="00DE4516" w:rsidP="0058392D">
      <w:pPr>
        <w:pStyle w:val="FootnoteText"/>
      </w:pPr>
      <w:r w:rsidRPr="00A260F0">
        <w:rPr>
          <w:rStyle w:val="FootnoteReference"/>
        </w:rPr>
        <w:footnoteRef/>
      </w:r>
      <w:r w:rsidRPr="00A260F0">
        <w:t xml:space="preserve"> Matters related to environmental factors for oil and gas projects are within the purview of the Ministry of Environment and Climate Affairs.</w:t>
      </w:r>
    </w:p>
  </w:footnote>
  <w:footnote w:id="218">
    <w:p w14:paraId="070799C9" w14:textId="77777777" w:rsidR="00DE4516" w:rsidRDefault="00DE4516" w:rsidP="0058392D">
      <w:pPr>
        <w:pStyle w:val="FootnoteText"/>
      </w:pPr>
      <w:r w:rsidRPr="00A260F0">
        <w:rPr>
          <w:rStyle w:val="FootnoteReference"/>
        </w:rPr>
        <w:footnoteRef/>
      </w:r>
      <w:r w:rsidRPr="00A260F0">
        <w:t xml:space="preserve"> BP (2020), </w:t>
      </w:r>
      <w:r w:rsidRPr="00A260F0">
        <w:rPr>
          <w:i/>
          <w:iCs/>
        </w:rPr>
        <w:t>BP Statistical Review of World Energy 2020</w:t>
      </w:r>
      <w:r w:rsidRPr="00A260F0">
        <w:t>, 69</w:t>
      </w:r>
      <w:r w:rsidRPr="0010117F">
        <w:rPr>
          <w:vertAlign w:val="superscript"/>
        </w:rPr>
        <w:t>th</w:t>
      </w:r>
      <w:r w:rsidRPr="00A260F0">
        <w:t xml:space="preserve"> edition. Viewed at: </w:t>
      </w:r>
      <w:hyperlink r:id="rId43" w:history="1">
        <w:r w:rsidRPr="00A260F0">
          <w:rPr>
            <w:rStyle w:val="Hyperlink"/>
          </w:rPr>
          <w:t>https://www.bp.com/content/dam/bp/business-sites/en/global/corporate/pdfs/energy-economics/statistical-review/bp-stats-review-2020-full-report.pdf</w:t>
        </w:r>
      </w:hyperlink>
      <w:r w:rsidRPr="00A260F0">
        <w:t>.</w:t>
      </w:r>
    </w:p>
  </w:footnote>
  <w:footnote w:id="219">
    <w:p w14:paraId="49A375A8" w14:textId="77777777" w:rsidR="00DE4516" w:rsidRDefault="00DE4516" w:rsidP="0058392D">
      <w:pPr>
        <w:pStyle w:val="FootnoteText"/>
      </w:pPr>
      <w:r w:rsidRPr="00A260F0">
        <w:rPr>
          <w:rStyle w:val="FootnoteReference"/>
        </w:rPr>
        <w:footnoteRef/>
      </w:r>
      <w:r w:rsidRPr="00A260F0">
        <w:t xml:space="preserve"> Ministry of Justice and Legal Affairs, </w:t>
      </w:r>
      <w:r w:rsidRPr="00A260F0">
        <w:rPr>
          <w:i/>
          <w:iCs/>
        </w:rPr>
        <w:t>Royal Decree 128/2020 Establishing a Closed Omani Joint Stock Company Named Energy Development Oman SAOC</w:t>
      </w:r>
      <w:r w:rsidRPr="00A260F0">
        <w:t xml:space="preserve">, 3 December 2020. Viewed at: </w:t>
      </w:r>
      <w:hyperlink r:id="rId44" w:history="1">
        <w:r w:rsidRPr="00A260F0">
          <w:rPr>
            <w:rStyle w:val="Hyperlink"/>
          </w:rPr>
          <w:t>https://mola.gov.om/Download.aspx?Path=royal/2020-00128%20Formatted.pdf</w:t>
        </w:r>
      </w:hyperlink>
      <w:r w:rsidRPr="00A260F0">
        <w:t>.</w:t>
      </w:r>
    </w:p>
  </w:footnote>
  <w:footnote w:id="220">
    <w:p w14:paraId="1EE58C5E" w14:textId="77777777" w:rsidR="00DE4516" w:rsidRDefault="00DE4516" w:rsidP="0058392D">
      <w:pPr>
        <w:pStyle w:val="FootnoteText"/>
      </w:pPr>
      <w:r w:rsidRPr="00A260F0">
        <w:rPr>
          <w:rStyle w:val="FootnoteReference"/>
        </w:rPr>
        <w:footnoteRef/>
      </w:r>
      <w:r w:rsidRPr="00A260F0">
        <w:t xml:space="preserve"> PDO, which considered as a block operator rather than a concessionary, is not required to sign EPSAs with the MEM.</w:t>
      </w:r>
    </w:p>
  </w:footnote>
  <w:footnote w:id="221">
    <w:p w14:paraId="6746BFEC" w14:textId="77777777" w:rsidR="00DE4516" w:rsidRDefault="00DE4516" w:rsidP="0058392D">
      <w:pPr>
        <w:pStyle w:val="FootnoteText"/>
      </w:pPr>
      <w:r w:rsidRPr="00A260F0">
        <w:rPr>
          <w:rStyle w:val="FootnoteReference"/>
        </w:rPr>
        <w:footnoteRef/>
      </w:r>
      <w:r w:rsidRPr="00A260F0">
        <w:t xml:space="preserve"> The standard rate for corporate tax was raised from 12% to 15% in February 2017.</w:t>
      </w:r>
    </w:p>
  </w:footnote>
  <w:footnote w:id="222">
    <w:p w14:paraId="203DAF68" w14:textId="77777777" w:rsidR="00DE4516" w:rsidRDefault="00DE4516" w:rsidP="0058392D">
      <w:pPr>
        <w:pStyle w:val="FootnoteText"/>
      </w:pPr>
      <w:r w:rsidRPr="00A260F0">
        <w:rPr>
          <w:rStyle w:val="FootnoteReference"/>
        </w:rPr>
        <w:footnoteRef/>
      </w:r>
      <w:r w:rsidRPr="00A260F0">
        <w:t xml:space="preserve"> There are two types of suppliers: (i)</w:t>
      </w:r>
      <w:r>
        <w:t> </w:t>
      </w:r>
      <w:r w:rsidRPr="00A260F0">
        <w:t>local community contractors (LCCs) are companies owned by the tribal communities or individuals who live in concession area; and (ii) super-local community contractors are the ones registered as closed Omani shareholding companies on the Muscat Securities Exchange.</w:t>
      </w:r>
    </w:p>
  </w:footnote>
  <w:footnote w:id="223">
    <w:p w14:paraId="797EE71E" w14:textId="77777777" w:rsidR="00DE4516" w:rsidRDefault="00DE4516" w:rsidP="0058392D">
      <w:pPr>
        <w:pStyle w:val="FootnoteText"/>
      </w:pPr>
      <w:r w:rsidRPr="00A260F0">
        <w:rPr>
          <w:rStyle w:val="FootnoteReference"/>
        </w:rPr>
        <w:footnoteRef/>
      </w:r>
      <w:r w:rsidRPr="00A260F0">
        <w:t xml:space="preserve"> Ministry of Justice and Legal Affairs, </w:t>
      </w:r>
      <w:r w:rsidRPr="00A260F0">
        <w:rPr>
          <w:i/>
          <w:iCs/>
        </w:rPr>
        <w:t>Royal Decree 78/2020 Amending the Name of the Electricity and Related Water Sector Regulation Authority to the Authority for Public Utilities Regulation and Assigning Some Competences to It,</w:t>
      </w:r>
      <w:r w:rsidRPr="00A260F0">
        <w:t xml:space="preserve"> 12 August 2020. Viewed at: </w:t>
      </w:r>
      <w:hyperlink r:id="rId45" w:history="1">
        <w:r w:rsidRPr="00A260F0">
          <w:rPr>
            <w:rStyle w:val="Hyperlink"/>
          </w:rPr>
          <w:t>https://mjla.gov.om/eng/legislation/decrees/details.aspx?Id=1228&amp;type=L</w:t>
        </w:r>
      </w:hyperlink>
      <w:r w:rsidRPr="00A260F0">
        <w:t>.</w:t>
      </w:r>
    </w:p>
  </w:footnote>
  <w:footnote w:id="224">
    <w:p w14:paraId="14756EE6" w14:textId="77777777" w:rsidR="00DE4516" w:rsidRDefault="00DE4516" w:rsidP="0058392D">
      <w:pPr>
        <w:pStyle w:val="FootnoteText"/>
      </w:pPr>
      <w:r w:rsidRPr="00A260F0">
        <w:rPr>
          <w:rStyle w:val="FootnoteReference"/>
        </w:rPr>
        <w:footnoteRef/>
      </w:r>
      <w:r w:rsidRPr="00A260F0">
        <w:t xml:space="preserve"> Authority for Public Services Regulation, </w:t>
      </w:r>
      <w:r w:rsidRPr="00A260F0">
        <w:rPr>
          <w:i/>
          <w:iCs/>
        </w:rPr>
        <w:t>Generation and Desalination</w:t>
      </w:r>
      <w:r w:rsidRPr="00A260F0">
        <w:t xml:space="preserve">. Viewed at: </w:t>
      </w:r>
      <w:hyperlink r:id="rId46" w:history="1">
        <w:r w:rsidRPr="00A260F0">
          <w:rPr>
            <w:rStyle w:val="Hyperlink"/>
          </w:rPr>
          <w:t>https://apsr.om/en/node/35</w:t>
        </w:r>
      </w:hyperlink>
      <w:r w:rsidRPr="00A260F0">
        <w:t>.</w:t>
      </w:r>
    </w:p>
  </w:footnote>
  <w:footnote w:id="225">
    <w:p w14:paraId="782C30EA" w14:textId="77777777" w:rsidR="00DE4516" w:rsidRDefault="00DE4516" w:rsidP="0058392D">
      <w:pPr>
        <w:pStyle w:val="FootnoteText"/>
      </w:pPr>
      <w:r w:rsidRPr="00A260F0">
        <w:rPr>
          <w:rStyle w:val="FootnoteReference"/>
        </w:rPr>
        <w:footnoteRef/>
      </w:r>
      <w:r w:rsidRPr="00A260F0">
        <w:t xml:space="preserve"> Oman Power and Water Procurement Company, </w:t>
      </w:r>
      <w:r w:rsidRPr="00A260F0">
        <w:rPr>
          <w:i/>
          <w:iCs/>
        </w:rPr>
        <w:t>7 Year Statement</w:t>
      </w:r>
      <w:r w:rsidRPr="00A260F0">
        <w:t xml:space="preserve">. Viewed at: </w:t>
      </w:r>
      <w:hyperlink r:id="rId47" w:history="1">
        <w:r w:rsidRPr="00A260F0">
          <w:rPr>
            <w:rStyle w:val="Hyperlink"/>
          </w:rPr>
          <w:t>https://omanpwp.om/new/Documents.aspx?Pid=46</w:t>
        </w:r>
      </w:hyperlink>
      <w:r w:rsidRPr="00A260F0">
        <w:t>.</w:t>
      </w:r>
    </w:p>
  </w:footnote>
  <w:footnote w:id="226">
    <w:p w14:paraId="525D6629" w14:textId="77777777" w:rsidR="00DE4516" w:rsidRDefault="00DE4516" w:rsidP="0058392D">
      <w:pPr>
        <w:pStyle w:val="FootnoteText"/>
      </w:pPr>
      <w:r w:rsidRPr="00A260F0">
        <w:rPr>
          <w:rStyle w:val="FootnoteReference"/>
        </w:rPr>
        <w:footnoteRef/>
      </w:r>
      <w:r w:rsidRPr="00A260F0">
        <w:t xml:space="preserve"> Oman Power and Water Procurement Company (2019), </w:t>
      </w:r>
      <w:r w:rsidRPr="00A260F0">
        <w:rPr>
          <w:i/>
          <w:iCs/>
        </w:rPr>
        <w:t>7 Year Statement: Issue 13 (2019-2025)</w:t>
      </w:r>
      <w:r w:rsidRPr="00A260F0">
        <w:t xml:space="preserve">. Viewed at: </w:t>
      </w:r>
      <w:hyperlink r:id="rId48" w:history="1">
        <w:r w:rsidRPr="00A260F0">
          <w:rPr>
            <w:rStyle w:val="Hyperlink"/>
          </w:rPr>
          <w:t>https://omanpwp.om/PDF/7%20Year%20Statement%202019-2025%20New.pdf</w:t>
        </w:r>
      </w:hyperlink>
      <w:r w:rsidRPr="00A260F0">
        <w:t>.</w:t>
      </w:r>
    </w:p>
  </w:footnote>
  <w:footnote w:id="227">
    <w:p w14:paraId="64251520" w14:textId="77777777" w:rsidR="00DE4516" w:rsidRDefault="00DE4516" w:rsidP="0058392D">
      <w:pPr>
        <w:pStyle w:val="FootnoteText"/>
      </w:pPr>
      <w:r w:rsidRPr="00A260F0">
        <w:rPr>
          <w:rStyle w:val="FootnoteReference"/>
        </w:rPr>
        <w:footnoteRef/>
      </w:r>
      <w:r w:rsidRPr="00A260F0">
        <w:t xml:space="preserve"> Authority for Public Services Regulation, </w:t>
      </w:r>
      <w:r w:rsidRPr="00A260F0">
        <w:rPr>
          <w:i/>
          <w:iCs/>
        </w:rPr>
        <w:t>Economic Regulation</w:t>
      </w:r>
      <w:r w:rsidRPr="00A260F0">
        <w:t xml:space="preserve">. Viewed at: </w:t>
      </w:r>
      <w:hyperlink r:id="rId49" w:history="1">
        <w:r w:rsidRPr="00A260F0">
          <w:rPr>
            <w:rStyle w:val="Hyperlink"/>
          </w:rPr>
          <w:t>https://apsr.om/en/node/39</w:t>
        </w:r>
      </w:hyperlink>
      <w:r w:rsidRPr="00A260F0">
        <w:t>.</w:t>
      </w:r>
    </w:p>
  </w:footnote>
  <w:footnote w:id="228">
    <w:p w14:paraId="7DA84B7B" w14:textId="77777777" w:rsidR="00DE4516" w:rsidRDefault="00DE4516" w:rsidP="0058392D">
      <w:pPr>
        <w:pStyle w:val="FootnoteText"/>
      </w:pPr>
      <w:r w:rsidRPr="00A260F0">
        <w:rPr>
          <w:rStyle w:val="FootnoteReference"/>
        </w:rPr>
        <w:footnoteRef/>
      </w:r>
      <w:r w:rsidRPr="00A260F0">
        <w:t xml:space="preserve"> Oman has started the process of selling the sector companies: 49% of OETC shares were sold to a private investor in 2019.</w:t>
      </w:r>
    </w:p>
  </w:footnote>
  <w:footnote w:id="229">
    <w:p w14:paraId="3C64AC3D" w14:textId="77777777" w:rsidR="00DE4516" w:rsidRDefault="00DE4516" w:rsidP="0058392D">
      <w:pPr>
        <w:pStyle w:val="FootnoteText"/>
      </w:pPr>
      <w:r w:rsidRPr="00A260F0">
        <w:rPr>
          <w:rStyle w:val="FootnoteReference"/>
        </w:rPr>
        <w:footnoteRef/>
      </w:r>
      <w:r w:rsidRPr="00A260F0">
        <w:t xml:space="preserve"> </w:t>
      </w:r>
      <w:r w:rsidRPr="00A260F0">
        <w:rPr>
          <w:rFonts w:eastAsiaTheme="minorEastAsia"/>
          <w:lang w:eastAsia="zh-CN"/>
        </w:rPr>
        <w:t xml:space="preserve">UNIDO Open Data Platform, Oman Manufacturing Strategy. Viewed at: </w:t>
      </w:r>
      <w:hyperlink r:id="rId50" w:history="1">
        <w:r w:rsidRPr="00FA6CFA">
          <w:rPr>
            <w:rStyle w:val="Hyperlink"/>
            <w:rFonts w:eastAsiaTheme="minorEastAsia"/>
            <w:lang w:eastAsia="zh-CN"/>
          </w:rPr>
          <w:t>https://open.unido.org/ api/documents/15202854/download/Oman%20Manufacturing%20Strategy-%20En%20-%20for%20web.pdf</w:t>
        </w:r>
      </w:hyperlink>
      <w:r w:rsidRPr="00A260F0">
        <w:rPr>
          <w:rFonts w:eastAsiaTheme="minorEastAsia"/>
          <w:lang w:eastAsia="zh-CN"/>
        </w:rPr>
        <w:t>.</w:t>
      </w:r>
    </w:p>
  </w:footnote>
  <w:footnote w:id="230">
    <w:p w14:paraId="7D30720E" w14:textId="77777777" w:rsidR="00DE4516" w:rsidRDefault="00DE4516" w:rsidP="0058392D">
      <w:pPr>
        <w:pStyle w:val="FootnoteText"/>
      </w:pPr>
      <w:r w:rsidRPr="00A260F0">
        <w:rPr>
          <w:rStyle w:val="FootnoteReference"/>
        </w:rPr>
        <w:footnoteRef/>
      </w:r>
      <w:r w:rsidRPr="00A260F0">
        <w:t xml:space="preserve"> The Ministry of Commerce, Industry and Investment Promotion was restructured in August 2020, and now incorporates the functions of the Competition Protection and Monopoly Prevention Centre and the Public Authority for Investment Promotion and Export Development, both of which have been dissolved.</w:t>
      </w:r>
    </w:p>
  </w:footnote>
  <w:footnote w:id="231">
    <w:p w14:paraId="46947161" w14:textId="77777777" w:rsidR="00DE4516" w:rsidRDefault="00DE4516" w:rsidP="0058392D">
      <w:pPr>
        <w:pStyle w:val="FootnoteText"/>
      </w:pPr>
      <w:r w:rsidRPr="00A260F0">
        <w:rPr>
          <w:rStyle w:val="FootnoteReference"/>
        </w:rPr>
        <w:footnoteRef/>
      </w:r>
      <w:r w:rsidRPr="00A260F0">
        <w:t xml:space="preserve"> Royal Decree No. 69/2012.</w:t>
      </w:r>
    </w:p>
  </w:footnote>
  <w:footnote w:id="232">
    <w:p w14:paraId="47CE7E77" w14:textId="77777777" w:rsidR="00DE4516" w:rsidRDefault="00DE4516" w:rsidP="0058392D">
      <w:pPr>
        <w:pStyle w:val="FootnoteText"/>
      </w:pPr>
      <w:r w:rsidRPr="00A260F0">
        <w:rPr>
          <w:rStyle w:val="FootnoteReference"/>
        </w:rPr>
        <w:footnoteRef/>
      </w:r>
      <w:r w:rsidRPr="00A260F0">
        <w:t xml:space="preserve"> The Al Yusr Islamic Window of Oman Arab Bank (OAB) was merged with Alizz Islamic Bank (AIB). In the process, the AIB became a subsidiary of the OAB.</w:t>
      </w:r>
    </w:p>
  </w:footnote>
  <w:footnote w:id="233">
    <w:p w14:paraId="57D6681B" w14:textId="77777777" w:rsidR="00DE4516" w:rsidRDefault="00DE4516" w:rsidP="0058392D">
      <w:pPr>
        <w:pStyle w:val="FootnoteText"/>
      </w:pPr>
      <w:r w:rsidRPr="00A260F0">
        <w:rPr>
          <w:rStyle w:val="FootnoteReference"/>
        </w:rPr>
        <w:footnoteRef/>
      </w:r>
      <w:r w:rsidRPr="00A260F0">
        <w:t xml:space="preserve"> Government entities include the public organizations of the Government such as ministries, municipalities, public sector councils, and authorities.</w:t>
      </w:r>
    </w:p>
  </w:footnote>
  <w:footnote w:id="234">
    <w:p w14:paraId="5764BB95" w14:textId="77777777" w:rsidR="00DE4516" w:rsidRDefault="00DE4516" w:rsidP="0058392D">
      <w:pPr>
        <w:pStyle w:val="FootnoteText"/>
      </w:pPr>
      <w:r w:rsidRPr="00A260F0">
        <w:rPr>
          <w:rStyle w:val="FootnoteReference"/>
        </w:rPr>
        <w:footnoteRef/>
      </w:r>
      <w:r w:rsidRPr="00A260F0">
        <w:t xml:space="preserve"> Central Bank of Oman, Circular BM 1114, 17 November 2013. Facing the challenge posed by COVID</w:t>
      </w:r>
      <w:r w:rsidRPr="00A260F0">
        <w:noBreakHyphen/>
        <w:t>19, the CBO temporarily reduced the CAR minimum to 12.25%.</w:t>
      </w:r>
    </w:p>
  </w:footnote>
  <w:footnote w:id="235">
    <w:p w14:paraId="4E7D32EC" w14:textId="77777777" w:rsidR="00DE4516" w:rsidRDefault="00DE4516" w:rsidP="0058392D">
      <w:pPr>
        <w:pStyle w:val="FootnoteText"/>
      </w:pPr>
      <w:r w:rsidRPr="00A260F0">
        <w:rPr>
          <w:rStyle w:val="FootnoteReference"/>
        </w:rPr>
        <w:footnoteRef/>
      </w:r>
      <w:r w:rsidRPr="00A260F0">
        <w:t xml:space="preserve"> CBO, </w:t>
      </w:r>
      <w:r w:rsidRPr="00A260F0">
        <w:rPr>
          <w:i/>
          <w:iCs/>
        </w:rPr>
        <w:t>Fintech Regulatory Sandbox Framework</w:t>
      </w:r>
      <w:r w:rsidRPr="00A260F0">
        <w:t xml:space="preserve">. Viewed at: </w:t>
      </w:r>
      <w:hyperlink r:id="rId51" w:history="1">
        <w:r w:rsidRPr="00A260F0">
          <w:rPr>
            <w:rStyle w:val="Hyperlink"/>
          </w:rPr>
          <w:t>https://cbo.gov.om/sites/assets/Documents/English/Fintech/FRSProposalFramework.pdf</w:t>
        </w:r>
      </w:hyperlink>
      <w:r w:rsidRPr="00A260F0">
        <w:t>.</w:t>
      </w:r>
    </w:p>
  </w:footnote>
  <w:footnote w:id="236">
    <w:p w14:paraId="341761E0" w14:textId="77777777" w:rsidR="00DE4516" w:rsidRDefault="00DE4516" w:rsidP="0058392D">
      <w:pPr>
        <w:pStyle w:val="FootnoteText"/>
      </w:pPr>
      <w:r w:rsidRPr="00A260F0">
        <w:rPr>
          <w:rStyle w:val="FootnoteReference"/>
        </w:rPr>
        <w:footnoteRef/>
      </w:r>
      <w:r w:rsidRPr="00A260F0">
        <w:t xml:space="preserve"> Royal Decree No. 30/2016, 2 June 2016.</w:t>
      </w:r>
    </w:p>
  </w:footnote>
  <w:footnote w:id="237">
    <w:p w14:paraId="00129590" w14:textId="77777777" w:rsidR="00DE4516" w:rsidRDefault="00DE4516" w:rsidP="0058392D">
      <w:pPr>
        <w:pStyle w:val="FootnoteText"/>
      </w:pPr>
      <w:r w:rsidRPr="00A260F0">
        <w:rPr>
          <w:rStyle w:val="FootnoteReference"/>
        </w:rPr>
        <w:footnoteRef/>
      </w:r>
      <w:r w:rsidRPr="00A260F0">
        <w:t xml:space="preserve"> Central Bank of Oman, Circular BM 1112, 2 October 2013.</w:t>
      </w:r>
    </w:p>
  </w:footnote>
  <w:footnote w:id="238">
    <w:p w14:paraId="640057DA" w14:textId="77777777" w:rsidR="00DE4516" w:rsidRDefault="00DE4516" w:rsidP="0058392D">
      <w:pPr>
        <w:pStyle w:val="FootnoteText"/>
      </w:pPr>
      <w:r w:rsidRPr="00A260F0">
        <w:rPr>
          <w:rStyle w:val="FootnoteReference"/>
        </w:rPr>
        <w:footnoteRef/>
      </w:r>
      <w:r w:rsidRPr="00A260F0">
        <w:t xml:space="preserve"> The Muscat Securities Exchange (MSX) was formerly known as the Muscat Securities Market (MSM), which was created by Royal Decree No. 53/1998 on 21 June 1998. On 5 January 2021, Royal Decree No. 5/2021 created the MSX. As per the Decree, all MSM assets, liabilities, activities, rights, and functions were transferred to the MSX. MSX, </w:t>
      </w:r>
      <w:r w:rsidRPr="00A260F0">
        <w:rPr>
          <w:i/>
          <w:iCs/>
        </w:rPr>
        <w:t>History</w:t>
      </w:r>
      <w:r w:rsidRPr="00A260F0">
        <w:t xml:space="preserve">. Viewed at: </w:t>
      </w:r>
      <w:hyperlink r:id="rId52" w:history="1">
        <w:r w:rsidRPr="00A260F0">
          <w:rPr>
            <w:rStyle w:val="Hyperlink"/>
          </w:rPr>
          <w:t>https://www.msx.om/page.aspx?b1=Our-Profile&amp;b2=History&amp;p=HistoryEvents&amp;ti=History</w:t>
        </w:r>
      </w:hyperlink>
      <w:r w:rsidRPr="00A260F0">
        <w:t>.</w:t>
      </w:r>
    </w:p>
  </w:footnote>
  <w:footnote w:id="239">
    <w:p w14:paraId="7C373C48" w14:textId="77777777" w:rsidR="00DE4516" w:rsidRDefault="00DE4516" w:rsidP="0058392D">
      <w:pPr>
        <w:pStyle w:val="FootnoteText"/>
      </w:pPr>
      <w:r w:rsidRPr="00A260F0">
        <w:rPr>
          <w:rStyle w:val="FootnoteReference"/>
        </w:rPr>
        <w:footnoteRef/>
      </w:r>
      <w:r w:rsidRPr="00A260F0">
        <w:t xml:space="preserve"> Royal Decree No. 80/1998, 9 November 1998.</w:t>
      </w:r>
    </w:p>
  </w:footnote>
  <w:footnote w:id="240">
    <w:p w14:paraId="6E1087D2" w14:textId="77777777" w:rsidR="00DE4516" w:rsidRDefault="00DE4516" w:rsidP="0058392D">
      <w:pPr>
        <w:pStyle w:val="FootnoteText"/>
      </w:pPr>
      <w:r w:rsidRPr="00A260F0">
        <w:rPr>
          <w:rStyle w:val="FootnoteReference"/>
        </w:rPr>
        <w:footnoteRef/>
      </w:r>
      <w:r w:rsidRPr="00A260F0">
        <w:t xml:space="preserve"> Three government bonds and five corporate bonds are listed as Islamic bonds (</w:t>
      </w:r>
      <w:r w:rsidRPr="0069007B">
        <w:rPr>
          <w:iCs/>
        </w:rPr>
        <w:t>sukuk</w:t>
      </w:r>
      <w:r w:rsidRPr="00A260F0">
        <w:t>).</w:t>
      </w:r>
    </w:p>
  </w:footnote>
  <w:footnote w:id="241">
    <w:p w14:paraId="0B377243" w14:textId="77777777" w:rsidR="00DE4516" w:rsidRDefault="00DE4516" w:rsidP="0058392D">
      <w:pPr>
        <w:pStyle w:val="FootnoteText"/>
      </w:pPr>
      <w:r w:rsidRPr="00A260F0">
        <w:rPr>
          <w:rStyle w:val="FootnoteReference"/>
        </w:rPr>
        <w:footnoteRef/>
      </w:r>
      <w:r w:rsidRPr="00A260F0">
        <w:t xml:space="preserve"> Yahya Al Hajri (2017), </w:t>
      </w:r>
      <w:r w:rsidRPr="0069007B">
        <w:rPr>
          <w:i/>
          <w:iCs/>
        </w:rPr>
        <w:t>Oman National Broadband Strategy</w:t>
      </w:r>
      <w:r w:rsidRPr="00A260F0">
        <w:t>, presentation on ITU Regional Workshop on Organizational and Technical Aspect of Broadband Development.</w:t>
      </w:r>
    </w:p>
  </w:footnote>
  <w:footnote w:id="242">
    <w:p w14:paraId="69272843" w14:textId="77777777" w:rsidR="00DE4516" w:rsidRDefault="00DE4516" w:rsidP="0058392D">
      <w:pPr>
        <w:pStyle w:val="FootnoteText"/>
      </w:pPr>
      <w:r w:rsidRPr="00A260F0">
        <w:rPr>
          <w:rStyle w:val="FootnoteReference"/>
        </w:rPr>
        <w:footnoteRef/>
      </w:r>
      <w:r w:rsidRPr="00A260F0">
        <w:t xml:space="preserve"> The national backbone network aims to cover 95% of urban regions by 2030. Oman Broadband Company, </w:t>
      </w:r>
      <w:r w:rsidRPr="00A260F0">
        <w:rPr>
          <w:i/>
          <w:iCs/>
        </w:rPr>
        <w:t>Coverage Map</w:t>
      </w:r>
      <w:r w:rsidRPr="00A260F0">
        <w:t xml:space="preserve">. Viewed at: </w:t>
      </w:r>
      <w:hyperlink r:id="rId53" w:history="1">
        <w:r w:rsidRPr="00A260F0">
          <w:rPr>
            <w:rStyle w:val="Hyperlink"/>
          </w:rPr>
          <w:t>https://www.omanbroadband.om/Coverage-Map.html</w:t>
        </w:r>
      </w:hyperlink>
      <w:r w:rsidRPr="00A260F0">
        <w:t>.</w:t>
      </w:r>
    </w:p>
  </w:footnote>
  <w:footnote w:id="243">
    <w:p w14:paraId="1E408DD3" w14:textId="77777777" w:rsidR="00DE4516" w:rsidRDefault="00DE4516" w:rsidP="0058392D">
      <w:pPr>
        <w:pStyle w:val="FootnoteText"/>
      </w:pPr>
      <w:r w:rsidRPr="00A260F0">
        <w:rPr>
          <w:rStyle w:val="FootnoteReference"/>
        </w:rPr>
        <w:footnoteRef/>
      </w:r>
      <w:r w:rsidRPr="00A260F0">
        <w:t xml:space="preserve"> United Nations (2020), </w:t>
      </w:r>
      <w:r w:rsidRPr="00A260F0">
        <w:rPr>
          <w:i/>
          <w:iCs/>
        </w:rPr>
        <w:t>UN E-Government Survey 2020</w:t>
      </w:r>
      <w:r w:rsidRPr="00A260F0">
        <w:t xml:space="preserve">. Viewed at: </w:t>
      </w:r>
      <w:hyperlink r:id="rId54" w:history="1">
        <w:r w:rsidRPr="00A260F0">
          <w:rPr>
            <w:rStyle w:val="Hyperlink"/>
          </w:rPr>
          <w:t>https://publicadministration.un.org/egovkb/en-us/Reports/UN-E-Government-Survey-2020</w:t>
        </w:r>
      </w:hyperlink>
      <w:r w:rsidRPr="00A260F0">
        <w:t>.</w:t>
      </w:r>
    </w:p>
  </w:footnote>
  <w:footnote w:id="244">
    <w:p w14:paraId="2D8D9851" w14:textId="77777777" w:rsidR="00DE4516" w:rsidRDefault="00DE4516" w:rsidP="0058392D">
      <w:pPr>
        <w:pStyle w:val="FootnoteText"/>
      </w:pPr>
      <w:r w:rsidRPr="00A260F0">
        <w:rPr>
          <w:rStyle w:val="FootnoteReference"/>
        </w:rPr>
        <w:footnoteRef/>
      </w:r>
      <w:r w:rsidRPr="00A260F0">
        <w:t xml:space="preserve"> Telecommunications Regulatory Authority, </w:t>
      </w:r>
      <w:r w:rsidRPr="00A260F0">
        <w:rPr>
          <w:i/>
          <w:iCs/>
        </w:rPr>
        <w:t>Who We Are</w:t>
      </w:r>
      <w:r w:rsidRPr="00A260F0">
        <w:t xml:space="preserve">. Viewed at: </w:t>
      </w:r>
      <w:hyperlink r:id="rId55" w:history="1">
        <w:r w:rsidRPr="00A260F0">
          <w:rPr>
            <w:rStyle w:val="Hyperlink"/>
          </w:rPr>
          <w:t>https://www.tra.gov.om/En/WhoWeAre.jsp?menu=7</w:t>
        </w:r>
      </w:hyperlink>
      <w:r w:rsidRPr="00A260F0">
        <w:t>.</w:t>
      </w:r>
    </w:p>
  </w:footnote>
  <w:footnote w:id="245">
    <w:p w14:paraId="2C192BE6" w14:textId="77777777" w:rsidR="00DE4516" w:rsidRDefault="00DE4516" w:rsidP="0058392D">
      <w:pPr>
        <w:pStyle w:val="FootnoteText"/>
      </w:pPr>
      <w:r w:rsidRPr="00A260F0">
        <w:rPr>
          <w:rStyle w:val="FootnoteReference"/>
        </w:rPr>
        <w:footnoteRef/>
      </w:r>
      <w:r w:rsidRPr="00A260F0">
        <w:t xml:space="preserve"> Telecommunications Regulatory Act, Article 21.</w:t>
      </w:r>
    </w:p>
  </w:footnote>
  <w:footnote w:id="246">
    <w:p w14:paraId="5CB5F38A" w14:textId="77777777" w:rsidR="00DE4516" w:rsidRDefault="00DE4516" w:rsidP="0058392D">
      <w:pPr>
        <w:pStyle w:val="FootnoteText"/>
      </w:pPr>
      <w:r w:rsidRPr="00A260F0">
        <w:rPr>
          <w:rStyle w:val="FootnoteReference"/>
        </w:rPr>
        <w:footnoteRef/>
      </w:r>
      <w:r w:rsidRPr="00A260F0">
        <w:t xml:space="preserve"> TRA, </w:t>
      </w:r>
      <w:r w:rsidRPr="00A260F0">
        <w:rPr>
          <w:i/>
          <w:iCs/>
        </w:rPr>
        <w:t>Class I: Company Licensed</w:t>
      </w:r>
      <w:r w:rsidRPr="00A260F0">
        <w:t xml:space="preserve">. Viewed at: </w:t>
      </w:r>
      <w:hyperlink r:id="rId56" w:history="1">
        <w:r w:rsidRPr="00A260F0">
          <w:rPr>
            <w:rStyle w:val="Hyperlink"/>
          </w:rPr>
          <w:t>https://www.tra.gov.om/En/Class1.jsp?pageNo=1&amp;menu=30&amp;classType=1</w:t>
        </w:r>
      </w:hyperlink>
      <w:r w:rsidRPr="00A260F0">
        <w:t>.</w:t>
      </w:r>
    </w:p>
  </w:footnote>
  <w:footnote w:id="247">
    <w:p w14:paraId="4B4CDEEE" w14:textId="77777777" w:rsidR="00DE4516" w:rsidRDefault="00DE4516" w:rsidP="0058392D">
      <w:pPr>
        <w:pStyle w:val="FootnoteText"/>
      </w:pPr>
      <w:r w:rsidRPr="00A260F0">
        <w:rPr>
          <w:rStyle w:val="FootnoteReference"/>
        </w:rPr>
        <w:footnoteRef/>
      </w:r>
      <w:r w:rsidRPr="00A260F0">
        <w:t xml:space="preserve"> TRA Executive Regulations, Articles 92 and 93.</w:t>
      </w:r>
    </w:p>
  </w:footnote>
  <w:footnote w:id="248">
    <w:p w14:paraId="5F113C95" w14:textId="77777777" w:rsidR="00DE4516" w:rsidRDefault="00DE4516" w:rsidP="0058392D">
      <w:pPr>
        <w:pStyle w:val="FootnoteText"/>
      </w:pPr>
      <w:r w:rsidRPr="00A260F0">
        <w:rPr>
          <w:rStyle w:val="FootnoteReference"/>
        </w:rPr>
        <w:footnoteRef/>
      </w:r>
      <w:r w:rsidRPr="00A260F0">
        <w:t xml:space="preserve"> Telecommunications Regulatory Act, Article 25</w:t>
      </w:r>
      <w:r w:rsidRPr="00F02D2D">
        <w:rPr>
          <w:i/>
          <w:iCs/>
        </w:rPr>
        <w:t>bis</w:t>
      </w:r>
      <w:r w:rsidRPr="00A260F0">
        <w:t xml:space="preserve"> 1.</w:t>
      </w:r>
    </w:p>
  </w:footnote>
  <w:footnote w:id="249">
    <w:p w14:paraId="334DFE17" w14:textId="77777777" w:rsidR="00DE4516" w:rsidRDefault="00DE4516" w:rsidP="0058392D">
      <w:pPr>
        <w:pStyle w:val="FootnoteText"/>
      </w:pPr>
      <w:r w:rsidRPr="00A260F0">
        <w:rPr>
          <w:rStyle w:val="FootnoteReference"/>
        </w:rPr>
        <w:footnoteRef/>
      </w:r>
      <w:r w:rsidRPr="00A260F0">
        <w:t xml:space="preserve"> TRA (2013), </w:t>
      </w:r>
      <w:r w:rsidRPr="00A260F0">
        <w:rPr>
          <w:i/>
          <w:iCs/>
        </w:rPr>
        <w:t>Market Definition and Dominance Report 2013</w:t>
      </w:r>
      <w:r w:rsidRPr="00A260F0">
        <w:t xml:space="preserve">. Viewed at: </w:t>
      </w:r>
      <w:hyperlink r:id="rId57" w:history="1">
        <w:r w:rsidRPr="00A260F0">
          <w:rPr>
            <w:rStyle w:val="Hyperlink"/>
          </w:rPr>
          <w:t>https://www.tra.gov.om/pdf/8-mdd-Report.pdf</w:t>
        </w:r>
      </w:hyperlink>
      <w:r w:rsidRPr="00A260F0">
        <w:t>.</w:t>
      </w:r>
    </w:p>
  </w:footnote>
  <w:footnote w:id="250">
    <w:p w14:paraId="521989A7" w14:textId="77777777" w:rsidR="00DE4516" w:rsidRDefault="00DE4516" w:rsidP="0058392D">
      <w:pPr>
        <w:pStyle w:val="FootnoteText"/>
      </w:pPr>
      <w:r w:rsidRPr="00A260F0">
        <w:rPr>
          <w:rStyle w:val="FootnoteReference"/>
        </w:rPr>
        <w:footnoteRef/>
      </w:r>
      <w:r w:rsidRPr="00A260F0">
        <w:t xml:space="preserve"> Telecommunications Regulatory Act, Article 46.</w:t>
      </w:r>
    </w:p>
  </w:footnote>
  <w:footnote w:id="251">
    <w:p w14:paraId="38C2A894" w14:textId="77777777" w:rsidR="00DE4516" w:rsidRDefault="00DE4516" w:rsidP="0058392D">
      <w:pPr>
        <w:pStyle w:val="FootnoteText"/>
      </w:pPr>
      <w:r w:rsidRPr="00A260F0">
        <w:rPr>
          <w:rStyle w:val="FootnoteReference"/>
        </w:rPr>
        <w:footnoteRef/>
      </w:r>
      <w:r w:rsidRPr="00A260F0">
        <w:t xml:space="preserve"> TRA, </w:t>
      </w:r>
      <w:r w:rsidRPr="00A260F0">
        <w:rPr>
          <w:i/>
          <w:iCs/>
        </w:rPr>
        <w:t>Quarterly Report on Telcom Sector Indicators</w:t>
      </w:r>
      <w:r w:rsidRPr="00A260F0">
        <w:t xml:space="preserve">, various issues. Viewed at: </w:t>
      </w:r>
      <w:hyperlink r:id="rId58" w:history="1">
        <w:r w:rsidRPr="00A260F0">
          <w:rPr>
            <w:rStyle w:val="Hyperlink"/>
          </w:rPr>
          <w:t>https://www.tra.gov.om/En/ManageReports.jsp?menu=114</w:t>
        </w:r>
      </w:hyperlink>
      <w:r w:rsidRPr="00A260F0">
        <w:t>.</w:t>
      </w:r>
    </w:p>
  </w:footnote>
  <w:footnote w:id="252">
    <w:p w14:paraId="1ECA1899" w14:textId="77777777" w:rsidR="00DE4516" w:rsidRDefault="00DE4516" w:rsidP="0058392D">
      <w:pPr>
        <w:pStyle w:val="FootnoteText"/>
      </w:pPr>
      <w:r w:rsidRPr="00A260F0">
        <w:rPr>
          <w:rStyle w:val="FootnoteReference"/>
        </w:rPr>
        <w:footnoteRef/>
      </w:r>
      <w:r w:rsidRPr="00A260F0">
        <w:t xml:space="preserve"> The Sas programme was originally run by the Information Technology Authority (ITA). In 2020, the functions of the ITA merged with the functions of the</w:t>
      </w:r>
      <w:r>
        <w:t xml:space="preserve"> </w:t>
      </w:r>
      <w:r w:rsidRPr="00F02D2D">
        <w:t>Ministry of Transport, Communications and Information Technology (MTCIT)</w:t>
      </w:r>
      <w:r w:rsidRPr="00A260F0">
        <w:t>.</w:t>
      </w:r>
    </w:p>
  </w:footnote>
  <w:footnote w:id="253">
    <w:p w14:paraId="4A1E6F76" w14:textId="77777777" w:rsidR="00DE4516" w:rsidRDefault="00DE4516" w:rsidP="0058392D">
      <w:pPr>
        <w:pStyle w:val="FootnoteText"/>
      </w:pPr>
      <w:r w:rsidRPr="00A260F0">
        <w:rPr>
          <w:rStyle w:val="FootnoteReference"/>
        </w:rPr>
        <w:footnoteRef/>
      </w:r>
      <w:r w:rsidRPr="00A260F0">
        <w:t xml:space="preserve"> Sas for Entrepreneurship Centre, </w:t>
      </w:r>
      <w:r w:rsidRPr="00A260F0">
        <w:rPr>
          <w:i/>
          <w:iCs/>
        </w:rPr>
        <w:t>About us.</w:t>
      </w:r>
      <w:r w:rsidRPr="00A260F0">
        <w:t xml:space="preserve"> Viewed at: </w:t>
      </w:r>
      <w:hyperlink r:id="rId59" w:history="1">
        <w:r w:rsidRPr="00A260F0">
          <w:rPr>
            <w:rStyle w:val="Hyperlink"/>
          </w:rPr>
          <w:t>https://www.sas.om/SASEN/Pages/about.aspx</w:t>
        </w:r>
      </w:hyperlink>
      <w:r w:rsidRPr="00A260F0">
        <w:t>.</w:t>
      </w:r>
    </w:p>
  </w:footnote>
  <w:footnote w:id="254">
    <w:p w14:paraId="0CA6DF75" w14:textId="77777777" w:rsidR="00DE4516" w:rsidRDefault="00DE4516" w:rsidP="0058392D">
      <w:pPr>
        <w:pStyle w:val="FootnoteText"/>
      </w:pPr>
      <w:r w:rsidRPr="00A260F0">
        <w:rPr>
          <w:rStyle w:val="FootnoteReference"/>
        </w:rPr>
        <w:footnoteRef/>
      </w:r>
      <w:r w:rsidRPr="00A260F0">
        <w:t xml:space="preserve"> Executive Regulations for the Postal Services Law, Article</w:t>
      </w:r>
      <w:r>
        <w:t> </w:t>
      </w:r>
      <w:r w:rsidRPr="00A260F0">
        <w:t>9.</w:t>
      </w:r>
    </w:p>
  </w:footnote>
  <w:footnote w:id="255">
    <w:p w14:paraId="78D739F5" w14:textId="77777777" w:rsidR="00DE4516" w:rsidRDefault="00DE4516" w:rsidP="0058392D">
      <w:pPr>
        <w:pStyle w:val="FootnoteText"/>
      </w:pPr>
      <w:r w:rsidRPr="00A260F0">
        <w:rPr>
          <w:rStyle w:val="FootnoteReference"/>
        </w:rPr>
        <w:footnoteRef/>
      </w:r>
      <w:r w:rsidRPr="00A260F0">
        <w:t xml:space="preserve"> Despite the falling oil price, the Government has already signalled its commitment to these programmes through deficit funding, and short of a further collapse in oil price, or a sustained slump, spending seems likely to be maintained.</w:t>
      </w:r>
    </w:p>
  </w:footnote>
  <w:footnote w:id="256">
    <w:p w14:paraId="73D75D84" w14:textId="77777777" w:rsidR="00DE4516" w:rsidRDefault="00DE4516" w:rsidP="0058392D">
      <w:pPr>
        <w:pStyle w:val="FootnoteText"/>
      </w:pPr>
      <w:r w:rsidRPr="00A260F0">
        <w:rPr>
          <w:rStyle w:val="FootnoteReference"/>
        </w:rPr>
        <w:footnoteRef/>
      </w:r>
      <w:r w:rsidRPr="00A260F0">
        <w:t xml:space="preserve"> Royal Decree No. 35/1981. Viewed at: </w:t>
      </w:r>
      <w:hyperlink r:id="rId60" w:history="1">
        <w:r w:rsidRPr="00A260F0">
          <w:rPr>
            <w:rStyle w:val="Hyperlink"/>
          </w:rPr>
          <w:t>https://www.transport.gov.om/files/SD.35.81-E.pdf</w:t>
        </w:r>
      </w:hyperlink>
      <w:r w:rsidRPr="00A260F0">
        <w:t>.</w:t>
      </w:r>
    </w:p>
  </w:footnote>
  <w:footnote w:id="257">
    <w:p w14:paraId="282B985A" w14:textId="77777777" w:rsidR="00DE4516" w:rsidRDefault="00DE4516" w:rsidP="0058392D">
      <w:pPr>
        <w:pStyle w:val="FootnoteText"/>
      </w:pPr>
      <w:r w:rsidRPr="00A260F0">
        <w:rPr>
          <w:rStyle w:val="FootnoteReference"/>
        </w:rPr>
        <w:footnoteRef/>
      </w:r>
      <w:r w:rsidRPr="00A260F0">
        <w:t xml:space="preserve"> In terms of ownership, the Omani fleet is 7,883,000 DWT. UNCTAD (2020), </w:t>
      </w:r>
      <w:r w:rsidRPr="00A260F0">
        <w:rPr>
          <w:i/>
          <w:iCs/>
        </w:rPr>
        <w:t>Maritime Profile: Oman</w:t>
      </w:r>
      <w:r w:rsidRPr="00A260F0">
        <w:t xml:space="preserve">. Viewed at: </w:t>
      </w:r>
      <w:hyperlink r:id="rId61" w:history="1">
        <w:r w:rsidRPr="00A260F0">
          <w:rPr>
            <w:rStyle w:val="Hyperlink"/>
          </w:rPr>
          <w:t>https://unctadstat.unctad.org/countryprofile/maritimeprofile/en-gb/512/MaritimeProfile512.pdf</w:t>
        </w:r>
      </w:hyperlink>
      <w:r w:rsidRPr="00A260F0">
        <w:t>.</w:t>
      </w:r>
    </w:p>
  </w:footnote>
  <w:footnote w:id="258">
    <w:p w14:paraId="2B8070DD" w14:textId="77777777" w:rsidR="00DE4516" w:rsidRDefault="00DE4516" w:rsidP="0058392D">
      <w:pPr>
        <w:pStyle w:val="FootnoteText"/>
      </w:pPr>
      <w:r w:rsidRPr="00A260F0">
        <w:rPr>
          <w:rStyle w:val="FootnoteReference"/>
        </w:rPr>
        <w:footnoteRef/>
      </w:r>
      <w:r w:rsidRPr="00A260F0">
        <w:t xml:space="preserve"> The Oman Shipping Company was incorporated in 2003, owned by the Government through the Ministry of Finance (80%) and Oman Oil Company (20%).</w:t>
      </w:r>
    </w:p>
  </w:footnote>
  <w:footnote w:id="259">
    <w:p w14:paraId="7976A2A7" w14:textId="77777777" w:rsidR="00DE4516" w:rsidRDefault="00DE4516" w:rsidP="0058392D">
      <w:pPr>
        <w:pStyle w:val="FootnoteText"/>
      </w:pPr>
      <w:r w:rsidRPr="00A260F0">
        <w:rPr>
          <w:rStyle w:val="FootnoteReference"/>
        </w:rPr>
        <w:footnoteRef/>
      </w:r>
      <w:r w:rsidRPr="00A260F0">
        <w:t xml:space="preserve"> UNCTAD (2020), </w:t>
      </w:r>
      <w:r w:rsidRPr="00A260F0">
        <w:rPr>
          <w:i/>
          <w:iCs/>
        </w:rPr>
        <w:t>Maritime Profile: Oman</w:t>
      </w:r>
      <w:r w:rsidRPr="00A260F0">
        <w:t xml:space="preserve">. Viewed at: </w:t>
      </w:r>
      <w:hyperlink r:id="rId62" w:history="1">
        <w:r w:rsidRPr="00A260F0">
          <w:rPr>
            <w:rStyle w:val="Hyperlink"/>
          </w:rPr>
          <w:t>https://unctadstat.unctad.org/countryprofile/maritimeprofile/en-gb/512/MaritimeProfile512.pdf</w:t>
        </w:r>
      </w:hyperlink>
      <w:r w:rsidRPr="00A260F0">
        <w:rPr>
          <w:rStyle w:val="Hyperlink"/>
        </w:rPr>
        <w:t>.</w:t>
      </w:r>
    </w:p>
  </w:footnote>
  <w:footnote w:id="260">
    <w:p w14:paraId="574ACEBD" w14:textId="77777777" w:rsidR="00DE4516" w:rsidRDefault="00DE4516" w:rsidP="00C96F2C">
      <w:pPr>
        <w:pStyle w:val="FootnoteText"/>
      </w:pPr>
      <w:r w:rsidRPr="00A260F0">
        <w:rPr>
          <w:rStyle w:val="FootnoteReference"/>
        </w:rPr>
        <w:footnoteRef/>
      </w:r>
      <w:r w:rsidRPr="00A260F0">
        <w:t xml:space="preserve"> The new container terminals will boost the capacity at Sohar to 6 million TEUs per annum, and to 3.5 million TEUs at Duqm. The new bulk terminal will boost Salalah's capacity to 60 million tonnes.</w:t>
      </w:r>
    </w:p>
  </w:footnote>
  <w:footnote w:id="261">
    <w:p w14:paraId="6BE9FC0E" w14:textId="77777777" w:rsidR="00DE4516" w:rsidRDefault="00DE4516" w:rsidP="0058392D">
      <w:pPr>
        <w:pStyle w:val="FootnoteText"/>
      </w:pPr>
      <w:r w:rsidRPr="00A260F0">
        <w:rPr>
          <w:rStyle w:val="FootnoteReference"/>
        </w:rPr>
        <w:footnoteRef/>
      </w:r>
      <w:r w:rsidRPr="00A260F0">
        <w:t xml:space="preserve"> Port Sohar is managed by a 50:50 joint venture with Port of Rotterdam; the Port of Duqm is managed by a 50:50 joint venture with Consortium Antwerp Port; and the Port of Salalah is managed by APM Terminals.</w:t>
      </w:r>
    </w:p>
  </w:footnote>
  <w:footnote w:id="262">
    <w:p w14:paraId="0A77854C" w14:textId="77777777" w:rsidR="00DE4516" w:rsidRDefault="00DE4516" w:rsidP="0058392D">
      <w:pPr>
        <w:pStyle w:val="FootnoteText"/>
      </w:pPr>
      <w:r w:rsidRPr="00A260F0">
        <w:rPr>
          <w:rStyle w:val="FootnoteReference"/>
        </w:rPr>
        <w:footnoteRef/>
      </w:r>
      <w:r w:rsidRPr="00A260F0">
        <w:t xml:space="preserve"> These ports were originally managed by the Port Services Corporation (PSC), which was dissolved in 2016.</w:t>
      </w:r>
    </w:p>
  </w:footnote>
  <w:footnote w:id="263">
    <w:p w14:paraId="264170C7" w14:textId="77777777" w:rsidR="00DE4516" w:rsidRDefault="00DE4516" w:rsidP="0058392D">
      <w:pPr>
        <w:pStyle w:val="FootnoteText"/>
      </w:pPr>
      <w:r w:rsidRPr="00A260F0">
        <w:rPr>
          <w:rStyle w:val="FootnoteReference"/>
        </w:rPr>
        <w:footnoteRef/>
      </w:r>
      <w:r w:rsidRPr="00A260F0">
        <w:t xml:space="preserve"> UNCTAD (2020), </w:t>
      </w:r>
      <w:r w:rsidRPr="00A260F0">
        <w:rPr>
          <w:i/>
          <w:iCs/>
        </w:rPr>
        <w:t>Statistics: Maritime Transport</w:t>
      </w:r>
      <w:r w:rsidRPr="00A260F0">
        <w:t xml:space="preserve">. Viewed at: </w:t>
      </w:r>
      <w:hyperlink r:id="rId63" w:history="1">
        <w:r w:rsidRPr="00A260F0">
          <w:rPr>
            <w:rStyle w:val="Hyperlink"/>
          </w:rPr>
          <w:t>https://unctadstat.unctad.org/wds/ReportFolders/reportFolders.aspx?sCS_ChosenLang=en</w:t>
        </w:r>
      </w:hyperlink>
      <w:r w:rsidRPr="00A260F0">
        <w:t>.</w:t>
      </w:r>
    </w:p>
  </w:footnote>
  <w:footnote w:id="264">
    <w:p w14:paraId="379056AA" w14:textId="77777777" w:rsidR="00DE4516" w:rsidRDefault="00DE4516" w:rsidP="0058392D">
      <w:pPr>
        <w:pStyle w:val="FootnoteText"/>
      </w:pPr>
      <w:r w:rsidRPr="00A260F0">
        <w:rPr>
          <w:rStyle w:val="FootnoteReference"/>
        </w:rPr>
        <w:footnoteRef/>
      </w:r>
      <w:r w:rsidRPr="00A260F0">
        <w:t xml:space="preserve"> MTCIT, </w:t>
      </w:r>
      <w:r w:rsidRPr="00A260F0">
        <w:rPr>
          <w:i/>
          <w:iCs/>
        </w:rPr>
        <w:t>Roads Projects</w:t>
      </w:r>
      <w:r w:rsidRPr="00A260F0">
        <w:t xml:space="preserve">. Viewed at: </w:t>
      </w:r>
      <w:hyperlink r:id="rId64" w:history="1">
        <w:r w:rsidRPr="00A260F0">
          <w:rPr>
            <w:rStyle w:val="Hyperlink"/>
          </w:rPr>
          <w:t>https://mtcit.gov.om/ITAPortal/Pages/Page.aspx?NID=292386&amp;PID=199505</w:t>
        </w:r>
      </w:hyperlink>
      <w:r w:rsidRPr="00A260F0">
        <w:t>.</w:t>
      </w:r>
    </w:p>
  </w:footnote>
  <w:footnote w:id="265">
    <w:p w14:paraId="37597F77" w14:textId="77777777" w:rsidR="00DE4516" w:rsidRDefault="00DE4516" w:rsidP="0058392D">
      <w:pPr>
        <w:pStyle w:val="FootnoteText"/>
      </w:pPr>
      <w:r w:rsidRPr="00A260F0">
        <w:rPr>
          <w:rStyle w:val="FootnoteReference"/>
        </w:rPr>
        <w:footnoteRef/>
      </w:r>
      <w:r w:rsidRPr="00A260F0">
        <w:t xml:space="preserve"> Oxford Business Group (2016), </w:t>
      </w:r>
      <w:r w:rsidRPr="00A260F0">
        <w:rPr>
          <w:i/>
          <w:iCs/>
        </w:rPr>
        <w:t>The Report: Oman 2016</w:t>
      </w:r>
      <w:r w:rsidRPr="00A260F0">
        <w:t>.</w:t>
      </w:r>
    </w:p>
  </w:footnote>
  <w:footnote w:id="266">
    <w:p w14:paraId="7F7BCB8C" w14:textId="77777777" w:rsidR="00DE4516" w:rsidRDefault="00DE4516" w:rsidP="0058392D">
      <w:pPr>
        <w:pStyle w:val="FootnoteText"/>
      </w:pPr>
      <w:r w:rsidRPr="00A260F0">
        <w:rPr>
          <w:rStyle w:val="FootnoteReference"/>
        </w:rPr>
        <w:footnoteRef/>
      </w:r>
      <w:r w:rsidRPr="00A260F0">
        <w:t xml:space="preserve"> Oxford Business Group (2016), </w:t>
      </w:r>
      <w:r w:rsidRPr="00A260F0">
        <w:rPr>
          <w:i/>
          <w:iCs/>
        </w:rPr>
        <w:t>The Report: Oman 2016</w:t>
      </w:r>
      <w:r w:rsidRPr="00A260F0">
        <w:t>.</w:t>
      </w:r>
    </w:p>
  </w:footnote>
  <w:footnote w:id="267">
    <w:p w14:paraId="4B3CB976" w14:textId="77777777" w:rsidR="00DE4516" w:rsidRDefault="00DE4516" w:rsidP="0058392D">
      <w:pPr>
        <w:pStyle w:val="FootnoteText"/>
      </w:pPr>
      <w:r w:rsidRPr="00A260F0">
        <w:rPr>
          <w:rStyle w:val="FootnoteReference"/>
        </w:rPr>
        <w:footnoteRef/>
      </w:r>
      <w:r w:rsidRPr="00A260F0">
        <w:t xml:space="preserve"> The railway network is designed to be a standard-gauge double track, non-electrified, and to serve mixed freight and passenger traffic, with the maximum speed of 120 km/h for freight and 220 km/h for passenger trains.</w:t>
      </w:r>
    </w:p>
  </w:footnote>
  <w:footnote w:id="268">
    <w:p w14:paraId="73A3CA97" w14:textId="77777777" w:rsidR="00DE4516" w:rsidRDefault="00DE4516" w:rsidP="0058392D">
      <w:pPr>
        <w:pStyle w:val="FootnoteText"/>
      </w:pPr>
      <w:r w:rsidRPr="00A260F0">
        <w:rPr>
          <w:rStyle w:val="FootnoteReference"/>
        </w:rPr>
        <w:footnoteRef/>
      </w:r>
      <w:r w:rsidRPr="00A260F0">
        <w:t xml:space="preserve"> Civil Aviation Law, Chapters II, III, and VII.</w:t>
      </w:r>
    </w:p>
  </w:footnote>
  <w:footnote w:id="269">
    <w:p w14:paraId="6DA0042E" w14:textId="77777777" w:rsidR="00DE4516" w:rsidRDefault="00DE4516" w:rsidP="0058392D">
      <w:pPr>
        <w:pStyle w:val="FootnoteText"/>
      </w:pPr>
      <w:r w:rsidRPr="00A260F0">
        <w:rPr>
          <w:rStyle w:val="FootnoteReference"/>
        </w:rPr>
        <w:footnoteRef/>
      </w:r>
      <w:r w:rsidRPr="00A260F0">
        <w:t xml:space="preserve"> CAA, </w:t>
      </w:r>
      <w:r w:rsidRPr="00A260F0">
        <w:rPr>
          <w:i/>
          <w:iCs/>
        </w:rPr>
        <w:t>Directorate General of Air Navigation</w:t>
      </w:r>
      <w:r w:rsidRPr="00A260F0">
        <w:t xml:space="preserve">. Viewed at: </w:t>
      </w:r>
      <w:hyperlink r:id="rId65" w:history="1">
        <w:r w:rsidRPr="00A260F0">
          <w:rPr>
            <w:rStyle w:val="Hyperlink"/>
          </w:rPr>
          <w:t>https://www.caa.gov.om/caa/directorates/directorate-general-of-air-navigation</w:t>
        </w:r>
      </w:hyperlink>
      <w:r w:rsidRPr="00A260F0">
        <w:t>.</w:t>
      </w:r>
    </w:p>
  </w:footnote>
  <w:footnote w:id="270">
    <w:p w14:paraId="2ECD4655" w14:textId="77777777" w:rsidR="00DE4516" w:rsidRDefault="00DE4516" w:rsidP="0058392D">
      <w:pPr>
        <w:pStyle w:val="FootnoteText"/>
      </w:pPr>
      <w:r w:rsidRPr="00A260F0">
        <w:rPr>
          <w:rStyle w:val="FootnoteReference"/>
        </w:rPr>
        <w:footnoteRef/>
      </w:r>
      <w:r w:rsidRPr="00A260F0">
        <w:t xml:space="preserve"> For details, see the PACA, </w:t>
      </w:r>
      <w:r w:rsidRPr="00A260F0">
        <w:rPr>
          <w:i/>
          <w:iCs/>
        </w:rPr>
        <w:t>Economic Regulation of Licensing and Consumer Protection in Civil Aviation</w:t>
      </w:r>
      <w:r w:rsidRPr="00A260F0">
        <w:t xml:space="preserve">, December 2015. Viewed at: </w:t>
      </w:r>
      <w:hyperlink r:id="rId66" w:history="1">
        <w:r w:rsidRPr="00A260F0">
          <w:rPr>
            <w:rStyle w:val="Hyperlink"/>
          </w:rPr>
          <w:t>https://www.caa.gov.om/upload/files/Economic-regulation-of-licensing-and-consumer-protection-in-Civil-Aviation.pdf</w:t>
        </w:r>
      </w:hyperlink>
      <w:r w:rsidRPr="00A260F0">
        <w:t>.</w:t>
      </w:r>
    </w:p>
  </w:footnote>
  <w:footnote w:id="271">
    <w:p w14:paraId="140FFAD5" w14:textId="77777777" w:rsidR="00DE4516" w:rsidRDefault="00DE4516" w:rsidP="0058392D">
      <w:pPr>
        <w:pStyle w:val="FootnoteText"/>
      </w:pPr>
      <w:r w:rsidRPr="00A260F0">
        <w:rPr>
          <w:rStyle w:val="FootnoteReference"/>
        </w:rPr>
        <w:footnoteRef/>
      </w:r>
      <w:r w:rsidRPr="00A260F0">
        <w:t xml:space="preserve"> Including the situation that a latecomer may apply for granting a SCAC (or variation of its SCAC) in order to operate all or some of the services on a capacity-constrained route already operated by an incumbent.</w:t>
      </w:r>
    </w:p>
  </w:footnote>
  <w:footnote w:id="272">
    <w:p w14:paraId="44166996" w14:textId="77777777" w:rsidR="00DE4516" w:rsidRDefault="00DE4516" w:rsidP="0058392D">
      <w:pPr>
        <w:pStyle w:val="FootnoteText"/>
      </w:pPr>
      <w:r w:rsidRPr="00A260F0">
        <w:rPr>
          <w:rStyle w:val="FootnoteReference"/>
        </w:rPr>
        <w:footnoteRef/>
      </w:r>
      <w:r w:rsidRPr="00A260F0">
        <w:t xml:space="preserve"> Oman Airports (2020), </w:t>
      </w:r>
      <w:r w:rsidRPr="00F02D2D">
        <w:rPr>
          <w:i/>
          <w:iCs/>
        </w:rPr>
        <w:t>Terms of Service</w:t>
      </w:r>
      <w:r w:rsidRPr="00A260F0">
        <w:rPr>
          <w:i/>
          <w:iCs/>
        </w:rPr>
        <w:t>s</w:t>
      </w:r>
      <w:r w:rsidRPr="00A260F0">
        <w:t xml:space="preserve">. Viewed at: </w:t>
      </w:r>
      <w:hyperlink r:id="rId67" w:history="1">
        <w:r w:rsidRPr="00A260F0">
          <w:rPr>
            <w:rStyle w:val="Hyperlink"/>
          </w:rPr>
          <w:t>https://www.omanairports.co.om/pdf/TermsOfService2020.pdf</w:t>
        </w:r>
      </w:hyperlink>
      <w:r w:rsidRPr="00A260F0">
        <w:t>.</w:t>
      </w:r>
    </w:p>
  </w:footnote>
  <w:footnote w:id="273">
    <w:p w14:paraId="2ADD7FC7" w14:textId="77777777" w:rsidR="00DE4516" w:rsidRDefault="00DE4516" w:rsidP="0058392D">
      <w:pPr>
        <w:pStyle w:val="FootnoteText"/>
      </w:pPr>
      <w:r w:rsidRPr="00A260F0">
        <w:rPr>
          <w:rStyle w:val="FootnoteReference"/>
        </w:rPr>
        <w:footnoteRef/>
      </w:r>
      <w:r w:rsidRPr="00A260F0">
        <w:t xml:space="preserve"> There are other four regional airports for private use by domestic oil companies. Three of them are for P</w:t>
      </w:r>
      <w:r>
        <w:t>DO</w:t>
      </w:r>
      <w:r w:rsidRPr="00A260F0">
        <w:t>; they are located in the oil concession areas of Fahud, Marmul, and Qarn Alam. The last one is located in Mukhaizna, for use</w:t>
      </w:r>
      <w:r>
        <w:t xml:space="preserve"> by </w:t>
      </w:r>
      <w:r w:rsidRPr="00935C53">
        <w:t>Occidental Oman</w:t>
      </w:r>
      <w:r w:rsidRPr="00A260F0">
        <w:t>.</w:t>
      </w:r>
    </w:p>
  </w:footnote>
  <w:footnote w:id="274">
    <w:p w14:paraId="0E7BB86F" w14:textId="77777777" w:rsidR="00DE4516" w:rsidRDefault="00DE4516" w:rsidP="0058392D">
      <w:pPr>
        <w:pStyle w:val="FootnoteText"/>
      </w:pPr>
      <w:r w:rsidRPr="00A260F0">
        <w:rPr>
          <w:rStyle w:val="FootnoteReference"/>
        </w:rPr>
        <w:footnoteRef/>
      </w:r>
      <w:r w:rsidRPr="00A260F0">
        <w:t xml:space="preserve"> An IATA Level II airport is an airport where there is potential for congestion during some periods of the day, week, or season, which can be resolved by schedule adjustments mutually agreed between the airlines and the slot facilitator.</w:t>
      </w:r>
    </w:p>
  </w:footnote>
  <w:footnote w:id="275">
    <w:p w14:paraId="3B5F2436" w14:textId="77777777" w:rsidR="00DE4516" w:rsidRDefault="00DE4516" w:rsidP="0058392D">
      <w:pPr>
        <w:pStyle w:val="FootnoteText"/>
      </w:pPr>
      <w:r w:rsidRPr="00A260F0">
        <w:rPr>
          <w:rStyle w:val="FootnoteReference"/>
        </w:rPr>
        <w:footnoteRef/>
      </w:r>
      <w:r w:rsidRPr="00A260F0">
        <w:t xml:space="preserve"> The authorities note that in 2020 the Omanis working in hotel activities accounted 30%, which were jobs indirectly created by the tourism sector.</w:t>
      </w:r>
    </w:p>
  </w:footnote>
  <w:footnote w:id="276">
    <w:p w14:paraId="4BFCF3B3" w14:textId="77777777" w:rsidR="00DE4516" w:rsidRDefault="00DE4516" w:rsidP="00BD0462">
      <w:pPr>
        <w:pStyle w:val="FootnoteText"/>
      </w:pPr>
      <w:r w:rsidRPr="00A260F0">
        <w:rPr>
          <w:rStyle w:val="FootnoteReference"/>
        </w:rPr>
        <w:footnoteRef/>
      </w:r>
      <w:r w:rsidRPr="00A260F0">
        <w:t xml:space="preserve"> OMRAN, </w:t>
      </w:r>
      <w:r w:rsidRPr="00A260F0">
        <w:rPr>
          <w:i/>
          <w:iCs/>
        </w:rPr>
        <w:t>Portfolio: Our Assets</w:t>
      </w:r>
      <w:r w:rsidRPr="00A260F0">
        <w:t xml:space="preserve">. Viewed at: </w:t>
      </w:r>
      <w:hyperlink r:id="rId68" w:history="1">
        <w:r w:rsidRPr="00A260F0">
          <w:rPr>
            <w:rStyle w:val="Hyperlink"/>
          </w:rPr>
          <w:t>https://www.omran.om/portfolio/hospitality/</w:t>
        </w:r>
      </w:hyperlink>
      <w:r w:rsidRPr="00A260F0">
        <w:t>.</w:t>
      </w:r>
    </w:p>
  </w:footnote>
  <w:footnote w:id="277">
    <w:p w14:paraId="421DE9D4" w14:textId="77777777" w:rsidR="00DE4516" w:rsidRDefault="00DE4516" w:rsidP="0058392D">
      <w:pPr>
        <w:pStyle w:val="FootnoteText"/>
      </w:pPr>
      <w:r w:rsidRPr="00A260F0">
        <w:rPr>
          <w:rStyle w:val="FootnoteReference"/>
        </w:rPr>
        <w:footnoteRef/>
      </w:r>
      <w:r w:rsidRPr="00A260F0">
        <w:t xml:space="preserve"> ODB, </w:t>
      </w:r>
      <w:r w:rsidRPr="00A260F0">
        <w:rPr>
          <w:i/>
          <w:iCs/>
        </w:rPr>
        <w:t>Tourism Loan</w:t>
      </w:r>
      <w:r w:rsidRPr="00A260F0">
        <w:t xml:space="preserve">. Viewed at: </w:t>
      </w:r>
      <w:hyperlink r:id="rId69" w:history="1">
        <w:r w:rsidRPr="0089179A">
          <w:rPr>
            <w:rStyle w:val="Hyperlink"/>
          </w:rPr>
          <w:t>https://www.oman.om/wps/wcm/connect/en/site/home/gov/gov1 /gov5governmentorganizations/odb/tourismloans</w:t>
        </w:r>
      </w:hyperlink>
      <w:r w:rsidRPr="00A260F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A7ED4" w14:textId="77777777" w:rsidR="00DE4516" w:rsidRPr="008D50D5" w:rsidRDefault="00DE4516" w:rsidP="008D50D5">
    <w:pPr>
      <w:pStyle w:val="Header"/>
      <w:pBdr>
        <w:bottom w:val="single" w:sz="4" w:space="1" w:color="auto"/>
      </w:pBdr>
      <w:tabs>
        <w:tab w:val="clear" w:pos="4513"/>
        <w:tab w:val="clear" w:pos="9027"/>
      </w:tabs>
      <w:jc w:val="center"/>
    </w:pPr>
    <w:r w:rsidRPr="008D50D5">
      <w:t>WT/TPR/S/418 • Oman</w:t>
    </w:r>
  </w:p>
  <w:p w14:paraId="355073C4" w14:textId="77777777" w:rsidR="00DE4516" w:rsidRPr="008D50D5" w:rsidRDefault="00DE4516" w:rsidP="008D50D5">
    <w:pPr>
      <w:pStyle w:val="Header"/>
      <w:pBdr>
        <w:bottom w:val="single" w:sz="4" w:space="1" w:color="auto"/>
      </w:pBdr>
      <w:tabs>
        <w:tab w:val="clear" w:pos="4513"/>
        <w:tab w:val="clear" w:pos="9027"/>
      </w:tabs>
      <w:jc w:val="center"/>
    </w:pPr>
  </w:p>
  <w:p w14:paraId="6A75FDA4" w14:textId="77777777" w:rsidR="00DE4516" w:rsidRPr="008D50D5" w:rsidRDefault="00DE4516" w:rsidP="008D50D5">
    <w:pPr>
      <w:pStyle w:val="Header"/>
      <w:pBdr>
        <w:bottom w:val="single" w:sz="4" w:space="1" w:color="auto"/>
      </w:pBdr>
      <w:tabs>
        <w:tab w:val="clear" w:pos="4513"/>
        <w:tab w:val="clear" w:pos="9027"/>
      </w:tabs>
      <w:jc w:val="center"/>
    </w:pPr>
    <w:r w:rsidRPr="008D50D5">
      <w:t xml:space="preserve">- </w:t>
    </w:r>
    <w:r w:rsidRPr="008D50D5">
      <w:rPr>
        <w:noProof/>
      </w:rPr>
      <w:t>1</w:t>
    </w:r>
    <w:r w:rsidRPr="008D50D5">
      <w:t xml:space="preserve"> -</w:t>
    </w:r>
  </w:p>
  <w:p w14:paraId="4B907BCE" w14:textId="77777777" w:rsidR="00DE4516" w:rsidRPr="008D50D5" w:rsidRDefault="00DE4516" w:rsidP="008D50D5">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CD54" w14:textId="77777777" w:rsidR="00DE4516" w:rsidRPr="008D50D5" w:rsidRDefault="00DE4516" w:rsidP="008D50D5">
    <w:pPr>
      <w:pStyle w:val="Header"/>
      <w:pBdr>
        <w:bottom w:val="single" w:sz="4" w:space="1" w:color="auto"/>
      </w:pBdr>
      <w:tabs>
        <w:tab w:val="clear" w:pos="4513"/>
        <w:tab w:val="clear" w:pos="9027"/>
      </w:tabs>
      <w:jc w:val="center"/>
    </w:pPr>
    <w:r w:rsidRPr="008D50D5">
      <w:t>WT/TPR/S/418 • Oman</w:t>
    </w:r>
  </w:p>
  <w:p w14:paraId="3F73D8DF" w14:textId="77777777" w:rsidR="00DE4516" w:rsidRPr="008D50D5" w:rsidRDefault="00DE4516" w:rsidP="008D50D5">
    <w:pPr>
      <w:pStyle w:val="Header"/>
      <w:pBdr>
        <w:bottom w:val="single" w:sz="4" w:space="1" w:color="auto"/>
      </w:pBdr>
      <w:tabs>
        <w:tab w:val="clear" w:pos="4513"/>
        <w:tab w:val="clear" w:pos="9027"/>
      </w:tabs>
      <w:jc w:val="center"/>
    </w:pPr>
  </w:p>
  <w:p w14:paraId="5A53C1A5" w14:textId="77777777" w:rsidR="00DE4516" w:rsidRPr="008D50D5" w:rsidRDefault="00DE4516" w:rsidP="008D50D5">
    <w:pPr>
      <w:pStyle w:val="Header"/>
      <w:pBdr>
        <w:bottom w:val="single" w:sz="4" w:space="1" w:color="auto"/>
      </w:pBdr>
      <w:tabs>
        <w:tab w:val="clear" w:pos="4513"/>
        <w:tab w:val="clear" w:pos="9027"/>
      </w:tabs>
      <w:jc w:val="center"/>
    </w:pPr>
    <w:r w:rsidRPr="008D50D5">
      <w:t xml:space="preserve">- </w:t>
    </w:r>
    <w:r w:rsidRPr="008D50D5">
      <w:rPr>
        <w:noProof/>
      </w:rPr>
      <w:t>2</w:t>
    </w:r>
    <w:r w:rsidRPr="008D50D5">
      <w:t xml:space="preserve"> -</w:t>
    </w:r>
  </w:p>
  <w:p w14:paraId="5A38C097" w14:textId="77777777" w:rsidR="00DE4516" w:rsidRPr="008D50D5" w:rsidRDefault="00DE4516" w:rsidP="008D50D5">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left w:w="0" w:type="dxa"/>
        <w:right w:w="0" w:type="dxa"/>
      </w:tblCellMar>
      <w:tblLook w:val="04A0" w:firstRow="1" w:lastRow="0" w:firstColumn="1" w:lastColumn="0" w:noHBand="0" w:noVBand="1"/>
    </w:tblPr>
    <w:tblGrid>
      <w:gridCol w:w="3737"/>
      <w:gridCol w:w="2056"/>
      <w:gridCol w:w="3233"/>
    </w:tblGrid>
    <w:tr w:rsidR="00DE4516" w:rsidRPr="0063306A" w14:paraId="42F4198C" w14:textId="77777777" w:rsidTr="00974C73">
      <w:trPr>
        <w:trHeight w:val="240"/>
        <w:jc w:val="center"/>
      </w:trPr>
      <w:tc>
        <w:tcPr>
          <w:tcW w:w="2053" w:type="pct"/>
          <w:tcMar>
            <w:left w:w="108" w:type="dxa"/>
            <w:right w:w="108" w:type="dxa"/>
          </w:tcMar>
          <w:vAlign w:val="center"/>
        </w:tcPr>
        <w:p w14:paraId="35012C5E" w14:textId="77777777" w:rsidR="00DE4516" w:rsidRPr="0063306A" w:rsidRDefault="00DE4516" w:rsidP="008D50D5">
          <w:pPr>
            <w:rPr>
              <w:rFonts w:cs="Verdana"/>
              <w:noProof/>
              <w:szCs w:val="18"/>
              <w:lang w:eastAsia="en-GB"/>
            </w:rPr>
          </w:pPr>
        </w:p>
      </w:tc>
      <w:tc>
        <w:tcPr>
          <w:tcW w:w="2947" w:type="pct"/>
          <w:gridSpan w:val="2"/>
          <w:tcMar>
            <w:left w:w="108" w:type="dxa"/>
            <w:right w:w="108" w:type="dxa"/>
          </w:tcMar>
          <w:vAlign w:val="center"/>
        </w:tcPr>
        <w:p w14:paraId="090FEC97" w14:textId="77777777" w:rsidR="00DE4516" w:rsidRPr="0063306A" w:rsidRDefault="00DE4516" w:rsidP="008D50D5">
          <w:pPr>
            <w:jc w:val="right"/>
            <w:rPr>
              <w:rFonts w:cs="Verdana"/>
              <w:b/>
              <w:color w:val="FF0000"/>
              <w:szCs w:val="18"/>
            </w:rPr>
          </w:pPr>
          <w:r w:rsidRPr="0063306A">
            <w:rPr>
              <w:rFonts w:cs="Verdana"/>
              <w:b/>
              <w:color w:val="FF0000"/>
              <w:szCs w:val="18"/>
            </w:rPr>
            <w:t>RESTRICTED</w:t>
          </w:r>
        </w:p>
      </w:tc>
    </w:tr>
    <w:tr w:rsidR="00DE4516" w:rsidRPr="0063306A" w14:paraId="596D7E33" w14:textId="77777777" w:rsidTr="00974C73">
      <w:trPr>
        <w:trHeight w:val="213"/>
        <w:jc w:val="center"/>
      </w:trPr>
      <w:tc>
        <w:tcPr>
          <w:tcW w:w="2053" w:type="pct"/>
          <w:vMerge w:val="restart"/>
          <w:tcMar>
            <w:left w:w="0" w:type="dxa"/>
            <w:right w:w="0" w:type="dxa"/>
          </w:tcMar>
        </w:tcPr>
        <w:p w14:paraId="2984EEA5" w14:textId="77777777" w:rsidR="00DE4516" w:rsidRPr="0063306A" w:rsidRDefault="00DE4516" w:rsidP="008D50D5">
          <w:pPr>
            <w:rPr>
              <w:rFonts w:cs="Verdana"/>
              <w:szCs w:val="18"/>
            </w:rPr>
          </w:pPr>
          <w:r w:rsidRPr="00BA4CAC">
            <w:rPr>
              <w:rFonts w:cs="Verdana"/>
              <w:noProof/>
              <w:szCs w:val="18"/>
            </w:rPr>
            <w:pict w14:anchorId="10A02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3" type="#_x0000_t75" style="width:187pt;height:56.1pt;visibility:visible">
                <v:imagedata r:id="rId1" o:title=""/>
                <o:lock v:ext="edit" aspectratio="f"/>
              </v:shape>
            </w:pict>
          </w:r>
        </w:p>
      </w:tc>
      <w:tc>
        <w:tcPr>
          <w:tcW w:w="2947" w:type="pct"/>
          <w:gridSpan w:val="2"/>
          <w:tcMar>
            <w:left w:w="108" w:type="dxa"/>
            <w:right w:w="108" w:type="dxa"/>
          </w:tcMar>
        </w:tcPr>
        <w:p w14:paraId="6BC40129" w14:textId="77777777" w:rsidR="00DE4516" w:rsidRPr="0063306A" w:rsidRDefault="00DE4516" w:rsidP="008D50D5">
          <w:pPr>
            <w:jc w:val="right"/>
            <w:rPr>
              <w:rFonts w:cs="Verdana"/>
              <w:b/>
              <w:szCs w:val="18"/>
            </w:rPr>
          </w:pPr>
        </w:p>
      </w:tc>
    </w:tr>
    <w:tr w:rsidR="00DE4516" w:rsidRPr="0063306A" w14:paraId="4C556D6F" w14:textId="77777777" w:rsidTr="00974C73">
      <w:trPr>
        <w:trHeight w:val="868"/>
        <w:jc w:val="center"/>
      </w:trPr>
      <w:tc>
        <w:tcPr>
          <w:tcW w:w="2053" w:type="pct"/>
          <w:vMerge/>
          <w:tcMar>
            <w:left w:w="108" w:type="dxa"/>
            <w:right w:w="108" w:type="dxa"/>
          </w:tcMar>
        </w:tcPr>
        <w:p w14:paraId="588F518D" w14:textId="77777777" w:rsidR="00DE4516" w:rsidRPr="0063306A" w:rsidRDefault="00DE4516" w:rsidP="008D50D5">
          <w:pPr>
            <w:rPr>
              <w:rFonts w:cs="Verdana"/>
              <w:noProof/>
              <w:szCs w:val="18"/>
              <w:lang w:eastAsia="en-GB"/>
            </w:rPr>
          </w:pPr>
        </w:p>
      </w:tc>
      <w:tc>
        <w:tcPr>
          <w:tcW w:w="2947" w:type="pct"/>
          <w:gridSpan w:val="2"/>
          <w:tcMar>
            <w:left w:w="108" w:type="dxa"/>
            <w:right w:w="108" w:type="dxa"/>
          </w:tcMar>
        </w:tcPr>
        <w:p w14:paraId="0D388510" w14:textId="77777777" w:rsidR="00DE4516" w:rsidRPr="0063306A" w:rsidRDefault="00DE4516" w:rsidP="008D50D5">
          <w:pPr>
            <w:jc w:val="right"/>
            <w:rPr>
              <w:rFonts w:cs="Verdana"/>
              <w:b/>
              <w:szCs w:val="18"/>
            </w:rPr>
          </w:pPr>
          <w:r w:rsidRPr="0063306A">
            <w:rPr>
              <w:b/>
              <w:szCs w:val="18"/>
            </w:rPr>
            <w:t>WT/TPR/S/418</w:t>
          </w:r>
        </w:p>
      </w:tc>
    </w:tr>
    <w:tr w:rsidR="00DE4516" w:rsidRPr="0063306A" w14:paraId="2C654790" w14:textId="77777777" w:rsidTr="00974C73">
      <w:trPr>
        <w:trHeight w:val="240"/>
        <w:jc w:val="center"/>
      </w:trPr>
      <w:tc>
        <w:tcPr>
          <w:tcW w:w="2053" w:type="pct"/>
          <w:vMerge/>
          <w:tcMar>
            <w:left w:w="108" w:type="dxa"/>
            <w:right w:w="108" w:type="dxa"/>
          </w:tcMar>
          <w:vAlign w:val="center"/>
        </w:tcPr>
        <w:p w14:paraId="04542520" w14:textId="77777777" w:rsidR="00DE4516" w:rsidRPr="0063306A" w:rsidRDefault="00DE4516" w:rsidP="008D50D5">
          <w:pPr>
            <w:rPr>
              <w:rFonts w:cs="Verdana"/>
              <w:szCs w:val="18"/>
            </w:rPr>
          </w:pPr>
        </w:p>
      </w:tc>
      <w:tc>
        <w:tcPr>
          <w:tcW w:w="2947" w:type="pct"/>
          <w:gridSpan w:val="2"/>
          <w:tcMar>
            <w:left w:w="108" w:type="dxa"/>
            <w:right w:w="108" w:type="dxa"/>
          </w:tcMar>
          <w:vAlign w:val="center"/>
        </w:tcPr>
        <w:p w14:paraId="2B210263" w14:textId="77777777" w:rsidR="00DE4516" w:rsidRPr="0063306A" w:rsidRDefault="00DE4516" w:rsidP="008D50D5">
          <w:pPr>
            <w:jc w:val="right"/>
            <w:rPr>
              <w:rFonts w:cs="Verdana"/>
              <w:szCs w:val="18"/>
            </w:rPr>
          </w:pPr>
          <w:r>
            <w:rPr>
              <w:rFonts w:cs="Verdana"/>
              <w:szCs w:val="18"/>
            </w:rPr>
            <w:t>13 October</w:t>
          </w:r>
          <w:r w:rsidRPr="0063306A">
            <w:rPr>
              <w:rFonts w:cs="Verdana"/>
              <w:szCs w:val="18"/>
            </w:rPr>
            <w:t> 2021</w:t>
          </w:r>
        </w:p>
      </w:tc>
    </w:tr>
    <w:tr w:rsidR="00DE4516" w:rsidRPr="0063306A" w14:paraId="68600FF5" w14:textId="77777777" w:rsidTr="00974C73">
      <w:trPr>
        <w:trHeight w:val="412"/>
        <w:jc w:val="center"/>
      </w:trPr>
      <w:tc>
        <w:tcPr>
          <w:tcW w:w="3201" w:type="pct"/>
          <w:gridSpan w:val="2"/>
          <w:tcBorders>
            <w:bottom w:val="single" w:sz="4" w:space="0" w:color="auto"/>
          </w:tcBorders>
          <w:tcMar>
            <w:top w:w="0" w:type="dxa"/>
            <w:left w:w="108" w:type="dxa"/>
            <w:bottom w:w="57" w:type="dxa"/>
            <w:right w:w="108" w:type="dxa"/>
          </w:tcMar>
          <w:vAlign w:val="bottom"/>
        </w:tcPr>
        <w:p w14:paraId="4477309C" w14:textId="77777777" w:rsidR="00DE4516" w:rsidRPr="0063306A" w:rsidRDefault="00DE4516" w:rsidP="008D50D5">
          <w:pPr>
            <w:rPr>
              <w:rFonts w:cs="Verdana"/>
              <w:b/>
              <w:szCs w:val="18"/>
            </w:rPr>
          </w:pPr>
          <w:r w:rsidRPr="0063306A">
            <w:rPr>
              <w:rFonts w:cs="Verdana"/>
              <w:color w:val="FF0000"/>
              <w:szCs w:val="18"/>
            </w:rPr>
            <w:t>(21</w:t>
          </w:r>
          <w:r w:rsidRPr="0063306A">
            <w:rPr>
              <w:rFonts w:cs="Verdana"/>
              <w:color w:val="FF0000"/>
              <w:szCs w:val="18"/>
            </w:rPr>
            <w:noBreakHyphen/>
          </w:r>
          <w:r>
            <w:rPr>
              <w:rFonts w:cs="Verdana"/>
              <w:color w:val="FF0000"/>
              <w:szCs w:val="18"/>
            </w:rPr>
            <w:t>7713</w:t>
          </w:r>
          <w:r w:rsidRPr="0063306A">
            <w:rPr>
              <w:rFonts w:cs="Verdana"/>
              <w:color w:val="FF0000"/>
              <w:szCs w:val="18"/>
            </w:rPr>
            <w:t>)</w:t>
          </w:r>
        </w:p>
      </w:tc>
      <w:tc>
        <w:tcPr>
          <w:tcW w:w="1799" w:type="pct"/>
          <w:tcBorders>
            <w:bottom w:val="single" w:sz="4" w:space="0" w:color="auto"/>
          </w:tcBorders>
          <w:tcMar>
            <w:top w:w="0" w:type="dxa"/>
            <w:left w:w="108" w:type="dxa"/>
            <w:bottom w:w="57" w:type="dxa"/>
            <w:right w:w="108" w:type="dxa"/>
          </w:tcMar>
          <w:vAlign w:val="bottom"/>
        </w:tcPr>
        <w:p w14:paraId="2B90AD96" w14:textId="77777777" w:rsidR="00DE4516" w:rsidRPr="0063306A" w:rsidRDefault="00DE4516" w:rsidP="008D50D5">
          <w:pPr>
            <w:jc w:val="right"/>
            <w:rPr>
              <w:rFonts w:cs="Verdana"/>
              <w:szCs w:val="18"/>
            </w:rPr>
          </w:pPr>
          <w:r w:rsidRPr="0063306A">
            <w:rPr>
              <w:rFonts w:cs="Verdana"/>
              <w:szCs w:val="18"/>
            </w:rPr>
            <w:t xml:space="preserve">Page: </w:t>
          </w:r>
          <w:r w:rsidRPr="0063306A">
            <w:rPr>
              <w:rFonts w:cs="Verdana"/>
              <w:noProof/>
              <w:szCs w:val="18"/>
            </w:rPr>
            <w:t>1</w:t>
          </w:r>
          <w:r w:rsidRPr="0063306A">
            <w:rPr>
              <w:rFonts w:cs="Verdana"/>
              <w:szCs w:val="18"/>
            </w:rPr>
            <w:t>/</w:t>
          </w:r>
          <w:r w:rsidRPr="0063306A">
            <w:rPr>
              <w:rFonts w:cs="Verdana"/>
              <w:noProof/>
              <w:szCs w:val="18"/>
            </w:rPr>
            <w:t>79</w:t>
          </w:r>
        </w:p>
      </w:tc>
    </w:tr>
    <w:tr w:rsidR="00DE4516" w:rsidRPr="0063306A" w14:paraId="4FACB6C6" w14:textId="77777777" w:rsidTr="00974C73">
      <w:trPr>
        <w:trHeight w:val="240"/>
        <w:jc w:val="center"/>
      </w:trPr>
      <w:tc>
        <w:tcPr>
          <w:tcW w:w="3201" w:type="pct"/>
          <w:gridSpan w:val="2"/>
          <w:tcBorders>
            <w:top w:val="single" w:sz="4" w:space="0" w:color="auto"/>
          </w:tcBorders>
          <w:tcMar>
            <w:top w:w="113" w:type="dxa"/>
            <w:left w:w="108" w:type="dxa"/>
            <w:bottom w:w="57" w:type="dxa"/>
            <w:right w:w="108" w:type="dxa"/>
          </w:tcMar>
          <w:vAlign w:val="center"/>
        </w:tcPr>
        <w:p w14:paraId="48511A3F" w14:textId="77777777" w:rsidR="00DE4516" w:rsidRPr="0063306A" w:rsidRDefault="00DE4516" w:rsidP="008D50D5">
          <w:pPr>
            <w:rPr>
              <w:rFonts w:cs="Verdana"/>
              <w:szCs w:val="18"/>
            </w:rPr>
          </w:pPr>
          <w:r w:rsidRPr="0063306A">
            <w:rPr>
              <w:b/>
              <w:szCs w:val="18"/>
            </w:rPr>
            <w:t>Trade Policy Review Body</w:t>
          </w:r>
        </w:p>
      </w:tc>
      <w:tc>
        <w:tcPr>
          <w:tcW w:w="1799" w:type="pct"/>
          <w:tcBorders>
            <w:top w:val="single" w:sz="4" w:space="0" w:color="auto"/>
          </w:tcBorders>
          <w:tcMar>
            <w:top w:w="113" w:type="dxa"/>
            <w:left w:w="108" w:type="dxa"/>
            <w:bottom w:w="57" w:type="dxa"/>
            <w:right w:w="108" w:type="dxa"/>
          </w:tcMar>
        </w:tcPr>
        <w:p w14:paraId="6A68C078" w14:textId="77777777" w:rsidR="00DE4516" w:rsidRPr="0063306A" w:rsidRDefault="00DE4516" w:rsidP="008D50D5">
          <w:pPr>
            <w:jc w:val="right"/>
            <w:rPr>
              <w:rFonts w:cs="Verdana"/>
              <w:bCs/>
              <w:szCs w:val="18"/>
            </w:rPr>
          </w:pPr>
        </w:p>
      </w:tc>
    </w:tr>
  </w:tbl>
  <w:p w14:paraId="2FECBB73" w14:textId="77777777" w:rsidR="00DE4516" w:rsidRDefault="00DE4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8AD4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4D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665A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B0AC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96C6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906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F8DE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861E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ACD6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1A8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5F7"/>
    <w:multiLevelType w:val="multilevel"/>
    <w:tmpl w:val="4AFE537E"/>
    <w:lvl w:ilvl="0">
      <w:start w:val="4"/>
      <w:numFmt w:val="decimal"/>
      <w:lvlRestart w:val="0"/>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bullet"/>
      <w:lvlText w:val=""/>
      <w:lvlJc w:val="left"/>
      <w:pPr>
        <w:ind w:left="0" w:firstLine="0"/>
      </w:pPr>
      <w:rPr>
        <w:rFonts w:ascii="Symbol" w:hAnsi="Symbol"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1" w15:restartNumberingAfterBreak="0">
    <w:nsid w:val="04253FED"/>
    <w:multiLevelType w:val="hybridMultilevel"/>
    <w:tmpl w:val="47226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8C1C7B"/>
    <w:multiLevelType w:val="multilevel"/>
    <w:tmpl w:val="55F629E2"/>
    <w:lvl w:ilvl="0">
      <w:start w:val="1"/>
      <w:numFmt w:val="decimal"/>
      <w:pStyle w:val="Query"/>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4" w15:restartNumberingAfterBreak="0">
    <w:nsid w:val="15D25218"/>
    <w:multiLevelType w:val="multilevel"/>
    <w:tmpl w:val="62C832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1662606C"/>
    <w:multiLevelType w:val="hybridMultilevel"/>
    <w:tmpl w:val="AF140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C27F99"/>
    <w:multiLevelType w:val="multilevel"/>
    <w:tmpl w:val="44DAE3C6"/>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7" w15:restartNumberingAfterBreak="0">
    <w:nsid w:val="24C967BB"/>
    <w:multiLevelType w:val="multilevel"/>
    <w:tmpl w:val="98EE70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2940262B"/>
    <w:multiLevelType w:val="multilevel"/>
    <w:tmpl w:val="D474FE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3E948C5"/>
    <w:multiLevelType w:val="multilevel"/>
    <w:tmpl w:val="5BDEB10A"/>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907"/>
        </w:tabs>
        <w:ind w:left="907" w:hanging="340"/>
      </w:pPr>
      <w:rPr>
        <w:rFonts w:ascii="Symbol" w:hAnsi="Symbol" w:hint="default"/>
        <w:color w:val="auto"/>
      </w:rPr>
    </w:lvl>
    <w:lvl w:ilvl="2">
      <w:start w:val="1"/>
      <w:numFmt w:val="bullet"/>
      <w:pStyle w:val="ListBullet3"/>
      <w:lvlText w:val=""/>
      <w:lvlJc w:val="left"/>
      <w:pPr>
        <w:tabs>
          <w:tab w:val="num" w:pos="1247"/>
        </w:tabs>
        <w:ind w:left="1247" w:hanging="340"/>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22" w15:restartNumberingAfterBreak="0">
    <w:nsid w:val="57454AB1"/>
    <w:multiLevelType w:val="multilevel"/>
    <w:tmpl w:val="075A666C"/>
    <w:numStyleLink w:val="LegalHeadings"/>
  </w:abstractNum>
  <w:abstractNum w:abstractNumId="23" w15:restartNumberingAfterBreak="0">
    <w:nsid w:val="57551E12"/>
    <w:multiLevelType w:val="multilevel"/>
    <w:tmpl w:val="075A666C"/>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24"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5B2032EA"/>
    <w:multiLevelType w:val="hybridMultilevel"/>
    <w:tmpl w:val="090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5E48A4"/>
    <w:multiLevelType w:val="multilevel"/>
    <w:tmpl w:val="22AC92FC"/>
    <w:lvl w:ilvl="0">
      <w:start w:val="4"/>
      <w:numFmt w:val="decimal"/>
      <w:lvlRestart w:val="0"/>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bullet"/>
      <w:lvlText w:val=""/>
      <w:lvlJc w:val="left"/>
      <w:pPr>
        <w:tabs>
          <w:tab w:val="num" w:pos="907"/>
        </w:tabs>
        <w:ind w:left="907" w:hanging="340"/>
      </w:pPr>
      <w:rPr>
        <w:rFonts w:ascii="Symbol" w:hAnsi="Symbol" w:hint="default"/>
      </w:rPr>
    </w:lvl>
    <w:lvl w:ilvl="8">
      <w:start w:val="1"/>
      <w:numFmt w:val="lowerRoman"/>
      <w:lvlText w:val="%9."/>
      <w:lvlJc w:val="left"/>
      <w:pPr>
        <w:tabs>
          <w:tab w:val="num" w:pos="1247"/>
        </w:tabs>
        <w:ind w:left="1247" w:hanging="340"/>
      </w:pPr>
      <w:rPr>
        <w:rFonts w:hint="default"/>
      </w:rPr>
    </w:lvl>
  </w:abstractNum>
  <w:abstractNum w:abstractNumId="28" w15:restartNumberingAfterBreak="0">
    <w:nsid w:val="72E16627"/>
    <w:multiLevelType w:val="hybridMultilevel"/>
    <w:tmpl w:val="52A4B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F66326"/>
    <w:multiLevelType w:val="hybridMultilevel"/>
    <w:tmpl w:val="047EC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4C1806"/>
    <w:multiLevelType w:val="hybridMultilevel"/>
    <w:tmpl w:val="8E969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23"/>
  </w:num>
  <w:num w:numId="7">
    <w:abstractNumId w:val="22"/>
  </w:num>
  <w:num w:numId="8">
    <w:abstractNumId w:val="21"/>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8"/>
  </w:num>
  <w:num w:numId="12">
    <w:abstractNumId w:val="3"/>
  </w:num>
  <w:num w:numId="13">
    <w:abstractNumId w:val="2"/>
  </w:num>
  <w:num w:numId="14">
    <w:abstractNumId w:val="1"/>
  </w:num>
  <w:num w:numId="15">
    <w:abstractNumId w:val="0"/>
  </w:num>
  <w:num w:numId="16">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8"/>
  </w:num>
  <w:num w:numId="20">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21">
    <w:abstractNumId w:val="27"/>
  </w:num>
  <w:num w:numId="22">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1"/>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8"/>
  </w:num>
  <w:num w:numId="29">
    <w:abstractNumId w:val="17"/>
  </w:num>
  <w:num w:numId="30">
    <w:abstractNumId w:val="30"/>
  </w:num>
  <w:num w:numId="31">
    <w:abstractNumId w:val="25"/>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20"/>
  </w:num>
  <w:num w:numId="38">
    <w:abstractNumId w:val="24"/>
  </w:num>
  <w:num w:numId="39">
    <w:abstractNumId w:val="19"/>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removePersonalInformation/>
  <w:removeDateAndTime/>
  <w:proofState w:spelling="clean" w:grammar="clean"/>
  <w:attachedTemplate r:id="rId1"/>
  <w:revisionView w:formatting="0"/>
  <w:defaultTabStop w:val="567"/>
  <w:hyphenationZone w:val="425"/>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Bodies" w:val="Trade Policy Review Body"/>
    <w:docVar w:name="Divisions" w:val="Trade and Environment Division"/>
    <w:docVar w:name="ex_AddedHTMLPreformat" w:val="Consolas"/>
    <w:docVar w:name="ex_AuthPars" w:val="APComplete"/>
    <w:docVar w:name="ex_AutoRedact" w:val="APComplete"/>
    <w:docVar w:name="ex_CitOrder" w:val="APComplete"/>
    <w:docVar w:name="ex_CleanUp" w:val="CleanUpComplete"/>
    <w:docVar w:name="eX_DocInfoLastUpdatedDate" w:val="44840.5465162037"/>
    <w:docVar w:name="ex_eXtylesBuild" w:val="4904"/>
    <w:docVar w:name="ex_FontAudit" w:val="APComplete"/>
    <w:docVar w:name="EX_LAST_PALETTE_TAB" w:val="1"/>
    <w:docVar w:name="ex_LinkRefsCrossRef" w:val="APComplete"/>
    <w:docVar w:name="ex_ParseBib" w:val="APComplete"/>
    <w:docVar w:name="ex_SortRefs" w:val="APComplete"/>
    <w:docVar w:name="ex_URLCheck" w:val="APComplete"/>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iceFileDir" w:val="\\v-magellan9\Website\sandbox\eric\ExtylesTransformation\02\HTML-main\TPR"/>
    <w:docVar w:name="iceFileName" w:val="S418.docx"/>
    <w:docVar w:name="iceJABR" w:val="TPR"/>
    <w:docVar w:name="iceJournal" w:val="TPR:Trade Policy Review"/>
    <w:docVar w:name="iceJournalName" w:val="Trade Policy Review"/>
    <w:docVar w:name="icePublisher" w:val="WTO"/>
    <w:docVar w:name="iceType" w:val="Secretariat Report"/>
    <w:docVar w:name="PageCount" w:val="83"/>
    <w:docVar w:name="PreEdit Baseline Path" w:val="C:\Users\Emin\Downloads\SampleManuscripts_Training\TPR\S418$base.docx"/>
    <w:docVar w:name="PreEdit Baseline Timestamp" w:val="10/10/2022 14:59:28"/>
    <w:docVar w:name="PreEdit Up-Front Loss" w:val="complete"/>
    <w:docVar w:name="PubDay" w:val="13"/>
    <w:docVar w:name="PubID" w:val="21 7713"/>
    <w:docVar w:name="PublishAllLang" w:val="F"/>
    <w:docVar w:name="PubMonth" w:val="10"/>
    <w:docVar w:name="PubYear" w:val="2021"/>
    <w:docVar w:name="Restricted" w:val="T"/>
    <w:docVar w:name="Symbol1" w:val="WT/TPR/S/418"/>
  </w:docVars>
  <w:rsids>
    <w:rsidRoot w:val="003B5382"/>
    <w:rsid w:val="000005E8"/>
    <w:rsid w:val="0000178D"/>
    <w:rsid w:val="00010C82"/>
    <w:rsid w:val="000115DA"/>
    <w:rsid w:val="00016C28"/>
    <w:rsid w:val="00021E08"/>
    <w:rsid w:val="000272F6"/>
    <w:rsid w:val="00036603"/>
    <w:rsid w:val="00037AC4"/>
    <w:rsid w:val="00041D9E"/>
    <w:rsid w:val="00045471"/>
    <w:rsid w:val="00045C7E"/>
    <w:rsid w:val="00053829"/>
    <w:rsid w:val="00064F6F"/>
    <w:rsid w:val="000674C8"/>
    <w:rsid w:val="0007094D"/>
    <w:rsid w:val="00071064"/>
    <w:rsid w:val="000853B7"/>
    <w:rsid w:val="00095987"/>
    <w:rsid w:val="000A4945"/>
    <w:rsid w:val="000A75AA"/>
    <w:rsid w:val="000B31E1"/>
    <w:rsid w:val="000B408D"/>
    <w:rsid w:val="000E4459"/>
    <w:rsid w:val="000E5836"/>
    <w:rsid w:val="000E7E15"/>
    <w:rsid w:val="000F27B8"/>
    <w:rsid w:val="000F3369"/>
    <w:rsid w:val="00111310"/>
    <w:rsid w:val="0011291D"/>
    <w:rsid w:val="0011356B"/>
    <w:rsid w:val="00114D7E"/>
    <w:rsid w:val="00116910"/>
    <w:rsid w:val="00116E43"/>
    <w:rsid w:val="0013337F"/>
    <w:rsid w:val="001368F2"/>
    <w:rsid w:val="00137200"/>
    <w:rsid w:val="00141994"/>
    <w:rsid w:val="00143F1C"/>
    <w:rsid w:val="00144389"/>
    <w:rsid w:val="001465C4"/>
    <w:rsid w:val="00160447"/>
    <w:rsid w:val="0016127B"/>
    <w:rsid w:val="001636C8"/>
    <w:rsid w:val="00182B84"/>
    <w:rsid w:val="001833F9"/>
    <w:rsid w:val="00183624"/>
    <w:rsid w:val="00197F5A"/>
    <w:rsid w:val="001A6829"/>
    <w:rsid w:val="001C1718"/>
    <w:rsid w:val="001C3839"/>
    <w:rsid w:val="001C3FF6"/>
    <w:rsid w:val="001C40D5"/>
    <w:rsid w:val="001C5169"/>
    <w:rsid w:val="001E291F"/>
    <w:rsid w:val="001E319B"/>
    <w:rsid w:val="001E63A2"/>
    <w:rsid w:val="001F0D42"/>
    <w:rsid w:val="00204904"/>
    <w:rsid w:val="00205EE6"/>
    <w:rsid w:val="0022039F"/>
    <w:rsid w:val="00223C9A"/>
    <w:rsid w:val="002332EB"/>
    <w:rsid w:val="00233408"/>
    <w:rsid w:val="00234557"/>
    <w:rsid w:val="0023485A"/>
    <w:rsid w:val="00236750"/>
    <w:rsid w:val="0023715C"/>
    <w:rsid w:val="002373E9"/>
    <w:rsid w:val="00241E4A"/>
    <w:rsid w:val="00242C24"/>
    <w:rsid w:val="0025053E"/>
    <w:rsid w:val="00251C84"/>
    <w:rsid w:val="00260CF2"/>
    <w:rsid w:val="00263100"/>
    <w:rsid w:val="00263F7D"/>
    <w:rsid w:val="00266AF8"/>
    <w:rsid w:val="0027067B"/>
    <w:rsid w:val="00270E1D"/>
    <w:rsid w:val="00273496"/>
    <w:rsid w:val="0027534D"/>
    <w:rsid w:val="00277472"/>
    <w:rsid w:val="00280D96"/>
    <w:rsid w:val="002851A1"/>
    <w:rsid w:val="00285F81"/>
    <w:rsid w:val="0028655F"/>
    <w:rsid w:val="00292A4A"/>
    <w:rsid w:val="00293E37"/>
    <w:rsid w:val="002973FB"/>
    <w:rsid w:val="002A1E8E"/>
    <w:rsid w:val="002B02FF"/>
    <w:rsid w:val="002B27B5"/>
    <w:rsid w:val="002C718D"/>
    <w:rsid w:val="002D5455"/>
    <w:rsid w:val="002E2230"/>
    <w:rsid w:val="002E6EF0"/>
    <w:rsid w:val="002F1153"/>
    <w:rsid w:val="002F3B7B"/>
    <w:rsid w:val="002F793E"/>
    <w:rsid w:val="00300412"/>
    <w:rsid w:val="003300A2"/>
    <w:rsid w:val="00331ACC"/>
    <w:rsid w:val="00331D9C"/>
    <w:rsid w:val="00350B66"/>
    <w:rsid w:val="00352DA8"/>
    <w:rsid w:val="00356B3C"/>
    <w:rsid w:val="003572B4"/>
    <w:rsid w:val="00360337"/>
    <w:rsid w:val="00365B55"/>
    <w:rsid w:val="00391A99"/>
    <w:rsid w:val="003957DC"/>
    <w:rsid w:val="003B45D1"/>
    <w:rsid w:val="003B5382"/>
    <w:rsid w:val="003B6602"/>
    <w:rsid w:val="003D2D01"/>
    <w:rsid w:val="003D4F5E"/>
    <w:rsid w:val="003E2553"/>
    <w:rsid w:val="003E5C1B"/>
    <w:rsid w:val="003F54A9"/>
    <w:rsid w:val="003F54F4"/>
    <w:rsid w:val="00405B94"/>
    <w:rsid w:val="00407614"/>
    <w:rsid w:val="00414226"/>
    <w:rsid w:val="00430ACC"/>
    <w:rsid w:val="00431811"/>
    <w:rsid w:val="00431AFB"/>
    <w:rsid w:val="00441EAB"/>
    <w:rsid w:val="004424EB"/>
    <w:rsid w:val="00456A5D"/>
    <w:rsid w:val="00457897"/>
    <w:rsid w:val="004578E5"/>
    <w:rsid w:val="00461DF8"/>
    <w:rsid w:val="00461ECD"/>
    <w:rsid w:val="00466386"/>
    <w:rsid w:val="00467032"/>
    <w:rsid w:val="0046754A"/>
    <w:rsid w:val="00475E35"/>
    <w:rsid w:val="00476D8F"/>
    <w:rsid w:val="00482407"/>
    <w:rsid w:val="00483E42"/>
    <w:rsid w:val="0049126C"/>
    <w:rsid w:val="004A39E3"/>
    <w:rsid w:val="004A4B09"/>
    <w:rsid w:val="004A5851"/>
    <w:rsid w:val="004B2AEE"/>
    <w:rsid w:val="004B2DA1"/>
    <w:rsid w:val="004B7CE7"/>
    <w:rsid w:val="004C53A3"/>
    <w:rsid w:val="004D7AD5"/>
    <w:rsid w:val="004E4C9F"/>
    <w:rsid w:val="004F1108"/>
    <w:rsid w:val="004F1769"/>
    <w:rsid w:val="004F203A"/>
    <w:rsid w:val="004F3546"/>
    <w:rsid w:val="00503D8F"/>
    <w:rsid w:val="00507E8C"/>
    <w:rsid w:val="0051334B"/>
    <w:rsid w:val="00515B1A"/>
    <w:rsid w:val="00524C00"/>
    <w:rsid w:val="00525CC5"/>
    <w:rsid w:val="005268E2"/>
    <w:rsid w:val="005309B2"/>
    <w:rsid w:val="005336B8"/>
    <w:rsid w:val="005356D3"/>
    <w:rsid w:val="005471E1"/>
    <w:rsid w:val="0056276C"/>
    <w:rsid w:val="00567B39"/>
    <w:rsid w:val="0057526C"/>
    <w:rsid w:val="0058392D"/>
    <w:rsid w:val="0058657A"/>
    <w:rsid w:val="00591562"/>
    <w:rsid w:val="0059378D"/>
    <w:rsid w:val="00596863"/>
    <w:rsid w:val="005A1A92"/>
    <w:rsid w:val="005A6AFD"/>
    <w:rsid w:val="005B04B9"/>
    <w:rsid w:val="005B0C3D"/>
    <w:rsid w:val="005B68C7"/>
    <w:rsid w:val="005C5E7F"/>
    <w:rsid w:val="005C6D7C"/>
    <w:rsid w:val="005D3917"/>
    <w:rsid w:val="005D3E3F"/>
    <w:rsid w:val="005F30CB"/>
    <w:rsid w:val="005F3384"/>
    <w:rsid w:val="005F3BFD"/>
    <w:rsid w:val="005F4716"/>
    <w:rsid w:val="00602BB7"/>
    <w:rsid w:val="0060357A"/>
    <w:rsid w:val="00605AC4"/>
    <w:rsid w:val="00607E27"/>
    <w:rsid w:val="00614C4A"/>
    <w:rsid w:val="00622E68"/>
    <w:rsid w:val="006277E3"/>
    <w:rsid w:val="0063306A"/>
    <w:rsid w:val="006349F7"/>
    <w:rsid w:val="00642E31"/>
    <w:rsid w:val="00651A55"/>
    <w:rsid w:val="006553D3"/>
    <w:rsid w:val="0065599C"/>
    <w:rsid w:val="00656039"/>
    <w:rsid w:val="0066613D"/>
    <w:rsid w:val="006706F9"/>
    <w:rsid w:val="00670BAA"/>
    <w:rsid w:val="00670DBB"/>
    <w:rsid w:val="00673C81"/>
    <w:rsid w:val="00674CCD"/>
    <w:rsid w:val="00684A4A"/>
    <w:rsid w:val="00695A41"/>
    <w:rsid w:val="006A4C3D"/>
    <w:rsid w:val="006A7357"/>
    <w:rsid w:val="006B1561"/>
    <w:rsid w:val="006B19C1"/>
    <w:rsid w:val="006B4A15"/>
    <w:rsid w:val="006B5D31"/>
    <w:rsid w:val="006B5F58"/>
    <w:rsid w:val="006D1F98"/>
    <w:rsid w:val="006D4C07"/>
    <w:rsid w:val="006D5D8A"/>
    <w:rsid w:val="006E1EE3"/>
    <w:rsid w:val="006E4014"/>
    <w:rsid w:val="006E523C"/>
    <w:rsid w:val="006E7763"/>
    <w:rsid w:val="006F2CE4"/>
    <w:rsid w:val="006F3EE7"/>
    <w:rsid w:val="006F4C42"/>
    <w:rsid w:val="006F5826"/>
    <w:rsid w:val="00700181"/>
    <w:rsid w:val="00705E2D"/>
    <w:rsid w:val="0070708C"/>
    <w:rsid w:val="007141CF"/>
    <w:rsid w:val="00716B5B"/>
    <w:rsid w:val="00722434"/>
    <w:rsid w:val="007224D8"/>
    <w:rsid w:val="00726A85"/>
    <w:rsid w:val="0075101D"/>
    <w:rsid w:val="007577E3"/>
    <w:rsid w:val="00760DB3"/>
    <w:rsid w:val="00765348"/>
    <w:rsid w:val="007659A4"/>
    <w:rsid w:val="007855F3"/>
    <w:rsid w:val="0078674E"/>
    <w:rsid w:val="007A0E6A"/>
    <w:rsid w:val="007A1E0A"/>
    <w:rsid w:val="007A2FBB"/>
    <w:rsid w:val="007A6D46"/>
    <w:rsid w:val="007B042A"/>
    <w:rsid w:val="007B68AB"/>
    <w:rsid w:val="007C07BF"/>
    <w:rsid w:val="007C2DAC"/>
    <w:rsid w:val="007C5264"/>
    <w:rsid w:val="007D2787"/>
    <w:rsid w:val="007D6916"/>
    <w:rsid w:val="007E0EF6"/>
    <w:rsid w:val="007E188E"/>
    <w:rsid w:val="007E2DCB"/>
    <w:rsid w:val="007E6507"/>
    <w:rsid w:val="007F015E"/>
    <w:rsid w:val="007F2B8E"/>
    <w:rsid w:val="007F5042"/>
    <w:rsid w:val="007F7786"/>
    <w:rsid w:val="0080477A"/>
    <w:rsid w:val="008059D1"/>
    <w:rsid w:val="00805CE7"/>
    <w:rsid w:val="00807247"/>
    <w:rsid w:val="00810072"/>
    <w:rsid w:val="008141BA"/>
    <w:rsid w:val="008156CA"/>
    <w:rsid w:val="00820D67"/>
    <w:rsid w:val="0082484F"/>
    <w:rsid w:val="00833C71"/>
    <w:rsid w:val="00836E51"/>
    <w:rsid w:val="00837E95"/>
    <w:rsid w:val="00840C2B"/>
    <w:rsid w:val="0084463A"/>
    <w:rsid w:val="00847A38"/>
    <w:rsid w:val="0085549C"/>
    <w:rsid w:val="0085759E"/>
    <w:rsid w:val="008602F9"/>
    <w:rsid w:val="0086087A"/>
    <w:rsid w:val="00862C5A"/>
    <w:rsid w:val="00863F60"/>
    <w:rsid w:val="008723DF"/>
    <w:rsid w:val="008739FD"/>
    <w:rsid w:val="00874335"/>
    <w:rsid w:val="00874C2E"/>
    <w:rsid w:val="00876933"/>
    <w:rsid w:val="00882576"/>
    <w:rsid w:val="00882F89"/>
    <w:rsid w:val="008A0F70"/>
    <w:rsid w:val="008A4D69"/>
    <w:rsid w:val="008A7217"/>
    <w:rsid w:val="008A7A37"/>
    <w:rsid w:val="008B28BF"/>
    <w:rsid w:val="008B4A82"/>
    <w:rsid w:val="008C3D4D"/>
    <w:rsid w:val="008D0184"/>
    <w:rsid w:val="008D14A4"/>
    <w:rsid w:val="008D1C3F"/>
    <w:rsid w:val="008D376B"/>
    <w:rsid w:val="008D50D5"/>
    <w:rsid w:val="008E372C"/>
    <w:rsid w:val="008F1BFF"/>
    <w:rsid w:val="008F2512"/>
    <w:rsid w:val="00900AF7"/>
    <w:rsid w:val="00905B46"/>
    <w:rsid w:val="00921451"/>
    <w:rsid w:val="009249FA"/>
    <w:rsid w:val="00924B67"/>
    <w:rsid w:val="009278A4"/>
    <w:rsid w:val="00932070"/>
    <w:rsid w:val="00935924"/>
    <w:rsid w:val="00942601"/>
    <w:rsid w:val="00947117"/>
    <w:rsid w:val="00951891"/>
    <w:rsid w:val="009620B5"/>
    <w:rsid w:val="00970AB8"/>
    <w:rsid w:val="00970EDF"/>
    <w:rsid w:val="00972E90"/>
    <w:rsid w:val="009748D2"/>
    <w:rsid w:val="00974C73"/>
    <w:rsid w:val="009759F3"/>
    <w:rsid w:val="00976348"/>
    <w:rsid w:val="00996F6D"/>
    <w:rsid w:val="009A3730"/>
    <w:rsid w:val="009A6F54"/>
    <w:rsid w:val="009B3F56"/>
    <w:rsid w:val="009C1F50"/>
    <w:rsid w:val="009D686B"/>
    <w:rsid w:val="009F219F"/>
    <w:rsid w:val="00A028FD"/>
    <w:rsid w:val="00A05AD2"/>
    <w:rsid w:val="00A15553"/>
    <w:rsid w:val="00A173BE"/>
    <w:rsid w:val="00A318CE"/>
    <w:rsid w:val="00A34921"/>
    <w:rsid w:val="00A37738"/>
    <w:rsid w:val="00A46ADC"/>
    <w:rsid w:val="00A520F9"/>
    <w:rsid w:val="00A52953"/>
    <w:rsid w:val="00A6057A"/>
    <w:rsid w:val="00A630F5"/>
    <w:rsid w:val="00A638DF"/>
    <w:rsid w:val="00A70DC9"/>
    <w:rsid w:val="00A73F5E"/>
    <w:rsid w:val="00A74017"/>
    <w:rsid w:val="00A767BA"/>
    <w:rsid w:val="00A76898"/>
    <w:rsid w:val="00A77466"/>
    <w:rsid w:val="00A81ED6"/>
    <w:rsid w:val="00A86160"/>
    <w:rsid w:val="00A86C3D"/>
    <w:rsid w:val="00A93312"/>
    <w:rsid w:val="00A94D60"/>
    <w:rsid w:val="00A97E94"/>
    <w:rsid w:val="00AA01DF"/>
    <w:rsid w:val="00AA2A69"/>
    <w:rsid w:val="00AA332C"/>
    <w:rsid w:val="00AA574B"/>
    <w:rsid w:val="00AA6659"/>
    <w:rsid w:val="00AA6AB1"/>
    <w:rsid w:val="00AA7031"/>
    <w:rsid w:val="00AC1729"/>
    <w:rsid w:val="00AC1D0A"/>
    <w:rsid w:val="00AC27F8"/>
    <w:rsid w:val="00AC485B"/>
    <w:rsid w:val="00AC7BD7"/>
    <w:rsid w:val="00AD2530"/>
    <w:rsid w:val="00AD25F3"/>
    <w:rsid w:val="00AD368C"/>
    <w:rsid w:val="00AD4C72"/>
    <w:rsid w:val="00AE0CA7"/>
    <w:rsid w:val="00AE2AEE"/>
    <w:rsid w:val="00AE7051"/>
    <w:rsid w:val="00AE7E5C"/>
    <w:rsid w:val="00AF2E55"/>
    <w:rsid w:val="00AF4F53"/>
    <w:rsid w:val="00AF6A02"/>
    <w:rsid w:val="00AF739E"/>
    <w:rsid w:val="00B03BD6"/>
    <w:rsid w:val="00B1359D"/>
    <w:rsid w:val="00B13B2E"/>
    <w:rsid w:val="00B21B93"/>
    <w:rsid w:val="00B230EC"/>
    <w:rsid w:val="00B23481"/>
    <w:rsid w:val="00B2362C"/>
    <w:rsid w:val="00B24BC1"/>
    <w:rsid w:val="00B2549B"/>
    <w:rsid w:val="00B27FB1"/>
    <w:rsid w:val="00B32513"/>
    <w:rsid w:val="00B34965"/>
    <w:rsid w:val="00B37979"/>
    <w:rsid w:val="00B42628"/>
    <w:rsid w:val="00B50724"/>
    <w:rsid w:val="00B50D78"/>
    <w:rsid w:val="00B52356"/>
    <w:rsid w:val="00B66A35"/>
    <w:rsid w:val="00B708F1"/>
    <w:rsid w:val="00B71BAE"/>
    <w:rsid w:val="00B72C7F"/>
    <w:rsid w:val="00B73198"/>
    <w:rsid w:val="00B74727"/>
    <w:rsid w:val="00B74A87"/>
    <w:rsid w:val="00B76288"/>
    <w:rsid w:val="00B77104"/>
    <w:rsid w:val="00B8014F"/>
    <w:rsid w:val="00B91A6B"/>
    <w:rsid w:val="00B96289"/>
    <w:rsid w:val="00BA3366"/>
    <w:rsid w:val="00BB1F84"/>
    <w:rsid w:val="00BB2A6D"/>
    <w:rsid w:val="00BB5582"/>
    <w:rsid w:val="00BC039E"/>
    <w:rsid w:val="00BD0462"/>
    <w:rsid w:val="00BD2B25"/>
    <w:rsid w:val="00BD3BF3"/>
    <w:rsid w:val="00BD475C"/>
    <w:rsid w:val="00BD5439"/>
    <w:rsid w:val="00BD7646"/>
    <w:rsid w:val="00BE1588"/>
    <w:rsid w:val="00BE1B87"/>
    <w:rsid w:val="00BE5468"/>
    <w:rsid w:val="00BF331A"/>
    <w:rsid w:val="00BF4855"/>
    <w:rsid w:val="00C02086"/>
    <w:rsid w:val="00C11EAC"/>
    <w:rsid w:val="00C14C39"/>
    <w:rsid w:val="00C16495"/>
    <w:rsid w:val="00C20D9D"/>
    <w:rsid w:val="00C21BC4"/>
    <w:rsid w:val="00C250A9"/>
    <w:rsid w:val="00C30F2A"/>
    <w:rsid w:val="00C31140"/>
    <w:rsid w:val="00C32671"/>
    <w:rsid w:val="00C43456"/>
    <w:rsid w:val="00C44641"/>
    <w:rsid w:val="00C44A34"/>
    <w:rsid w:val="00C4703B"/>
    <w:rsid w:val="00C50C89"/>
    <w:rsid w:val="00C530AE"/>
    <w:rsid w:val="00C54AC3"/>
    <w:rsid w:val="00C65C0C"/>
    <w:rsid w:val="00C7384C"/>
    <w:rsid w:val="00C808FC"/>
    <w:rsid w:val="00C860F8"/>
    <w:rsid w:val="00C94A8D"/>
    <w:rsid w:val="00C96F2C"/>
    <w:rsid w:val="00C97A2E"/>
    <w:rsid w:val="00CA4894"/>
    <w:rsid w:val="00CA5541"/>
    <w:rsid w:val="00CA6044"/>
    <w:rsid w:val="00CA68AD"/>
    <w:rsid w:val="00CB79BA"/>
    <w:rsid w:val="00CD7D97"/>
    <w:rsid w:val="00CE2B75"/>
    <w:rsid w:val="00CE3EE6"/>
    <w:rsid w:val="00CE493E"/>
    <w:rsid w:val="00CE4BA1"/>
    <w:rsid w:val="00CF0639"/>
    <w:rsid w:val="00CF1752"/>
    <w:rsid w:val="00CF4E5A"/>
    <w:rsid w:val="00D000C7"/>
    <w:rsid w:val="00D02156"/>
    <w:rsid w:val="00D166F5"/>
    <w:rsid w:val="00D17BB1"/>
    <w:rsid w:val="00D21B74"/>
    <w:rsid w:val="00D25F90"/>
    <w:rsid w:val="00D268A2"/>
    <w:rsid w:val="00D27048"/>
    <w:rsid w:val="00D27733"/>
    <w:rsid w:val="00D42BB6"/>
    <w:rsid w:val="00D46132"/>
    <w:rsid w:val="00D52A9D"/>
    <w:rsid w:val="00D52F7B"/>
    <w:rsid w:val="00D55AAD"/>
    <w:rsid w:val="00D5600E"/>
    <w:rsid w:val="00D56F85"/>
    <w:rsid w:val="00D60336"/>
    <w:rsid w:val="00D62D63"/>
    <w:rsid w:val="00D645DD"/>
    <w:rsid w:val="00D716CF"/>
    <w:rsid w:val="00D747AE"/>
    <w:rsid w:val="00D804D4"/>
    <w:rsid w:val="00D81E4D"/>
    <w:rsid w:val="00D860EE"/>
    <w:rsid w:val="00D866AD"/>
    <w:rsid w:val="00D9226C"/>
    <w:rsid w:val="00D96CB1"/>
    <w:rsid w:val="00DA20BD"/>
    <w:rsid w:val="00DA7F03"/>
    <w:rsid w:val="00DB5FE7"/>
    <w:rsid w:val="00DB79E5"/>
    <w:rsid w:val="00DC0F22"/>
    <w:rsid w:val="00DC3E8D"/>
    <w:rsid w:val="00DC7597"/>
    <w:rsid w:val="00DD0FBE"/>
    <w:rsid w:val="00DD5623"/>
    <w:rsid w:val="00DD7DD5"/>
    <w:rsid w:val="00DE1D76"/>
    <w:rsid w:val="00DE2654"/>
    <w:rsid w:val="00DE4516"/>
    <w:rsid w:val="00DE4B12"/>
    <w:rsid w:val="00DE50DB"/>
    <w:rsid w:val="00DE7FA6"/>
    <w:rsid w:val="00DF1049"/>
    <w:rsid w:val="00DF6AE1"/>
    <w:rsid w:val="00E113D1"/>
    <w:rsid w:val="00E162F5"/>
    <w:rsid w:val="00E32386"/>
    <w:rsid w:val="00E4086C"/>
    <w:rsid w:val="00E46A46"/>
    <w:rsid w:val="00E46FD5"/>
    <w:rsid w:val="00E47FE4"/>
    <w:rsid w:val="00E50655"/>
    <w:rsid w:val="00E526CB"/>
    <w:rsid w:val="00E52B96"/>
    <w:rsid w:val="00E54216"/>
    <w:rsid w:val="00E544BB"/>
    <w:rsid w:val="00E56545"/>
    <w:rsid w:val="00E57F51"/>
    <w:rsid w:val="00E60679"/>
    <w:rsid w:val="00E623BD"/>
    <w:rsid w:val="00E6321B"/>
    <w:rsid w:val="00E66193"/>
    <w:rsid w:val="00E71322"/>
    <w:rsid w:val="00E8238E"/>
    <w:rsid w:val="00E84C89"/>
    <w:rsid w:val="00E850BB"/>
    <w:rsid w:val="00E970AA"/>
    <w:rsid w:val="00E975C3"/>
    <w:rsid w:val="00E97A91"/>
    <w:rsid w:val="00EA5D4F"/>
    <w:rsid w:val="00EB3782"/>
    <w:rsid w:val="00EB4345"/>
    <w:rsid w:val="00EB5615"/>
    <w:rsid w:val="00EB60C1"/>
    <w:rsid w:val="00EB6C56"/>
    <w:rsid w:val="00EC480F"/>
    <w:rsid w:val="00ED2079"/>
    <w:rsid w:val="00ED3B4C"/>
    <w:rsid w:val="00ED54E0"/>
    <w:rsid w:val="00ED6ACE"/>
    <w:rsid w:val="00EE36E3"/>
    <w:rsid w:val="00EE67B0"/>
    <w:rsid w:val="00EF0F81"/>
    <w:rsid w:val="00EF798F"/>
    <w:rsid w:val="00F00A2C"/>
    <w:rsid w:val="00F07A83"/>
    <w:rsid w:val="00F110D7"/>
    <w:rsid w:val="00F11D45"/>
    <w:rsid w:val="00F1633B"/>
    <w:rsid w:val="00F209CD"/>
    <w:rsid w:val="00F21054"/>
    <w:rsid w:val="00F2120B"/>
    <w:rsid w:val="00F265CF"/>
    <w:rsid w:val="00F30B48"/>
    <w:rsid w:val="00F32397"/>
    <w:rsid w:val="00F34814"/>
    <w:rsid w:val="00F36DF2"/>
    <w:rsid w:val="00F40595"/>
    <w:rsid w:val="00F4429B"/>
    <w:rsid w:val="00F468D5"/>
    <w:rsid w:val="00F474D6"/>
    <w:rsid w:val="00F52BAB"/>
    <w:rsid w:val="00F54992"/>
    <w:rsid w:val="00F57D84"/>
    <w:rsid w:val="00F75C34"/>
    <w:rsid w:val="00F82F6C"/>
    <w:rsid w:val="00F870C8"/>
    <w:rsid w:val="00F91562"/>
    <w:rsid w:val="00F92846"/>
    <w:rsid w:val="00F96204"/>
    <w:rsid w:val="00F96C96"/>
    <w:rsid w:val="00FA2460"/>
    <w:rsid w:val="00FA3D00"/>
    <w:rsid w:val="00FA5418"/>
    <w:rsid w:val="00FA5EBC"/>
    <w:rsid w:val="00FB368E"/>
    <w:rsid w:val="00FB5A1C"/>
    <w:rsid w:val="00FB6944"/>
    <w:rsid w:val="00FC5C92"/>
    <w:rsid w:val="00FC7388"/>
    <w:rsid w:val="00FD224A"/>
    <w:rsid w:val="00FD56F6"/>
    <w:rsid w:val="00FD6868"/>
    <w:rsid w:val="00FD7894"/>
    <w:rsid w:val="00FF2F67"/>
    <w:rsid w:val="00FF4616"/>
    <w:rsid w:val="00FF7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91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qFormat="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B87"/>
    <w:pPr>
      <w:spacing w:after="0" w:line="240" w:lineRule="auto"/>
    </w:pPr>
    <w:rPr>
      <w:rFonts w:ascii="Verdana" w:eastAsia="Calibri" w:hAnsi="Verdana" w:cs="Times New Roman"/>
      <w:sz w:val="18"/>
    </w:rPr>
  </w:style>
  <w:style w:type="paragraph" w:styleId="Heading1">
    <w:name w:val="heading 1"/>
    <w:basedOn w:val="BaseHeading"/>
    <w:next w:val="Normal"/>
    <w:link w:val="Heading1Char"/>
    <w:uiPriority w:val="9"/>
    <w:qFormat/>
    <w:rsid w:val="00BE1B87"/>
    <w:pPr>
      <w:keepNext/>
      <w:numPr>
        <w:numId w:val="36"/>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BE1B87"/>
    <w:pPr>
      <w:keepNext/>
      <w:numPr>
        <w:ilvl w:val="1"/>
        <w:numId w:val="36"/>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BE1B87"/>
    <w:pPr>
      <w:keepNext/>
      <w:numPr>
        <w:ilvl w:val="2"/>
        <w:numId w:val="36"/>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BE1B87"/>
    <w:pPr>
      <w:keepNext/>
      <w:numPr>
        <w:ilvl w:val="3"/>
        <w:numId w:val="36"/>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BE1B87"/>
    <w:pPr>
      <w:numPr>
        <w:ilvl w:val="4"/>
        <w:numId w:val="36"/>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BE1B87"/>
    <w:pPr>
      <w:numPr>
        <w:ilvl w:val="5"/>
        <w:numId w:val="36"/>
      </w:numPr>
      <w:spacing w:after="240"/>
      <w:outlineLvl w:val="5"/>
    </w:pPr>
    <w:rPr>
      <w:rFonts w:eastAsia="Times New Roman"/>
      <w:b/>
      <w:bCs/>
      <w:color w:val="006283"/>
    </w:rPr>
  </w:style>
  <w:style w:type="paragraph" w:styleId="Heading7">
    <w:name w:val="heading 7"/>
    <w:basedOn w:val="Normal"/>
    <w:next w:val="Normal"/>
    <w:link w:val="Heading7Char"/>
    <w:uiPriority w:val="2"/>
    <w:rsid w:val="00B230EC"/>
    <w:pPr>
      <w:keepNext/>
      <w:keepLines/>
      <w:spacing w:after="240"/>
      <w:outlineLvl w:val="6"/>
    </w:pPr>
    <w:rPr>
      <w:rFonts w:eastAsiaTheme="majorEastAsia" w:cstheme="majorBidi"/>
      <w:b/>
      <w:iCs/>
      <w:color w:val="006283"/>
    </w:rPr>
  </w:style>
  <w:style w:type="paragraph" w:styleId="Heading8">
    <w:name w:val="heading 8"/>
    <w:basedOn w:val="Normal"/>
    <w:next w:val="Normal"/>
    <w:link w:val="Heading8Char"/>
    <w:uiPriority w:val="2"/>
    <w:rsid w:val="00B230EC"/>
    <w:pPr>
      <w:keepNext/>
      <w:keepLines/>
      <w:spacing w:after="240"/>
      <w:outlineLvl w:val="7"/>
    </w:pPr>
    <w:rPr>
      <w:rFonts w:eastAsiaTheme="majorEastAsia" w:cstheme="majorBidi"/>
      <w:b/>
      <w:i/>
      <w:color w:val="006283"/>
      <w:szCs w:val="20"/>
    </w:rPr>
  </w:style>
  <w:style w:type="paragraph" w:styleId="Heading9">
    <w:name w:val="heading 9"/>
    <w:basedOn w:val="Normal"/>
    <w:next w:val="Normal"/>
    <w:link w:val="Heading9Char"/>
    <w:uiPriority w:val="2"/>
    <w:rsid w:val="00B230EC"/>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B230EC"/>
    <w:pPr>
      <w:spacing w:before="480" w:after="240"/>
      <w:contextualSpacing/>
      <w:jc w:val="center"/>
    </w:pPr>
    <w:rPr>
      <w:rFonts w:eastAsiaTheme="majorEastAsia" w:cstheme="majorBidi"/>
      <w:b/>
      <w:caps/>
      <w:color w:val="006283"/>
      <w:kern w:val="28"/>
      <w:szCs w:val="52"/>
    </w:rPr>
  </w:style>
  <w:style w:type="paragraph" w:styleId="BodyText">
    <w:name w:val="Body Text"/>
    <w:basedOn w:val="BaseText"/>
    <w:link w:val="BodyTextChar"/>
    <w:uiPriority w:val="99"/>
    <w:qFormat/>
    <w:rsid w:val="00BE1B87"/>
    <w:pPr>
      <w:numPr>
        <w:ilvl w:val="6"/>
        <w:numId w:val="36"/>
      </w:numPr>
      <w:spacing w:after="240"/>
    </w:pPr>
  </w:style>
  <w:style w:type="paragraph" w:styleId="BodyText2">
    <w:name w:val="Body Text 2"/>
    <w:basedOn w:val="BaseText"/>
    <w:link w:val="BodyText2Char"/>
    <w:uiPriority w:val="99"/>
    <w:rsid w:val="00BE1B87"/>
    <w:pPr>
      <w:numPr>
        <w:ilvl w:val="7"/>
        <w:numId w:val="36"/>
      </w:numPr>
      <w:spacing w:after="120"/>
    </w:pPr>
  </w:style>
  <w:style w:type="paragraph" w:styleId="BodyText3">
    <w:name w:val="Body Text 3"/>
    <w:basedOn w:val="BaseText"/>
    <w:link w:val="BodyText3Char"/>
    <w:uiPriority w:val="99"/>
    <w:rsid w:val="00BE1B87"/>
    <w:pPr>
      <w:numPr>
        <w:ilvl w:val="8"/>
        <w:numId w:val="36"/>
      </w:numPr>
      <w:spacing w:after="120"/>
    </w:pPr>
    <w:rPr>
      <w:szCs w:val="16"/>
    </w:rPr>
  </w:style>
  <w:style w:type="numbering" w:customStyle="1" w:styleId="LegalHeadings">
    <w:name w:val="LegalHeadings"/>
    <w:rsid w:val="00D747AE"/>
    <w:pPr>
      <w:numPr>
        <w:numId w:val="6"/>
      </w:numPr>
    </w:pPr>
  </w:style>
  <w:style w:type="paragraph" w:styleId="ListBullet">
    <w:name w:val="List Bullet"/>
    <w:basedOn w:val="Normal"/>
    <w:uiPriority w:val="1"/>
    <w:rsid w:val="00AE2AEE"/>
    <w:pPr>
      <w:numPr>
        <w:numId w:val="8"/>
      </w:numPr>
      <w:spacing w:after="240"/>
    </w:pPr>
  </w:style>
  <w:style w:type="paragraph" w:styleId="ListBullet2">
    <w:name w:val="List Bullet 2"/>
    <w:basedOn w:val="Normal"/>
    <w:uiPriority w:val="1"/>
    <w:rsid w:val="00AE2AEE"/>
    <w:pPr>
      <w:numPr>
        <w:ilvl w:val="1"/>
        <w:numId w:val="8"/>
      </w:numPr>
      <w:spacing w:after="240"/>
    </w:pPr>
  </w:style>
  <w:style w:type="paragraph" w:styleId="ListBullet3">
    <w:name w:val="List Bullet 3"/>
    <w:basedOn w:val="Normal"/>
    <w:uiPriority w:val="1"/>
    <w:qFormat/>
    <w:rsid w:val="00AE2AEE"/>
    <w:pPr>
      <w:numPr>
        <w:ilvl w:val="2"/>
        <w:numId w:val="8"/>
      </w:numPr>
      <w:spacing w:after="240"/>
    </w:pPr>
  </w:style>
  <w:style w:type="paragraph" w:styleId="ListBullet4">
    <w:name w:val="List Bullet 4"/>
    <w:basedOn w:val="Normal"/>
    <w:uiPriority w:val="1"/>
    <w:rsid w:val="00AE2AEE"/>
    <w:pPr>
      <w:numPr>
        <w:ilvl w:val="3"/>
        <w:numId w:val="8"/>
      </w:numPr>
      <w:spacing w:after="240"/>
      <w:ind w:left="1587" w:hanging="340"/>
    </w:pPr>
  </w:style>
  <w:style w:type="paragraph" w:styleId="ListBullet5">
    <w:name w:val="List Bullet 5"/>
    <w:basedOn w:val="Normal"/>
    <w:uiPriority w:val="1"/>
    <w:rsid w:val="00AE2AEE"/>
    <w:pPr>
      <w:numPr>
        <w:ilvl w:val="4"/>
        <w:numId w:val="8"/>
      </w:numPr>
      <w:spacing w:after="240"/>
    </w:pPr>
  </w:style>
  <w:style w:type="numbering" w:customStyle="1" w:styleId="ListBullets">
    <w:name w:val="ListBullets"/>
    <w:rsid w:val="00760DB3"/>
    <w:pPr>
      <w:numPr>
        <w:numId w:val="8"/>
      </w:numPr>
    </w:pPr>
  </w:style>
  <w:style w:type="paragraph" w:customStyle="1" w:styleId="Answer">
    <w:name w:val="Answer"/>
    <w:basedOn w:val="Normal"/>
    <w:link w:val="AnswerChar"/>
    <w:uiPriority w:val="6"/>
    <w:qFormat/>
    <w:rsid w:val="0046754A"/>
    <w:pPr>
      <w:spacing w:after="240"/>
      <w:ind w:left="1077"/>
    </w:pPr>
  </w:style>
  <w:style w:type="paragraph" w:styleId="Caption">
    <w:name w:val="caption"/>
    <w:basedOn w:val="Normal"/>
    <w:next w:val="Normal"/>
    <w:link w:val="CaptionChar"/>
    <w:uiPriority w:val="6"/>
    <w:qFormat/>
    <w:rsid w:val="00B230EC"/>
    <w:pPr>
      <w:keepNext/>
      <w:spacing w:before="120" w:after="120"/>
    </w:pPr>
    <w:rPr>
      <w:rFonts w:eastAsia="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link w:val="FootnoteTextChar"/>
    <w:uiPriority w:val="99"/>
    <w:rsid w:val="00BE1B87"/>
    <w:pPr>
      <w:ind w:firstLine="562"/>
    </w:pPr>
    <w:rPr>
      <w:sz w:val="16"/>
      <w:szCs w:val="20"/>
    </w:rPr>
  </w:style>
  <w:style w:type="paragraph" w:styleId="EndnoteText">
    <w:name w:val="endnote text"/>
    <w:basedOn w:val="FootnoteText"/>
    <w:link w:val="EndnoteTextChar"/>
    <w:uiPriority w:val="99"/>
    <w:rsid w:val="0046754A"/>
  </w:style>
  <w:style w:type="paragraph" w:customStyle="1" w:styleId="FollowUp">
    <w:name w:val="FollowUp"/>
    <w:basedOn w:val="Normal"/>
    <w:link w:val="FollowUpChar"/>
    <w:uiPriority w:val="6"/>
    <w:qFormat/>
    <w:rsid w:val="0046754A"/>
    <w:pPr>
      <w:spacing w:after="240"/>
      <w:ind w:left="720"/>
    </w:pPr>
    <w:rPr>
      <w:i/>
    </w:rPr>
  </w:style>
  <w:style w:type="paragraph" w:styleId="Footer">
    <w:name w:val="footer"/>
    <w:basedOn w:val="Normal"/>
    <w:link w:val="FooterChar"/>
    <w:uiPriority w:val="3"/>
    <w:rsid w:val="0046754A"/>
    <w:pPr>
      <w:tabs>
        <w:tab w:val="center" w:pos="4513"/>
        <w:tab w:val="right" w:pos="9027"/>
      </w:tabs>
    </w:pPr>
    <w:rPr>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99"/>
    <w:rsid w:val="00BE1B87"/>
    <w:rPr>
      <w:vertAlign w:val="superscript"/>
    </w:rPr>
  </w:style>
  <w:style w:type="paragraph" w:styleId="Header">
    <w:name w:val="header"/>
    <w:basedOn w:val="Normal"/>
    <w:link w:val="HeaderChar"/>
    <w:uiPriority w:val="3"/>
    <w:rsid w:val="0046754A"/>
    <w:pPr>
      <w:tabs>
        <w:tab w:val="center" w:pos="4513"/>
        <w:tab w:val="right" w:pos="9027"/>
      </w:tabs>
    </w:pPr>
    <w:rPr>
      <w:szCs w:val="18"/>
      <w:lang w:eastAsia="en-GB"/>
    </w:rPr>
  </w:style>
  <w:style w:type="paragraph" w:customStyle="1" w:styleId="Quotation">
    <w:name w:val="Quotation"/>
    <w:basedOn w:val="BaseText"/>
    <w:qFormat/>
    <w:rsid w:val="00BE1B87"/>
    <w:pPr>
      <w:spacing w:after="240"/>
      <w:ind w:left="562" w:right="562"/>
    </w:pPr>
  </w:style>
  <w:style w:type="paragraph" w:customStyle="1" w:styleId="QuotationDouble">
    <w:name w:val="Quotation Double"/>
    <w:basedOn w:val="Normal"/>
    <w:uiPriority w:val="5"/>
    <w:qFormat/>
    <w:rsid w:val="00DF6AE1"/>
    <w:pPr>
      <w:spacing w:after="240"/>
      <w:ind w:left="1134" w:right="1134"/>
    </w:pPr>
    <w:rPr>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szCs w:val="20"/>
      <w:lang w:eastAsia="en-GB"/>
    </w:rPr>
  </w:style>
  <w:style w:type="paragraph" w:styleId="TableofFigures">
    <w:name w:val="table of figures"/>
    <w:basedOn w:val="Normal"/>
    <w:next w:val="Normal"/>
    <w:link w:val="TableofFiguresChar"/>
    <w:uiPriority w:val="99"/>
    <w:rsid w:val="0046754A"/>
    <w:pPr>
      <w:tabs>
        <w:tab w:val="left" w:pos="567"/>
        <w:tab w:val="right" w:leader="dot" w:pos="9027"/>
      </w:tabs>
      <w:spacing w:after="120"/>
      <w:ind w:right="720"/>
    </w:pPr>
    <w:rPr>
      <w:rFonts w:eastAsia="Times New Roman"/>
      <w:szCs w:val="20"/>
      <w:lang w:eastAsia="en-GB"/>
    </w:rPr>
  </w:style>
  <w:style w:type="paragraph" w:customStyle="1" w:styleId="Title2">
    <w:name w:val="Title 2"/>
    <w:basedOn w:val="Normal"/>
    <w:next w:val="Normal"/>
    <w:uiPriority w:val="5"/>
    <w:qFormat/>
    <w:rsid w:val="00B230EC"/>
    <w:pPr>
      <w:spacing w:after="360"/>
      <w:jc w:val="center"/>
    </w:pPr>
    <w:rPr>
      <w:caps/>
      <w:color w:val="006283"/>
      <w:szCs w:val="18"/>
      <w:lang w:eastAsia="en-GB"/>
    </w:rPr>
  </w:style>
  <w:style w:type="paragraph" w:customStyle="1" w:styleId="Title3">
    <w:name w:val="Title 3"/>
    <w:basedOn w:val="Normal"/>
    <w:next w:val="Normal"/>
    <w:uiPriority w:val="5"/>
    <w:qFormat/>
    <w:rsid w:val="00B230EC"/>
    <w:pPr>
      <w:spacing w:after="360"/>
      <w:jc w:val="center"/>
    </w:pPr>
    <w:rPr>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smallCaps/>
      <w:color w:val="006283"/>
      <w:szCs w:val="18"/>
      <w:lang w:eastAsia="en-GB"/>
    </w:rPr>
  </w:style>
  <w:style w:type="paragraph" w:styleId="TOC1">
    <w:name w:val="toc 1"/>
    <w:basedOn w:val="Normal"/>
    <w:next w:val="Normal"/>
    <w:autoRedefine/>
    <w:uiPriority w:val="39"/>
    <w:rsid w:val="00E60679"/>
    <w:pPr>
      <w:spacing w:before="120" w:after="120"/>
    </w:pPr>
    <w:rPr>
      <w:b/>
      <w:caps/>
      <w:szCs w:val="18"/>
      <w:lang w:eastAsia="en-GB"/>
    </w:rPr>
  </w:style>
  <w:style w:type="paragraph" w:styleId="TOC2">
    <w:name w:val="toc 2"/>
    <w:basedOn w:val="Normal"/>
    <w:next w:val="Normal"/>
    <w:autoRedefine/>
    <w:uiPriority w:val="39"/>
    <w:rsid w:val="00E60679"/>
    <w:pPr>
      <w:tabs>
        <w:tab w:val="right" w:leader="dot" w:pos="9027"/>
      </w:tabs>
      <w:spacing w:before="120" w:after="120"/>
    </w:pPr>
    <w:rPr>
      <w:szCs w:val="18"/>
      <w:lang w:eastAsia="en-GB"/>
    </w:rPr>
  </w:style>
  <w:style w:type="paragraph" w:styleId="TOC3">
    <w:name w:val="toc 3"/>
    <w:basedOn w:val="Normal"/>
    <w:next w:val="Normal"/>
    <w:autoRedefine/>
    <w:uiPriority w:val="39"/>
    <w:rsid w:val="00E60679"/>
    <w:pPr>
      <w:tabs>
        <w:tab w:val="right" w:leader="dot" w:pos="9027"/>
      </w:tabs>
      <w:spacing w:before="120" w:after="120"/>
    </w:pPr>
    <w:rPr>
      <w:szCs w:val="18"/>
      <w:lang w:eastAsia="en-GB"/>
    </w:rPr>
  </w:style>
  <w:style w:type="paragraph" w:styleId="TOC4">
    <w:name w:val="toc 4"/>
    <w:basedOn w:val="Normal"/>
    <w:next w:val="Normal"/>
    <w:autoRedefine/>
    <w:uiPriority w:val="39"/>
    <w:rsid w:val="009A3730"/>
    <w:pPr>
      <w:tabs>
        <w:tab w:val="right" w:leader="dot" w:pos="9027"/>
      </w:tabs>
      <w:spacing w:before="120" w:after="120"/>
    </w:pPr>
    <w:rPr>
      <w:szCs w:val="18"/>
      <w:lang w:eastAsia="en-GB"/>
    </w:rPr>
  </w:style>
  <w:style w:type="paragraph" w:styleId="TOC5">
    <w:name w:val="toc 5"/>
    <w:basedOn w:val="Normal"/>
    <w:next w:val="Normal"/>
    <w:autoRedefine/>
    <w:uiPriority w:val="39"/>
    <w:rsid w:val="00E60679"/>
    <w:pPr>
      <w:tabs>
        <w:tab w:val="right" w:leader="dot" w:pos="9027"/>
      </w:tabs>
      <w:spacing w:before="120" w:after="120"/>
    </w:pPr>
    <w:rPr>
      <w:szCs w:val="18"/>
      <w:lang w:eastAsia="en-GB"/>
    </w:rPr>
  </w:style>
  <w:style w:type="paragraph" w:styleId="TOC6">
    <w:name w:val="toc 6"/>
    <w:basedOn w:val="Normal"/>
    <w:next w:val="Normal"/>
    <w:autoRedefine/>
    <w:uiPriority w:val="39"/>
    <w:rsid w:val="00E60679"/>
    <w:pPr>
      <w:tabs>
        <w:tab w:val="right" w:leader="dot" w:pos="9027"/>
      </w:tabs>
      <w:spacing w:before="120" w:after="120"/>
    </w:pPr>
    <w:rPr>
      <w:szCs w:val="18"/>
      <w:lang w:eastAsia="en-GB"/>
    </w:rPr>
  </w:style>
  <w:style w:type="paragraph" w:styleId="TOC7">
    <w:name w:val="toc 7"/>
    <w:basedOn w:val="Normal"/>
    <w:next w:val="Normal"/>
    <w:autoRedefine/>
    <w:uiPriority w:val="39"/>
    <w:rsid w:val="0046754A"/>
    <w:pPr>
      <w:tabs>
        <w:tab w:val="left" w:leader="dot" w:pos="851"/>
        <w:tab w:val="right" w:leader="dot" w:pos="9027"/>
      </w:tabs>
      <w:spacing w:before="120" w:after="120"/>
      <w:ind w:left="567" w:right="851"/>
    </w:pPr>
    <w:rPr>
      <w:szCs w:val="18"/>
      <w:lang w:eastAsia="en-GB"/>
    </w:rPr>
  </w:style>
  <w:style w:type="paragraph" w:styleId="TOC8">
    <w:name w:val="toc 8"/>
    <w:basedOn w:val="Normal"/>
    <w:next w:val="Normal"/>
    <w:autoRedefine/>
    <w:uiPriority w:val="39"/>
    <w:rsid w:val="0046754A"/>
    <w:pPr>
      <w:tabs>
        <w:tab w:val="left" w:leader="dot" w:pos="851"/>
        <w:tab w:val="left" w:pos="1134"/>
        <w:tab w:val="right" w:leader="dot" w:pos="9027"/>
      </w:tabs>
      <w:spacing w:before="120" w:after="120"/>
      <w:ind w:left="851" w:right="851"/>
    </w:pPr>
    <w:rPr>
      <w:szCs w:val="18"/>
      <w:lang w:eastAsia="en-GB"/>
    </w:rPr>
  </w:style>
  <w:style w:type="paragraph" w:styleId="TOC9">
    <w:name w:val="toc 9"/>
    <w:basedOn w:val="Normal"/>
    <w:next w:val="Normal"/>
    <w:autoRedefine/>
    <w:uiPriority w:val="39"/>
    <w:rsid w:val="0046754A"/>
    <w:pPr>
      <w:tabs>
        <w:tab w:val="left" w:leader="dot" w:pos="851"/>
        <w:tab w:val="left" w:pos="1134"/>
        <w:tab w:val="left" w:pos="1418"/>
        <w:tab w:val="right" w:leader="dot" w:pos="9027"/>
      </w:tabs>
      <w:spacing w:before="120" w:after="120"/>
      <w:ind w:left="1134" w:right="851"/>
    </w:pPr>
    <w:rPr>
      <w:szCs w:val="18"/>
      <w:lang w:eastAsia="en-GB"/>
    </w:rPr>
  </w:style>
  <w:style w:type="paragraph" w:styleId="TOCHeading">
    <w:name w:val="TOC Heading"/>
    <w:basedOn w:val="Normal"/>
    <w:next w:val="Normal"/>
    <w:uiPriority w:val="39"/>
    <w:qFormat/>
    <w:rsid w:val="0046754A"/>
    <w:pPr>
      <w:spacing w:before="240"/>
      <w:jc w:val="center"/>
    </w:pPr>
    <w:rPr>
      <w:rFonts w:eastAsia="Times New Roman"/>
      <w:b/>
      <w:bCs/>
      <w:szCs w:val="28"/>
      <w:lang w:eastAsia="en-GB"/>
    </w:rPr>
  </w:style>
  <w:style w:type="table" w:customStyle="1" w:styleId="WTOTable2">
    <w:name w:val="WTOTable2"/>
    <w:basedOn w:val="TableNormal"/>
    <w:uiPriority w:val="99"/>
    <w:rsid w:val="0046754A"/>
    <w:pPr>
      <w:spacing w:after="0" w:line="240" w:lineRule="auto"/>
    </w:pPr>
    <w:rPr>
      <w:rFonts w:ascii="Verdana" w:eastAsia="Calibri" w:hAnsi="Verdana" w:cs="Times New Roman"/>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ED54E0"/>
    <w:rPr>
      <w:rFonts w:ascii="Tahoma" w:hAnsi="Tahoma" w:cs="Tahoma"/>
      <w:sz w:val="16"/>
      <w:szCs w:val="16"/>
    </w:rPr>
  </w:style>
  <w:style w:type="paragraph" w:styleId="Subtitle">
    <w:name w:val="Subtitle"/>
    <w:basedOn w:val="Normal"/>
    <w:next w:val="Normal"/>
    <w:link w:val="SubtitleChar"/>
    <w:uiPriority w:val="11"/>
    <w:qFormat/>
    <w:rsid w:val="00E46FD5"/>
    <w:pPr>
      <w:numPr>
        <w:ilvl w:val="1"/>
      </w:numPr>
    </w:pPr>
    <w:rPr>
      <w:rFonts w:eastAsiaTheme="majorEastAsia" w:cstheme="majorBidi"/>
      <w:b/>
      <w:iCs/>
      <w:szCs w:val="24"/>
    </w:rPr>
  </w:style>
  <w:style w:type="paragraph" w:customStyle="1" w:styleId="SummaryHeader">
    <w:name w:val="SummaryHeader"/>
    <w:basedOn w:val="Normal"/>
    <w:uiPriority w:val="4"/>
    <w:qFormat/>
    <w:rsid w:val="00B230EC"/>
    <w:pPr>
      <w:spacing w:after="240"/>
      <w:outlineLvl w:val="0"/>
    </w:pPr>
    <w:rPr>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3B6602"/>
    <w:pPr>
      <w:numPr>
        <w:numId w:val="10"/>
      </w:numPr>
      <w:spacing w:after="240"/>
      <w:ind w:left="0" w:firstLine="0"/>
    </w:pPr>
  </w:style>
  <w:style w:type="paragraph" w:styleId="ListParagraph">
    <w:name w:val="List Paragraph"/>
    <w:basedOn w:val="Normal"/>
    <w:uiPriority w:val="59"/>
    <w:qFormat/>
    <w:rsid w:val="00AA332C"/>
    <w:pPr>
      <w:ind w:left="720"/>
      <w:contextualSpacing/>
    </w:pPr>
  </w:style>
  <w:style w:type="table" w:customStyle="1" w:styleId="WTOBox1">
    <w:name w:val="WTOBox1"/>
    <w:basedOn w:val="TableNormal"/>
    <w:uiPriority w:val="99"/>
    <w:rsid w:val="00C65C0C"/>
    <w:pPr>
      <w:spacing w:after="0" w:line="240" w:lineRule="auto"/>
    </w:pPr>
    <w:rPr>
      <w:rFonts w:ascii="Calibri" w:eastAsia="Calibri" w:hAnsi="Calibri" w:cs="Times New Roman"/>
      <w:sz w:val="20"/>
      <w:szCs w:val="20"/>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C65C0C"/>
    <w:pPr>
      <w:spacing w:after="0" w:line="240" w:lineRule="auto"/>
    </w:pPr>
    <w:rPr>
      <w:rFonts w:ascii="Verdana" w:eastAsia="Calibri" w:hAnsi="Verdana" w:cs="Times New Roman"/>
      <w:sz w:val="16"/>
      <w:szCs w:val="20"/>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E4086C"/>
    <w:pPr>
      <w:keepNext/>
      <w:keepLines/>
      <w:spacing w:after="240"/>
    </w:pPr>
    <w:rPr>
      <w:rFonts w:eastAsia="Times New Roman"/>
      <w:b/>
      <w:caps/>
      <w:color w:val="006283"/>
      <w:lang w:val="x-none"/>
    </w:rPr>
  </w:style>
  <w:style w:type="table" w:styleId="TableGrid">
    <w:name w:val="Table Grid"/>
    <w:basedOn w:val="TableNormal"/>
    <w:uiPriority w:val="59"/>
    <w:rsid w:val="00EA5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A86C3D"/>
    <w:pPr>
      <w:tabs>
        <w:tab w:val="left" w:pos="851"/>
      </w:tabs>
      <w:ind w:left="851" w:hanging="851"/>
    </w:pPr>
    <w:rPr>
      <w:sz w:val="16"/>
    </w:rPr>
  </w:style>
  <w:style w:type="character" w:styleId="Hyperlink">
    <w:name w:val="Hyperlink"/>
    <w:basedOn w:val="DefaultParagraphFont"/>
    <w:uiPriority w:val="99"/>
    <w:unhideWhenUsed/>
    <w:rsid w:val="003E5C1B"/>
    <w:rPr>
      <w:color w:val="0000FF" w:themeColor="hyperlink"/>
      <w:u w:val="single"/>
    </w:rPr>
  </w:style>
  <w:style w:type="paragraph" w:styleId="Bibliography">
    <w:name w:val="Bibliography"/>
    <w:basedOn w:val="Normal"/>
    <w:next w:val="Normal"/>
    <w:uiPriority w:val="49"/>
    <w:semiHidden/>
    <w:unhideWhenUsed/>
    <w:rsid w:val="00414226"/>
  </w:style>
  <w:style w:type="paragraph" w:styleId="BlockText">
    <w:name w:val="Block Text"/>
    <w:basedOn w:val="Normal"/>
    <w:uiPriority w:val="99"/>
    <w:semiHidden/>
    <w:unhideWhenUsed/>
    <w:rsid w:val="00414226"/>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414226"/>
    <w:pPr>
      <w:numPr>
        <w:ilvl w:val="0"/>
        <w:numId w:val="0"/>
      </w:numPr>
      <w:spacing w:after="0"/>
      <w:ind w:firstLine="360"/>
    </w:pPr>
  </w:style>
  <w:style w:type="paragraph" w:styleId="BodyTextIndent">
    <w:name w:val="Body Text Indent"/>
    <w:basedOn w:val="Normal"/>
    <w:link w:val="BodyTextIndentChar"/>
    <w:uiPriority w:val="99"/>
    <w:semiHidden/>
    <w:unhideWhenUsed/>
    <w:rsid w:val="00414226"/>
    <w:pPr>
      <w:spacing w:after="120"/>
      <w:ind w:left="283"/>
    </w:pPr>
  </w:style>
  <w:style w:type="paragraph" w:styleId="BodyTextFirstIndent2">
    <w:name w:val="Body Text First Indent 2"/>
    <w:basedOn w:val="BodyTextIndent"/>
    <w:link w:val="BodyTextFirstIndent2Char"/>
    <w:uiPriority w:val="99"/>
    <w:semiHidden/>
    <w:unhideWhenUsed/>
    <w:rsid w:val="00414226"/>
    <w:pPr>
      <w:spacing w:after="0"/>
      <w:ind w:left="360" w:firstLine="360"/>
    </w:pPr>
  </w:style>
  <w:style w:type="paragraph" w:styleId="BodyTextIndent2">
    <w:name w:val="Body Text Indent 2"/>
    <w:basedOn w:val="Normal"/>
    <w:link w:val="BodyTextIndent2Char"/>
    <w:uiPriority w:val="99"/>
    <w:semiHidden/>
    <w:unhideWhenUsed/>
    <w:rsid w:val="00414226"/>
    <w:pPr>
      <w:spacing w:after="120" w:line="480" w:lineRule="auto"/>
      <w:ind w:left="283"/>
    </w:pPr>
  </w:style>
  <w:style w:type="paragraph" w:styleId="BodyTextIndent3">
    <w:name w:val="Body Text Indent 3"/>
    <w:basedOn w:val="Normal"/>
    <w:link w:val="BodyTextIndent3Char"/>
    <w:uiPriority w:val="99"/>
    <w:semiHidden/>
    <w:unhideWhenUsed/>
    <w:rsid w:val="00414226"/>
    <w:pPr>
      <w:spacing w:after="120"/>
      <w:ind w:left="283"/>
    </w:pPr>
    <w:rPr>
      <w:sz w:val="16"/>
      <w:szCs w:val="16"/>
    </w:rPr>
  </w:style>
  <w:style w:type="character" w:styleId="BookTitle">
    <w:name w:val="Book Title"/>
    <w:basedOn w:val="DefaultParagraphFont"/>
    <w:uiPriority w:val="99"/>
    <w:qFormat/>
    <w:rsid w:val="00414226"/>
    <w:rPr>
      <w:b/>
      <w:bCs/>
      <w:smallCaps/>
      <w:spacing w:val="5"/>
    </w:rPr>
  </w:style>
  <w:style w:type="paragraph" w:styleId="Closing">
    <w:name w:val="Closing"/>
    <w:basedOn w:val="Normal"/>
    <w:link w:val="ClosingChar"/>
    <w:uiPriority w:val="99"/>
    <w:semiHidden/>
    <w:unhideWhenUsed/>
    <w:rsid w:val="00414226"/>
    <w:pPr>
      <w:ind w:left="4252"/>
    </w:pPr>
  </w:style>
  <w:style w:type="character" w:styleId="CommentReference">
    <w:name w:val="annotation reference"/>
    <w:basedOn w:val="DefaultParagraphFont"/>
    <w:uiPriority w:val="99"/>
    <w:semiHidden/>
    <w:unhideWhenUsed/>
    <w:rsid w:val="00414226"/>
    <w:rPr>
      <w:sz w:val="16"/>
      <w:szCs w:val="16"/>
    </w:rPr>
  </w:style>
  <w:style w:type="paragraph" w:styleId="CommentText">
    <w:name w:val="annotation text"/>
    <w:basedOn w:val="Normal"/>
    <w:link w:val="CommentTextChar"/>
    <w:uiPriority w:val="99"/>
    <w:unhideWhenUsed/>
    <w:rsid w:val="00414226"/>
    <w:rPr>
      <w:sz w:val="20"/>
      <w:szCs w:val="20"/>
    </w:rPr>
  </w:style>
  <w:style w:type="paragraph" w:styleId="CommentSubject">
    <w:name w:val="annotation subject"/>
    <w:basedOn w:val="CommentText"/>
    <w:next w:val="CommentText"/>
    <w:link w:val="CommentSubjectChar"/>
    <w:uiPriority w:val="99"/>
    <w:unhideWhenUsed/>
    <w:rsid w:val="00414226"/>
    <w:rPr>
      <w:b/>
      <w:bCs/>
    </w:rPr>
  </w:style>
  <w:style w:type="paragraph" w:styleId="Date">
    <w:name w:val="Date"/>
    <w:basedOn w:val="Normal"/>
    <w:next w:val="Normal"/>
    <w:link w:val="DateChar"/>
    <w:uiPriority w:val="99"/>
    <w:semiHidden/>
    <w:unhideWhenUsed/>
    <w:rsid w:val="00414226"/>
  </w:style>
  <w:style w:type="paragraph" w:styleId="DocumentMap">
    <w:name w:val="Document Map"/>
    <w:basedOn w:val="Normal"/>
    <w:link w:val="DocumentMapChar"/>
    <w:uiPriority w:val="99"/>
    <w:semiHidden/>
    <w:unhideWhenUsed/>
    <w:rsid w:val="00414226"/>
    <w:rPr>
      <w:rFonts w:ascii="Tahoma" w:hAnsi="Tahoma" w:cs="Tahoma"/>
      <w:sz w:val="16"/>
      <w:szCs w:val="16"/>
    </w:rPr>
  </w:style>
  <w:style w:type="paragraph" w:styleId="E-mailSignature">
    <w:name w:val="E-mail Signature"/>
    <w:basedOn w:val="Normal"/>
    <w:link w:val="E-mailSignatureChar"/>
    <w:uiPriority w:val="99"/>
    <w:semiHidden/>
    <w:unhideWhenUsed/>
    <w:rsid w:val="00414226"/>
  </w:style>
  <w:style w:type="character" w:styleId="Emphasis">
    <w:name w:val="Emphasis"/>
    <w:basedOn w:val="DefaultParagraphFont"/>
    <w:uiPriority w:val="20"/>
    <w:qFormat/>
    <w:rsid w:val="00414226"/>
    <w:rPr>
      <w:i/>
      <w:iCs/>
    </w:rPr>
  </w:style>
  <w:style w:type="paragraph" w:styleId="EnvelopeAddress">
    <w:name w:val="envelope address"/>
    <w:basedOn w:val="Normal"/>
    <w:uiPriority w:val="99"/>
    <w:semiHidden/>
    <w:unhideWhenUsed/>
    <w:rsid w:val="004142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14226"/>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414226"/>
    <w:rPr>
      <w:color w:val="800080" w:themeColor="followedHyperlink"/>
      <w:u w:val="single"/>
    </w:rPr>
  </w:style>
  <w:style w:type="character" w:styleId="HTMLAcronym">
    <w:name w:val="HTML Acronym"/>
    <w:basedOn w:val="DefaultParagraphFont"/>
    <w:uiPriority w:val="99"/>
    <w:semiHidden/>
    <w:unhideWhenUsed/>
    <w:rsid w:val="00414226"/>
  </w:style>
  <w:style w:type="paragraph" w:styleId="HTMLAddress">
    <w:name w:val="HTML Address"/>
    <w:basedOn w:val="Normal"/>
    <w:link w:val="HTMLAddressChar"/>
    <w:uiPriority w:val="99"/>
    <w:semiHidden/>
    <w:unhideWhenUsed/>
    <w:rsid w:val="00414226"/>
    <w:rPr>
      <w:i/>
      <w:iCs/>
    </w:rPr>
  </w:style>
  <w:style w:type="character" w:styleId="HTMLCite">
    <w:name w:val="HTML Cite"/>
    <w:basedOn w:val="DefaultParagraphFont"/>
    <w:uiPriority w:val="99"/>
    <w:semiHidden/>
    <w:unhideWhenUsed/>
    <w:rsid w:val="00414226"/>
    <w:rPr>
      <w:i/>
      <w:iCs/>
    </w:rPr>
  </w:style>
  <w:style w:type="character" w:styleId="HTMLCode">
    <w:name w:val="HTML Code"/>
    <w:basedOn w:val="DefaultParagraphFont"/>
    <w:uiPriority w:val="99"/>
    <w:semiHidden/>
    <w:unhideWhenUsed/>
    <w:rsid w:val="00414226"/>
    <w:rPr>
      <w:rFonts w:ascii="Consolas" w:hAnsi="Consolas" w:cs="Consolas"/>
      <w:sz w:val="20"/>
      <w:szCs w:val="20"/>
    </w:rPr>
  </w:style>
  <w:style w:type="character" w:styleId="HTMLDefinition">
    <w:name w:val="HTML Definition"/>
    <w:basedOn w:val="DefaultParagraphFont"/>
    <w:uiPriority w:val="99"/>
    <w:semiHidden/>
    <w:unhideWhenUsed/>
    <w:rsid w:val="00414226"/>
    <w:rPr>
      <w:i/>
      <w:iCs/>
    </w:rPr>
  </w:style>
  <w:style w:type="character" w:styleId="HTMLKeyboard">
    <w:name w:val="HTML Keyboard"/>
    <w:basedOn w:val="DefaultParagraphFont"/>
    <w:uiPriority w:val="99"/>
    <w:semiHidden/>
    <w:unhideWhenUsed/>
    <w:rsid w:val="00414226"/>
    <w:rPr>
      <w:rFonts w:ascii="Consolas" w:hAnsi="Consolas" w:cs="Consolas"/>
      <w:sz w:val="20"/>
      <w:szCs w:val="20"/>
    </w:rPr>
  </w:style>
  <w:style w:type="paragraph" w:styleId="HTMLPreformatted">
    <w:name w:val="HTML Preformatted"/>
    <w:basedOn w:val="Normal"/>
    <w:link w:val="HTMLPreformattedChar"/>
    <w:uiPriority w:val="99"/>
    <w:semiHidden/>
    <w:unhideWhenUsed/>
    <w:rsid w:val="00414226"/>
    <w:rPr>
      <w:rFonts w:ascii="Consolas" w:hAnsi="Consolas" w:cs="Consolas"/>
      <w:sz w:val="20"/>
      <w:szCs w:val="20"/>
    </w:rPr>
  </w:style>
  <w:style w:type="character" w:styleId="HTMLSample">
    <w:name w:val="HTML Sample"/>
    <w:basedOn w:val="DefaultParagraphFont"/>
    <w:uiPriority w:val="99"/>
    <w:semiHidden/>
    <w:unhideWhenUsed/>
    <w:rsid w:val="00414226"/>
    <w:rPr>
      <w:rFonts w:ascii="Consolas" w:hAnsi="Consolas" w:cs="Consolas"/>
      <w:sz w:val="24"/>
      <w:szCs w:val="24"/>
    </w:rPr>
  </w:style>
  <w:style w:type="character" w:styleId="HTMLTypewriter">
    <w:name w:val="HTML Typewriter"/>
    <w:basedOn w:val="DefaultParagraphFont"/>
    <w:uiPriority w:val="99"/>
    <w:semiHidden/>
    <w:unhideWhenUsed/>
    <w:rsid w:val="00414226"/>
    <w:rPr>
      <w:rFonts w:ascii="Consolas" w:hAnsi="Consolas" w:cs="Consolas"/>
      <w:sz w:val="20"/>
      <w:szCs w:val="20"/>
    </w:rPr>
  </w:style>
  <w:style w:type="character" w:styleId="HTMLVariable">
    <w:name w:val="HTML Variable"/>
    <w:basedOn w:val="DefaultParagraphFont"/>
    <w:uiPriority w:val="99"/>
    <w:semiHidden/>
    <w:unhideWhenUsed/>
    <w:rsid w:val="00414226"/>
    <w:rPr>
      <w:i/>
      <w:iCs/>
    </w:rPr>
  </w:style>
  <w:style w:type="paragraph" w:styleId="Index1">
    <w:name w:val="index 1"/>
    <w:basedOn w:val="Normal"/>
    <w:next w:val="Normal"/>
    <w:autoRedefine/>
    <w:uiPriority w:val="99"/>
    <w:semiHidden/>
    <w:unhideWhenUsed/>
    <w:rsid w:val="00414226"/>
    <w:pPr>
      <w:ind w:left="180" w:hanging="180"/>
    </w:pPr>
  </w:style>
  <w:style w:type="paragraph" w:styleId="Index2">
    <w:name w:val="index 2"/>
    <w:basedOn w:val="Normal"/>
    <w:next w:val="Normal"/>
    <w:autoRedefine/>
    <w:uiPriority w:val="99"/>
    <w:semiHidden/>
    <w:unhideWhenUsed/>
    <w:rsid w:val="00414226"/>
    <w:pPr>
      <w:ind w:left="360" w:hanging="180"/>
    </w:pPr>
  </w:style>
  <w:style w:type="paragraph" w:styleId="Index3">
    <w:name w:val="index 3"/>
    <w:basedOn w:val="Normal"/>
    <w:next w:val="Normal"/>
    <w:autoRedefine/>
    <w:uiPriority w:val="99"/>
    <w:semiHidden/>
    <w:unhideWhenUsed/>
    <w:rsid w:val="00414226"/>
    <w:pPr>
      <w:ind w:left="540" w:hanging="180"/>
    </w:pPr>
  </w:style>
  <w:style w:type="paragraph" w:styleId="Index4">
    <w:name w:val="index 4"/>
    <w:basedOn w:val="Normal"/>
    <w:next w:val="Normal"/>
    <w:autoRedefine/>
    <w:uiPriority w:val="99"/>
    <w:semiHidden/>
    <w:unhideWhenUsed/>
    <w:rsid w:val="00414226"/>
    <w:pPr>
      <w:ind w:left="720" w:hanging="180"/>
    </w:pPr>
  </w:style>
  <w:style w:type="paragraph" w:styleId="Index5">
    <w:name w:val="index 5"/>
    <w:basedOn w:val="Normal"/>
    <w:next w:val="Normal"/>
    <w:autoRedefine/>
    <w:uiPriority w:val="99"/>
    <w:semiHidden/>
    <w:unhideWhenUsed/>
    <w:rsid w:val="00414226"/>
    <w:pPr>
      <w:ind w:left="900" w:hanging="180"/>
    </w:pPr>
  </w:style>
  <w:style w:type="paragraph" w:styleId="Index6">
    <w:name w:val="index 6"/>
    <w:basedOn w:val="Normal"/>
    <w:next w:val="Normal"/>
    <w:autoRedefine/>
    <w:uiPriority w:val="99"/>
    <w:semiHidden/>
    <w:unhideWhenUsed/>
    <w:rsid w:val="00414226"/>
    <w:pPr>
      <w:ind w:left="1080" w:hanging="180"/>
    </w:pPr>
  </w:style>
  <w:style w:type="paragraph" w:styleId="Index7">
    <w:name w:val="index 7"/>
    <w:basedOn w:val="Normal"/>
    <w:next w:val="Normal"/>
    <w:autoRedefine/>
    <w:uiPriority w:val="99"/>
    <w:semiHidden/>
    <w:unhideWhenUsed/>
    <w:rsid w:val="00414226"/>
    <w:pPr>
      <w:ind w:left="1260" w:hanging="180"/>
    </w:pPr>
  </w:style>
  <w:style w:type="paragraph" w:styleId="Index8">
    <w:name w:val="index 8"/>
    <w:basedOn w:val="Normal"/>
    <w:next w:val="Normal"/>
    <w:autoRedefine/>
    <w:uiPriority w:val="99"/>
    <w:semiHidden/>
    <w:unhideWhenUsed/>
    <w:rsid w:val="00414226"/>
    <w:pPr>
      <w:ind w:left="1440" w:hanging="180"/>
    </w:pPr>
  </w:style>
  <w:style w:type="paragraph" w:styleId="Index9">
    <w:name w:val="index 9"/>
    <w:basedOn w:val="Normal"/>
    <w:next w:val="Normal"/>
    <w:autoRedefine/>
    <w:uiPriority w:val="99"/>
    <w:semiHidden/>
    <w:unhideWhenUsed/>
    <w:rsid w:val="00414226"/>
    <w:pPr>
      <w:ind w:left="1620" w:hanging="180"/>
    </w:pPr>
  </w:style>
  <w:style w:type="paragraph" w:styleId="IndexHeading">
    <w:name w:val="index heading"/>
    <w:basedOn w:val="Normal"/>
    <w:next w:val="Index1"/>
    <w:uiPriority w:val="99"/>
    <w:semiHidden/>
    <w:unhideWhenUsed/>
    <w:rsid w:val="00414226"/>
    <w:rPr>
      <w:rFonts w:asciiTheme="majorHAnsi" w:eastAsiaTheme="majorEastAsia" w:hAnsiTheme="majorHAnsi" w:cstheme="majorBidi"/>
      <w:b/>
      <w:bCs/>
    </w:rPr>
  </w:style>
  <w:style w:type="character" w:styleId="IntenseEmphasis">
    <w:name w:val="Intense Emphasis"/>
    <w:basedOn w:val="DefaultParagraphFont"/>
    <w:uiPriority w:val="99"/>
    <w:qFormat/>
    <w:rsid w:val="00414226"/>
    <w:rPr>
      <w:b/>
      <w:bCs/>
      <w:i/>
      <w:iCs/>
      <w:color w:val="4F81BD" w:themeColor="accent1"/>
    </w:rPr>
  </w:style>
  <w:style w:type="paragraph" w:styleId="IntenseQuote">
    <w:name w:val="Intense Quote"/>
    <w:basedOn w:val="Normal"/>
    <w:next w:val="Normal"/>
    <w:link w:val="IntenseQuoteChar"/>
    <w:uiPriority w:val="99"/>
    <w:qFormat/>
    <w:rsid w:val="00414226"/>
    <w:pPr>
      <w:pBdr>
        <w:bottom w:val="single" w:sz="4" w:space="4" w:color="4F81BD" w:themeColor="accent1"/>
      </w:pBdr>
      <w:spacing w:before="200" w:after="280"/>
      <w:ind w:left="936" w:right="936"/>
    </w:pPr>
    <w:rPr>
      <w:b/>
      <w:bCs/>
      <w:i/>
      <w:iCs/>
      <w:color w:val="4F81BD" w:themeColor="accent1"/>
    </w:rPr>
  </w:style>
  <w:style w:type="character" w:styleId="IntenseReference">
    <w:name w:val="Intense Reference"/>
    <w:basedOn w:val="DefaultParagraphFont"/>
    <w:uiPriority w:val="99"/>
    <w:qFormat/>
    <w:rsid w:val="00414226"/>
    <w:rPr>
      <w:b/>
      <w:bCs/>
      <w:smallCaps/>
      <w:color w:val="C0504D" w:themeColor="accent2"/>
      <w:spacing w:val="5"/>
      <w:u w:val="single"/>
    </w:rPr>
  </w:style>
  <w:style w:type="character" w:styleId="LineNumber">
    <w:name w:val="line number"/>
    <w:basedOn w:val="DefaultParagraphFont"/>
    <w:uiPriority w:val="99"/>
    <w:semiHidden/>
    <w:unhideWhenUsed/>
    <w:rsid w:val="00414226"/>
  </w:style>
  <w:style w:type="paragraph" w:styleId="List">
    <w:name w:val="List"/>
    <w:basedOn w:val="Normal"/>
    <w:uiPriority w:val="99"/>
    <w:semiHidden/>
    <w:unhideWhenUsed/>
    <w:rsid w:val="00414226"/>
    <w:pPr>
      <w:ind w:left="283" w:hanging="283"/>
      <w:contextualSpacing/>
    </w:pPr>
  </w:style>
  <w:style w:type="paragraph" w:styleId="List2">
    <w:name w:val="List 2"/>
    <w:basedOn w:val="Normal"/>
    <w:uiPriority w:val="99"/>
    <w:semiHidden/>
    <w:unhideWhenUsed/>
    <w:rsid w:val="00414226"/>
    <w:pPr>
      <w:ind w:left="566" w:hanging="283"/>
      <w:contextualSpacing/>
    </w:pPr>
  </w:style>
  <w:style w:type="paragraph" w:styleId="List3">
    <w:name w:val="List 3"/>
    <w:basedOn w:val="Normal"/>
    <w:uiPriority w:val="99"/>
    <w:semiHidden/>
    <w:unhideWhenUsed/>
    <w:rsid w:val="00414226"/>
    <w:pPr>
      <w:ind w:left="849" w:hanging="283"/>
      <w:contextualSpacing/>
    </w:pPr>
  </w:style>
  <w:style w:type="paragraph" w:styleId="List4">
    <w:name w:val="List 4"/>
    <w:basedOn w:val="Normal"/>
    <w:uiPriority w:val="99"/>
    <w:semiHidden/>
    <w:unhideWhenUsed/>
    <w:rsid w:val="00414226"/>
    <w:pPr>
      <w:ind w:left="1132" w:hanging="283"/>
      <w:contextualSpacing/>
    </w:pPr>
  </w:style>
  <w:style w:type="paragraph" w:styleId="List5">
    <w:name w:val="List 5"/>
    <w:basedOn w:val="Normal"/>
    <w:uiPriority w:val="99"/>
    <w:semiHidden/>
    <w:unhideWhenUsed/>
    <w:rsid w:val="00414226"/>
    <w:pPr>
      <w:ind w:left="1415" w:hanging="283"/>
      <w:contextualSpacing/>
    </w:pPr>
  </w:style>
  <w:style w:type="paragraph" w:styleId="ListContinue">
    <w:name w:val="List Continue"/>
    <w:basedOn w:val="Normal"/>
    <w:uiPriority w:val="99"/>
    <w:semiHidden/>
    <w:unhideWhenUsed/>
    <w:rsid w:val="00414226"/>
    <w:pPr>
      <w:spacing w:after="120"/>
      <w:ind w:left="283"/>
      <w:contextualSpacing/>
    </w:pPr>
  </w:style>
  <w:style w:type="paragraph" w:styleId="ListContinue2">
    <w:name w:val="List Continue 2"/>
    <w:basedOn w:val="Normal"/>
    <w:uiPriority w:val="99"/>
    <w:semiHidden/>
    <w:unhideWhenUsed/>
    <w:rsid w:val="00414226"/>
    <w:pPr>
      <w:spacing w:after="120"/>
      <w:ind w:left="566"/>
      <w:contextualSpacing/>
    </w:pPr>
  </w:style>
  <w:style w:type="paragraph" w:styleId="ListContinue3">
    <w:name w:val="List Continue 3"/>
    <w:basedOn w:val="Normal"/>
    <w:uiPriority w:val="99"/>
    <w:semiHidden/>
    <w:unhideWhenUsed/>
    <w:rsid w:val="00414226"/>
    <w:pPr>
      <w:spacing w:after="120"/>
      <w:ind w:left="849"/>
      <w:contextualSpacing/>
    </w:pPr>
  </w:style>
  <w:style w:type="paragraph" w:styleId="ListContinue4">
    <w:name w:val="List Continue 4"/>
    <w:basedOn w:val="Normal"/>
    <w:uiPriority w:val="99"/>
    <w:semiHidden/>
    <w:unhideWhenUsed/>
    <w:rsid w:val="00414226"/>
    <w:pPr>
      <w:spacing w:after="120"/>
      <w:ind w:left="1132"/>
      <w:contextualSpacing/>
    </w:pPr>
  </w:style>
  <w:style w:type="paragraph" w:styleId="ListContinue5">
    <w:name w:val="List Continue 5"/>
    <w:basedOn w:val="Normal"/>
    <w:uiPriority w:val="99"/>
    <w:semiHidden/>
    <w:unhideWhenUsed/>
    <w:rsid w:val="00414226"/>
    <w:pPr>
      <w:spacing w:after="120"/>
      <w:ind w:left="1415"/>
      <w:contextualSpacing/>
    </w:pPr>
  </w:style>
  <w:style w:type="paragraph" w:styleId="ListNumber">
    <w:name w:val="List Number"/>
    <w:basedOn w:val="Normal"/>
    <w:uiPriority w:val="49"/>
    <w:semiHidden/>
    <w:unhideWhenUsed/>
    <w:rsid w:val="00414226"/>
    <w:pPr>
      <w:tabs>
        <w:tab w:val="num" w:pos="360"/>
      </w:tabs>
      <w:ind w:left="360" w:hanging="360"/>
      <w:contextualSpacing/>
    </w:pPr>
  </w:style>
  <w:style w:type="paragraph" w:styleId="ListNumber2">
    <w:name w:val="List Number 2"/>
    <w:basedOn w:val="Normal"/>
    <w:uiPriority w:val="49"/>
    <w:semiHidden/>
    <w:unhideWhenUsed/>
    <w:rsid w:val="00414226"/>
    <w:pPr>
      <w:tabs>
        <w:tab w:val="num" w:pos="720"/>
      </w:tabs>
      <w:ind w:left="720" w:hanging="360"/>
      <w:contextualSpacing/>
    </w:pPr>
  </w:style>
  <w:style w:type="paragraph" w:styleId="ListNumber3">
    <w:name w:val="List Number 3"/>
    <w:basedOn w:val="Normal"/>
    <w:uiPriority w:val="49"/>
    <w:semiHidden/>
    <w:unhideWhenUsed/>
    <w:rsid w:val="00414226"/>
    <w:pPr>
      <w:tabs>
        <w:tab w:val="num" w:pos="1080"/>
      </w:tabs>
      <w:ind w:left="1080" w:hanging="360"/>
      <w:contextualSpacing/>
    </w:pPr>
  </w:style>
  <w:style w:type="paragraph" w:styleId="ListNumber4">
    <w:name w:val="List Number 4"/>
    <w:basedOn w:val="Normal"/>
    <w:uiPriority w:val="49"/>
    <w:semiHidden/>
    <w:unhideWhenUsed/>
    <w:rsid w:val="00414226"/>
    <w:pPr>
      <w:tabs>
        <w:tab w:val="num" w:pos="1440"/>
      </w:tabs>
      <w:ind w:left="1440" w:hanging="360"/>
      <w:contextualSpacing/>
    </w:pPr>
  </w:style>
  <w:style w:type="paragraph" w:styleId="ListNumber5">
    <w:name w:val="List Number 5"/>
    <w:basedOn w:val="Normal"/>
    <w:uiPriority w:val="49"/>
    <w:semiHidden/>
    <w:unhideWhenUsed/>
    <w:rsid w:val="00414226"/>
    <w:pPr>
      <w:tabs>
        <w:tab w:val="num" w:pos="1800"/>
      </w:tabs>
      <w:ind w:left="1800" w:hanging="360"/>
      <w:contextualSpacing/>
    </w:pPr>
  </w:style>
  <w:style w:type="paragraph" w:styleId="MacroText">
    <w:name w:val="macro"/>
    <w:link w:val="MacroTextChar"/>
    <w:uiPriority w:val="99"/>
    <w:semiHidden/>
    <w:unhideWhenUsed/>
    <w:rsid w:val="00414226"/>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sz w:val="20"/>
      <w:szCs w:val="20"/>
    </w:rPr>
  </w:style>
  <w:style w:type="paragraph" w:styleId="MessageHeader">
    <w:name w:val="Message Header"/>
    <w:basedOn w:val="Normal"/>
    <w:link w:val="MessageHeaderChar"/>
    <w:uiPriority w:val="99"/>
    <w:semiHidden/>
    <w:unhideWhenUsed/>
    <w:rsid w:val="0041422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paragraph" w:styleId="NoSpacing">
    <w:name w:val="No Spacing"/>
    <w:uiPriority w:val="1"/>
    <w:qFormat/>
    <w:rsid w:val="00414226"/>
    <w:pPr>
      <w:spacing w:after="0" w:line="240" w:lineRule="auto"/>
      <w:jc w:val="both"/>
    </w:pPr>
    <w:rPr>
      <w:rFonts w:ascii="Verdana" w:hAnsi="Verdana"/>
      <w:sz w:val="18"/>
    </w:rPr>
  </w:style>
  <w:style w:type="paragraph" w:styleId="NormalWeb">
    <w:name w:val="Normal (Web)"/>
    <w:basedOn w:val="Normal"/>
    <w:uiPriority w:val="99"/>
    <w:unhideWhenUsed/>
    <w:rsid w:val="00414226"/>
    <w:rPr>
      <w:rFonts w:ascii="Times New Roman" w:hAnsi="Times New Roman"/>
      <w:sz w:val="24"/>
      <w:szCs w:val="24"/>
    </w:rPr>
  </w:style>
  <w:style w:type="paragraph" w:styleId="NormalIndent">
    <w:name w:val="Normal Indent"/>
    <w:basedOn w:val="Normal"/>
    <w:uiPriority w:val="99"/>
    <w:semiHidden/>
    <w:unhideWhenUsed/>
    <w:rsid w:val="00414226"/>
    <w:pPr>
      <w:ind w:left="567"/>
    </w:pPr>
  </w:style>
  <w:style w:type="paragraph" w:styleId="NoteHeading">
    <w:name w:val="Note Heading"/>
    <w:basedOn w:val="Normal"/>
    <w:next w:val="Normal"/>
    <w:link w:val="NoteHeadingChar"/>
    <w:uiPriority w:val="99"/>
    <w:semiHidden/>
    <w:unhideWhenUsed/>
    <w:rsid w:val="00414226"/>
  </w:style>
  <w:style w:type="character" w:styleId="PageNumber">
    <w:name w:val="page number"/>
    <w:basedOn w:val="DefaultParagraphFont"/>
    <w:uiPriority w:val="99"/>
    <w:semiHidden/>
    <w:unhideWhenUsed/>
    <w:rsid w:val="00414226"/>
  </w:style>
  <w:style w:type="character" w:styleId="PlaceholderText">
    <w:name w:val="Placeholder Text"/>
    <w:basedOn w:val="DefaultParagraphFont"/>
    <w:uiPriority w:val="99"/>
    <w:semiHidden/>
    <w:rsid w:val="00414226"/>
    <w:rPr>
      <w:color w:val="808080"/>
    </w:rPr>
  </w:style>
  <w:style w:type="paragraph" w:styleId="PlainText">
    <w:name w:val="Plain Text"/>
    <w:basedOn w:val="Normal"/>
    <w:link w:val="PlainTextChar"/>
    <w:uiPriority w:val="99"/>
    <w:unhideWhenUsed/>
    <w:rsid w:val="00414226"/>
    <w:rPr>
      <w:rFonts w:ascii="Consolas" w:hAnsi="Consolas" w:cs="Consolas"/>
      <w:sz w:val="21"/>
      <w:szCs w:val="21"/>
    </w:rPr>
  </w:style>
  <w:style w:type="paragraph" w:styleId="Quote">
    <w:name w:val="Quote"/>
    <w:basedOn w:val="Normal"/>
    <w:next w:val="Normal"/>
    <w:link w:val="QuoteChar"/>
    <w:uiPriority w:val="99"/>
    <w:qFormat/>
    <w:rsid w:val="00414226"/>
    <w:rPr>
      <w:i/>
      <w:iCs/>
      <w:color w:val="000000" w:themeColor="text1"/>
    </w:rPr>
  </w:style>
  <w:style w:type="paragraph" w:styleId="Salutation">
    <w:name w:val="Salutation"/>
    <w:basedOn w:val="Normal"/>
    <w:next w:val="Normal"/>
    <w:link w:val="SalutationChar"/>
    <w:uiPriority w:val="99"/>
    <w:semiHidden/>
    <w:unhideWhenUsed/>
    <w:rsid w:val="00414226"/>
  </w:style>
  <w:style w:type="paragraph" w:styleId="Signature">
    <w:name w:val="Signature"/>
    <w:basedOn w:val="Normal"/>
    <w:link w:val="SignatureChar"/>
    <w:uiPriority w:val="99"/>
    <w:semiHidden/>
    <w:unhideWhenUsed/>
    <w:rsid w:val="00414226"/>
    <w:pPr>
      <w:ind w:left="4252"/>
    </w:pPr>
  </w:style>
  <w:style w:type="character" w:styleId="Strong">
    <w:name w:val="Strong"/>
    <w:basedOn w:val="DefaultParagraphFont"/>
    <w:uiPriority w:val="99"/>
    <w:qFormat/>
    <w:rsid w:val="00414226"/>
    <w:rPr>
      <w:b/>
      <w:bCs/>
    </w:rPr>
  </w:style>
  <w:style w:type="character" w:styleId="SubtleEmphasis">
    <w:name w:val="Subtle Emphasis"/>
    <w:basedOn w:val="DefaultParagraphFont"/>
    <w:uiPriority w:val="99"/>
    <w:qFormat/>
    <w:rsid w:val="00414226"/>
    <w:rPr>
      <w:i/>
      <w:iCs/>
      <w:color w:val="808080" w:themeColor="text1" w:themeTint="7F"/>
    </w:rPr>
  </w:style>
  <w:style w:type="character" w:styleId="SubtleReference">
    <w:name w:val="Subtle Reference"/>
    <w:basedOn w:val="DefaultParagraphFont"/>
    <w:uiPriority w:val="99"/>
    <w:qFormat/>
    <w:rsid w:val="00414226"/>
    <w:rPr>
      <w:smallCaps/>
      <w:color w:val="C0504D" w:themeColor="accent2"/>
      <w:u w:val="single"/>
    </w:rPr>
  </w:style>
  <w:style w:type="paragraph" w:styleId="TOAHeading">
    <w:name w:val="toa heading"/>
    <w:basedOn w:val="Normal"/>
    <w:next w:val="Normal"/>
    <w:uiPriority w:val="39"/>
    <w:unhideWhenUsed/>
    <w:rsid w:val="00414226"/>
    <w:pPr>
      <w:spacing w:before="120"/>
    </w:pPr>
    <w:rPr>
      <w:rFonts w:asciiTheme="majorHAnsi" w:eastAsiaTheme="majorEastAsia" w:hAnsiTheme="majorHAnsi" w:cstheme="majorBidi"/>
      <w:b/>
      <w:bCs/>
      <w:sz w:val="24"/>
      <w:szCs w:val="24"/>
    </w:rPr>
  </w:style>
  <w:style w:type="character" w:styleId="UnresolvedMention">
    <w:name w:val="Unresolved Mention"/>
    <w:basedOn w:val="DefaultParagraphFont"/>
    <w:uiPriority w:val="99"/>
    <w:semiHidden/>
    <w:unhideWhenUsed/>
    <w:rsid w:val="00D866AD"/>
    <w:rPr>
      <w:color w:val="605E5C"/>
      <w:shd w:val="clear" w:color="auto" w:fill="E1DFDD"/>
    </w:rPr>
  </w:style>
  <w:style w:type="character" w:styleId="Hashtag">
    <w:name w:val="Hashtag"/>
    <w:basedOn w:val="DefaultParagraphFont"/>
    <w:uiPriority w:val="99"/>
    <w:semiHidden/>
    <w:unhideWhenUsed/>
    <w:rsid w:val="0056276C"/>
    <w:rPr>
      <w:color w:val="2B579A"/>
      <w:shd w:val="clear" w:color="auto" w:fill="E1DFDD"/>
    </w:rPr>
  </w:style>
  <w:style w:type="character" w:styleId="Mention">
    <w:name w:val="Mention"/>
    <w:basedOn w:val="DefaultParagraphFont"/>
    <w:uiPriority w:val="99"/>
    <w:semiHidden/>
    <w:unhideWhenUsed/>
    <w:rsid w:val="0056276C"/>
    <w:rPr>
      <w:color w:val="2B579A"/>
      <w:shd w:val="clear" w:color="auto" w:fill="E1DFDD"/>
    </w:rPr>
  </w:style>
  <w:style w:type="character" w:styleId="SmartHyperlink">
    <w:name w:val="Smart Hyperlink"/>
    <w:basedOn w:val="DefaultParagraphFont"/>
    <w:uiPriority w:val="99"/>
    <w:semiHidden/>
    <w:unhideWhenUsed/>
    <w:rsid w:val="0056276C"/>
    <w:rPr>
      <w:u w:val="dotted"/>
    </w:rPr>
  </w:style>
  <w:style w:type="character" w:styleId="SmartLink">
    <w:name w:val="Smart Link"/>
    <w:basedOn w:val="DefaultParagraphFont"/>
    <w:uiPriority w:val="99"/>
    <w:semiHidden/>
    <w:unhideWhenUsed/>
    <w:rsid w:val="0056276C"/>
    <w:rPr>
      <w:color w:val="0000FF"/>
      <w:u w:val="single"/>
      <w:shd w:val="clear" w:color="auto" w:fill="F3F2F1"/>
    </w:rPr>
  </w:style>
  <w:style w:type="paragraph" w:customStyle="1" w:styleId="TitleDate">
    <w:name w:val="Title Date"/>
    <w:basedOn w:val="Normal"/>
    <w:next w:val="Normal"/>
    <w:uiPriority w:val="5"/>
    <w:qFormat/>
    <w:rsid w:val="00716B5B"/>
    <w:pPr>
      <w:spacing w:after="240"/>
      <w:jc w:val="center"/>
    </w:pPr>
    <w:rPr>
      <w:color w:val="006283"/>
    </w:rPr>
  </w:style>
  <w:style w:type="table" w:styleId="TableGridLight">
    <w:name w:val="Grid Table Light"/>
    <w:basedOn w:val="TableNormal"/>
    <w:uiPriority w:val="40"/>
    <w:rsid w:val="00716B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16B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16B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4">
    <w:name w:val="List Table 3 Accent 4"/>
    <w:basedOn w:val="TableNormal"/>
    <w:uiPriority w:val="48"/>
    <w:rsid w:val="00716B5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Style1">
    <w:name w:val="Style1"/>
    <w:basedOn w:val="TableNormal"/>
    <w:uiPriority w:val="99"/>
    <w:rsid w:val="00716B5B"/>
    <w:pPr>
      <w:spacing w:after="0" w:line="240" w:lineRule="auto"/>
    </w:pPr>
    <w:tblPr/>
  </w:style>
  <w:style w:type="paragraph" w:customStyle="1" w:styleId="msonormal0">
    <w:name w:val="msonormal"/>
    <w:basedOn w:val="Normal"/>
    <w:rsid w:val="00567B39"/>
    <w:pPr>
      <w:spacing w:before="100" w:beforeAutospacing="1" w:after="100" w:afterAutospacing="1"/>
    </w:pPr>
    <w:rPr>
      <w:rFonts w:ascii="Times New Roman" w:eastAsia="Times New Roman" w:hAnsi="Times New Roman"/>
      <w:sz w:val="24"/>
      <w:szCs w:val="24"/>
      <w:lang w:eastAsia="zh-CN"/>
    </w:rPr>
  </w:style>
  <w:style w:type="paragraph" w:customStyle="1" w:styleId="font5">
    <w:name w:val="font5"/>
    <w:basedOn w:val="Normal"/>
    <w:rsid w:val="00567B39"/>
    <w:pPr>
      <w:spacing w:before="100" w:beforeAutospacing="1" w:after="100" w:afterAutospacing="1"/>
    </w:pPr>
    <w:rPr>
      <w:rFonts w:ascii="Tahoma" w:eastAsia="Times New Roman" w:hAnsi="Tahoma" w:cs="Tahoma"/>
      <w:color w:val="000000"/>
      <w:szCs w:val="18"/>
      <w:lang w:eastAsia="zh-CN"/>
    </w:rPr>
  </w:style>
  <w:style w:type="paragraph" w:customStyle="1" w:styleId="font6">
    <w:name w:val="font6"/>
    <w:basedOn w:val="Normal"/>
    <w:rsid w:val="00567B39"/>
    <w:pPr>
      <w:spacing w:before="100" w:beforeAutospacing="1" w:after="100" w:afterAutospacing="1"/>
    </w:pPr>
    <w:rPr>
      <w:rFonts w:eastAsia="Times New Roman"/>
      <w:szCs w:val="18"/>
      <w:lang w:eastAsia="zh-CN"/>
    </w:rPr>
  </w:style>
  <w:style w:type="paragraph" w:customStyle="1" w:styleId="font7">
    <w:name w:val="font7"/>
    <w:basedOn w:val="Normal"/>
    <w:rsid w:val="00567B39"/>
    <w:pPr>
      <w:spacing w:before="100" w:beforeAutospacing="1" w:after="100" w:afterAutospacing="1"/>
    </w:pPr>
    <w:rPr>
      <w:rFonts w:eastAsia="Times New Roman"/>
      <w:b/>
      <w:bCs/>
      <w:szCs w:val="18"/>
      <w:lang w:eastAsia="zh-CN"/>
    </w:rPr>
  </w:style>
  <w:style w:type="paragraph" w:customStyle="1" w:styleId="font8">
    <w:name w:val="font8"/>
    <w:basedOn w:val="Normal"/>
    <w:rsid w:val="00567B39"/>
    <w:pPr>
      <w:spacing w:before="100" w:beforeAutospacing="1" w:after="100" w:afterAutospacing="1"/>
    </w:pPr>
    <w:rPr>
      <w:rFonts w:ascii="Tahoma" w:eastAsia="Times New Roman" w:hAnsi="Tahoma" w:cs="Tahoma"/>
      <w:b/>
      <w:bCs/>
      <w:color w:val="000000"/>
      <w:szCs w:val="18"/>
      <w:lang w:eastAsia="zh-CN"/>
    </w:rPr>
  </w:style>
  <w:style w:type="paragraph" w:customStyle="1" w:styleId="xl66">
    <w:name w:val="xl66"/>
    <w:basedOn w:val="Normal"/>
    <w:rsid w:val="00567B39"/>
    <w:pPr>
      <w:spacing w:before="100" w:beforeAutospacing="1" w:after="100" w:afterAutospacing="1"/>
      <w:textAlignment w:val="center"/>
    </w:pPr>
    <w:rPr>
      <w:rFonts w:eastAsia="Times New Roman"/>
      <w:szCs w:val="18"/>
      <w:lang w:eastAsia="zh-CN"/>
    </w:rPr>
  </w:style>
  <w:style w:type="paragraph" w:customStyle="1" w:styleId="xl67">
    <w:name w:val="xl67"/>
    <w:basedOn w:val="Normal"/>
    <w:rsid w:val="00567B39"/>
    <w:pPr>
      <w:spacing w:before="100" w:beforeAutospacing="1" w:after="100" w:afterAutospacing="1"/>
      <w:jc w:val="right"/>
      <w:textAlignment w:val="center"/>
    </w:pPr>
    <w:rPr>
      <w:rFonts w:eastAsia="Times New Roman"/>
      <w:szCs w:val="18"/>
      <w:lang w:eastAsia="zh-CN"/>
    </w:rPr>
  </w:style>
  <w:style w:type="paragraph" w:customStyle="1" w:styleId="xl68">
    <w:name w:val="xl68"/>
    <w:basedOn w:val="Normal"/>
    <w:rsid w:val="00567B39"/>
    <w:pPr>
      <w:spacing w:before="100" w:beforeAutospacing="1" w:after="100" w:afterAutospacing="1"/>
      <w:jc w:val="right"/>
    </w:pPr>
    <w:rPr>
      <w:rFonts w:eastAsia="Times New Roman"/>
      <w:szCs w:val="18"/>
      <w:lang w:eastAsia="zh-CN"/>
    </w:rPr>
  </w:style>
  <w:style w:type="paragraph" w:customStyle="1" w:styleId="xl69">
    <w:name w:val="xl69"/>
    <w:basedOn w:val="Normal"/>
    <w:rsid w:val="00567B39"/>
    <w:pPr>
      <w:spacing w:before="100" w:beforeAutospacing="1" w:after="100" w:afterAutospacing="1"/>
    </w:pPr>
    <w:rPr>
      <w:rFonts w:eastAsia="Times New Roman"/>
      <w:szCs w:val="18"/>
      <w:lang w:eastAsia="zh-CN"/>
    </w:rPr>
  </w:style>
  <w:style w:type="paragraph" w:customStyle="1" w:styleId="xl70">
    <w:name w:val="xl70"/>
    <w:basedOn w:val="Normal"/>
    <w:rsid w:val="00567B39"/>
    <w:pPr>
      <w:spacing w:before="100" w:beforeAutospacing="1" w:after="100" w:afterAutospacing="1"/>
    </w:pPr>
    <w:rPr>
      <w:rFonts w:eastAsia="Times New Roman"/>
      <w:szCs w:val="18"/>
      <w:lang w:eastAsia="zh-CN"/>
    </w:rPr>
  </w:style>
  <w:style w:type="paragraph" w:customStyle="1" w:styleId="xl71">
    <w:name w:val="xl71"/>
    <w:basedOn w:val="Normal"/>
    <w:rsid w:val="00567B39"/>
    <w:pPr>
      <w:spacing w:before="100" w:beforeAutospacing="1" w:after="100" w:afterAutospacing="1"/>
      <w:jc w:val="right"/>
      <w:textAlignment w:val="center"/>
    </w:pPr>
    <w:rPr>
      <w:rFonts w:eastAsia="Times New Roman"/>
      <w:szCs w:val="18"/>
      <w:lang w:eastAsia="zh-CN"/>
    </w:rPr>
  </w:style>
  <w:style w:type="paragraph" w:customStyle="1" w:styleId="xl72">
    <w:name w:val="xl72"/>
    <w:basedOn w:val="Normal"/>
    <w:rsid w:val="00567B39"/>
    <w:pPr>
      <w:spacing w:before="100" w:beforeAutospacing="1" w:after="100" w:afterAutospacing="1"/>
      <w:jc w:val="right"/>
      <w:textAlignment w:val="center"/>
    </w:pPr>
    <w:rPr>
      <w:rFonts w:eastAsia="Times New Roman"/>
      <w:szCs w:val="18"/>
      <w:lang w:eastAsia="zh-CN"/>
    </w:rPr>
  </w:style>
  <w:style w:type="paragraph" w:customStyle="1" w:styleId="xl73">
    <w:name w:val="xl73"/>
    <w:basedOn w:val="Normal"/>
    <w:rsid w:val="00567B39"/>
    <w:pPr>
      <w:spacing w:before="100" w:beforeAutospacing="1" w:after="100" w:afterAutospacing="1"/>
      <w:jc w:val="right"/>
      <w:textAlignment w:val="center"/>
    </w:pPr>
    <w:rPr>
      <w:rFonts w:eastAsia="Times New Roman"/>
      <w:szCs w:val="18"/>
      <w:lang w:eastAsia="zh-CN"/>
    </w:rPr>
  </w:style>
  <w:style w:type="paragraph" w:customStyle="1" w:styleId="xl74">
    <w:name w:val="xl74"/>
    <w:basedOn w:val="Normal"/>
    <w:rsid w:val="00567B39"/>
    <w:pPr>
      <w:spacing w:before="100" w:beforeAutospacing="1" w:after="100" w:afterAutospacing="1"/>
      <w:jc w:val="right"/>
      <w:textAlignment w:val="center"/>
    </w:pPr>
    <w:rPr>
      <w:rFonts w:eastAsia="Times New Roman"/>
      <w:szCs w:val="18"/>
      <w:lang w:eastAsia="zh-CN"/>
    </w:rPr>
  </w:style>
  <w:style w:type="paragraph" w:customStyle="1" w:styleId="xl75">
    <w:name w:val="xl75"/>
    <w:basedOn w:val="Normal"/>
    <w:rsid w:val="00567B39"/>
    <w:pPr>
      <w:pBdr>
        <w:left w:val="single" w:sz="4" w:space="0" w:color="auto"/>
      </w:pBdr>
      <w:spacing w:before="100" w:beforeAutospacing="1" w:after="100" w:afterAutospacing="1"/>
      <w:textAlignment w:val="center"/>
    </w:pPr>
    <w:rPr>
      <w:rFonts w:eastAsia="Times New Roman"/>
      <w:szCs w:val="18"/>
      <w:lang w:eastAsia="zh-CN"/>
    </w:rPr>
  </w:style>
  <w:style w:type="paragraph" w:customStyle="1" w:styleId="xl76">
    <w:name w:val="xl76"/>
    <w:basedOn w:val="Normal"/>
    <w:rsid w:val="00567B39"/>
    <w:pPr>
      <w:pBdr>
        <w:right w:val="single" w:sz="4" w:space="0" w:color="auto"/>
      </w:pBdr>
      <w:spacing w:before="100" w:beforeAutospacing="1" w:after="100" w:afterAutospacing="1"/>
      <w:jc w:val="right"/>
    </w:pPr>
    <w:rPr>
      <w:rFonts w:eastAsia="Times New Roman"/>
      <w:szCs w:val="18"/>
      <w:lang w:eastAsia="zh-CN"/>
    </w:rPr>
  </w:style>
  <w:style w:type="paragraph" w:customStyle="1" w:styleId="xl77">
    <w:name w:val="xl77"/>
    <w:basedOn w:val="Normal"/>
    <w:rsid w:val="00567B39"/>
    <w:pPr>
      <w:pBdr>
        <w:left w:val="single" w:sz="4" w:space="0" w:color="auto"/>
      </w:pBdr>
      <w:spacing w:before="100" w:beforeAutospacing="1" w:after="100" w:afterAutospacing="1"/>
      <w:textAlignment w:val="center"/>
    </w:pPr>
    <w:rPr>
      <w:rFonts w:eastAsia="Times New Roman"/>
      <w:szCs w:val="18"/>
      <w:lang w:eastAsia="zh-CN"/>
    </w:rPr>
  </w:style>
  <w:style w:type="paragraph" w:customStyle="1" w:styleId="xl78">
    <w:name w:val="xl78"/>
    <w:basedOn w:val="Normal"/>
    <w:rsid w:val="00567B39"/>
    <w:pPr>
      <w:pBdr>
        <w:right w:val="single" w:sz="4" w:space="0" w:color="auto"/>
      </w:pBdr>
      <w:spacing w:before="100" w:beforeAutospacing="1" w:after="100" w:afterAutospacing="1"/>
      <w:jc w:val="right"/>
      <w:textAlignment w:val="center"/>
    </w:pPr>
    <w:rPr>
      <w:rFonts w:eastAsia="Times New Roman"/>
      <w:szCs w:val="18"/>
      <w:lang w:eastAsia="zh-CN"/>
    </w:rPr>
  </w:style>
  <w:style w:type="paragraph" w:customStyle="1" w:styleId="xl79">
    <w:name w:val="xl79"/>
    <w:basedOn w:val="Normal"/>
    <w:rsid w:val="00567B39"/>
    <w:pPr>
      <w:pBdr>
        <w:left w:val="single" w:sz="4" w:space="0" w:color="auto"/>
      </w:pBdr>
      <w:spacing w:before="100" w:beforeAutospacing="1" w:after="100" w:afterAutospacing="1"/>
      <w:textAlignment w:val="center"/>
    </w:pPr>
    <w:rPr>
      <w:rFonts w:eastAsia="Times New Roman"/>
      <w:szCs w:val="18"/>
      <w:lang w:eastAsia="zh-CN"/>
    </w:rPr>
  </w:style>
  <w:style w:type="paragraph" w:customStyle="1" w:styleId="xl80">
    <w:name w:val="xl80"/>
    <w:basedOn w:val="Normal"/>
    <w:rsid w:val="00567B39"/>
    <w:pPr>
      <w:pBdr>
        <w:left w:val="single" w:sz="4" w:space="0" w:color="auto"/>
      </w:pBdr>
      <w:spacing w:before="100" w:beforeAutospacing="1" w:after="100" w:afterAutospacing="1"/>
      <w:textAlignment w:val="center"/>
    </w:pPr>
    <w:rPr>
      <w:rFonts w:eastAsia="Times New Roman"/>
      <w:szCs w:val="18"/>
      <w:lang w:eastAsia="zh-CN"/>
    </w:rPr>
  </w:style>
  <w:style w:type="paragraph" w:customStyle="1" w:styleId="xl81">
    <w:name w:val="xl81"/>
    <w:basedOn w:val="Normal"/>
    <w:rsid w:val="00567B39"/>
    <w:pPr>
      <w:pBdr>
        <w:left w:val="single" w:sz="4" w:space="0" w:color="auto"/>
      </w:pBdr>
      <w:spacing w:before="100" w:beforeAutospacing="1" w:after="100" w:afterAutospacing="1"/>
      <w:textAlignment w:val="center"/>
    </w:pPr>
    <w:rPr>
      <w:rFonts w:eastAsia="Times New Roman"/>
      <w:szCs w:val="18"/>
      <w:lang w:eastAsia="zh-CN"/>
    </w:rPr>
  </w:style>
  <w:style w:type="paragraph" w:customStyle="1" w:styleId="xl82">
    <w:name w:val="xl82"/>
    <w:basedOn w:val="Normal"/>
    <w:rsid w:val="00567B39"/>
    <w:pPr>
      <w:pBdr>
        <w:left w:val="single" w:sz="4" w:space="0" w:color="auto"/>
      </w:pBdr>
      <w:spacing w:before="100" w:beforeAutospacing="1" w:after="100" w:afterAutospacing="1"/>
      <w:textAlignment w:val="center"/>
    </w:pPr>
    <w:rPr>
      <w:rFonts w:eastAsia="Times New Roman"/>
      <w:b/>
      <w:bCs/>
      <w:szCs w:val="18"/>
      <w:lang w:eastAsia="zh-CN"/>
    </w:rPr>
  </w:style>
  <w:style w:type="paragraph" w:customStyle="1" w:styleId="xl83">
    <w:name w:val="xl83"/>
    <w:basedOn w:val="Normal"/>
    <w:rsid w:val="00567B39"/>
    <w:pPr>
      <w:pBdr>
        <w:left w:val="single" w:sz="4" w:space="0" w:color="auto"/>
      </w:pBdr>
      <w:spacing w:before="100" w:beforeAutospacing="1" w:after="100" w:afterAutospacing="1"/>
      <w:textAlignment w:val="center"/>
    </w:pPr>
    <w:rPr>
      <w:rFonts w:eastAsia="Times New Roman"/>
      <w:b/>
      <w:bCs/>
      <w:szCs w:val="18"/>
      <w:lang w:eastAsia="zh-CN"/>
    </w:rPr>
  </w:style>
  <w:style w:type="paragraph" w:customStyle="1" w:styleId="xl84">
    <w:name w:val="xl84"/>
    <w:basedOn w:val="Normal"/>
    <w:rsid w:val="00567B39"/>
    <w:pPr>
      <w:pBdr>
        <w:left w:val="single" w:sz="4" w:space="7" w:color="auto"/>
      </w:pBdr>
      <w:spacing w:before="100" w:beforeAutospacing="1" w:after="100" w:afterAutospacing="1"/>
      <w:ind w:firstLineChars="100" w:firstLine="100"/>
      <w:textAlignment w:val="center"/>
    </w:pPr>
    <w:rPr>
      <w:rFonts w:eastAsia="Times New Roman"/>
      <w:szCs w:val="18"/>
      <w:lang w:eastAsia="zh-CN"/>
    </w:rPr>
  </w:style>
  <w:style w:type="paragraph" w:customStyle="1" w:styleId="xl85">
    <w:name w:val="xl85"/>
    <w:basedOn w:val="Normal"/>
    <w:rsid w:val="00567B39"/>
    <w:pPr>
      <w:pBdr>
        <w:right w:val="single" w:sz="4" w:space="0" w:color="auto"/>
      </w:pBdr>
      <w:spacing w:before="100" w:beforeAutospacing="1" w:after="100" w:afterAutospacing="1"/>
      <w:jc w:val="right"/>
      <w:textAlignment w:val="center"/>
    </w:pPr>
    <w:rPr>
      <w:rFonts w:eastAsia="Times New Roman"/>
      <w:szCs w:val="18"/>
      <w:lang w:eastAsia="zh-CN"/>
    </w:rPr>
  </w:style>
  <w:style w:type="paragraph" w:customStyle="1" w:styleId="xl86">
    <w:name w:val="xl86"/>
    <w:basedOn w:val="Normal"/>
    <w:rsid w:val="00567B39"/>
    <w:pPr>
      <w:pBdr>
        <w:left w:val="single" w:sz="4" w:space="0" w:color="auto"/>
      </w:pBdr>
      <w:spacing w:before="100" w:beforeAutospacing="1" w:after="100" w:afterAutospacing="1"/>
      <w:textAlignment w:val="center"/>
    </w:pPr>
    <w:rPr>
      <w:rFonts w:eastAsia="Times New Roman"/>
      <w:b/>
      <w:bCs/>
      <w:szCs w:val="18"/>
      <w:lang w:eastAsia="zh-CN"/>
    </w:rPr>
  </w:style>
  <w:style w:type="paragraph" w:customStyle="1" w:styleId="xl87">
    <w:name w:val="xl87"/>
    <w:basedOn w:val="Normal"/>
    <w:rsid w:val="00567B39"/>
    <w:pPr>
      <w:pBdr>
        <w:left w:val="single" w:sz="4" w:space="0" w:color="auto"/>
      </w:pBdr>
      <w:spacing w:before="100" w:beforeAutospacing="1" w:after="100" w:afterAutospacing="1"/>
    </w:pPr>
    <w:rPr>
      <w:rFonts w:eastAsia="Times New Roman"/>
      <w:szCs w:val="18"/>
      <w:lang w:eastAsia="zh-CN"/>
    </w:rPr>
  </w:style>
  <w:style w:type="paragraph" w:customStyle="1" w:styleId="xl88">
    <w:name w:val="xl88"/>
    <w:basedOn w:val="Normal"/>
    <w:rsid w:val="00567B39"/>
    <w:pPr>
      <w:pBdr>
        <w:left w:val="single" w:sz="4" w:space="0" w:color="auto"/>
      </w:pBdr>
      <w:spacing w:before="100" w:beforeAutospacing="1" w:after="100" w:afterAutospacing="1"/>
    </w:pPr>
    <w:rPr>
      <w:rFonts w:eastAsia="Times New Roman"/>
      <w:szCs w:val="18"/>
      <w:lang w:eastAsia="zh-CN"/>
    </w:rPr>
  </w:style>
  <w:style w:type="paragraph" w:customStyle="1" w:styleId="xl89">
    <w:name w:val="xl89"/>
    <w:basedOn w:val="Normal"/>
    <w:rsid w:val="00567B39"/>
    <w:pPr>
      <w:pBdr>
        <w:left w:val="single" w:sz="4" w:space="0" w:color="auto"/>
      </w:pBdr>
      <w:spacing w:before="100" w:beforeAutospacing="1" w:after="100" w:afterAutospacing="1"/>
      <w:textAlignment w:val="center"/>
    </w:pPr>
    <w:rPr>
      <w:rFonts w:eastAsia="Times New Roman"/>
      <w:szCs w:val="18"/>
      <w:lang w:eastAsia="zh-CN"/>
    </w:rPr>
  </w:style>
  <w:style w:type="paragraph" w:customStyle="1" w:styleId="xl90">
    <w:name w:val="xl90"/>
    <w:basedOn w:val="Normal"/>
    <w:rsid w:val="00567B39"/>
    <w:pPr>
      <w:spacing w:before="100" w:beforeAutospacing="1" w:after="100" w:afterAutospacing="1"/>
      <w:jc w:val="right"/>
      <w:textAlignment w:val="center"/>
    </w:pPr>
    <w:rPr>
      <w:rFonts w:eastAsia="Times New Roman"/>
      <w:szCs w:val="18"/>
      <w:lang w:eastAsia="zh-CN"/>
    </w:rPr>
  </w:style>
  <w:style w:type="paragraph" w:customStyle="1" w:styleId="xl91">
    <w:name w:val="xl91"/>
    <w:basedOn w:val="Normal"/>
    <w:rsid w:val="00567B39"/>
    <w:pPr>
      <w:spacing w:before="100" w:beforeAutospacing="1" w:after="100" w:afterAutospacing="1"/>
      <w:textAlignment w:val="center"/>
    </w:pPr>
    <w:rPr>
      <w:rFonts w:eastAsia="Times New Roman"/>
      <w:szCs w:val="18"/>
      <w:lang w:eastAsia="zh-CN"/>
    </w:rPr>
  </w:style>
  <w:style w:type="paragraph" w:customStyle="1" w:styleId="xl92">
    <w:name w:val="xl92"/>
    <w:basedOn w:val="Normal"/>
    <w:rsid w:val="00567B39"/>
    <w:pPr>
      <w:pBdr>
        <w:right w:val="single" w:sz="4" w:space="0" w:color="auto"/>
      </w:pBdr>
      <w:spacing w:before="100" w:beforeAutospacing="1" w:after="100" w:afterAutospacing="1"/>
      <w:textAlignment w:val="center"/>
    </w:pPr>
    <w:rPr>
      <w:rFonts w:eastAsia="Times New Roman"/>
      <w:szCs w:val="18"/>
      <w:lang w:eastAsia="zh-CN"/>
    </w:rPr>
  </w:style>
  <w:style w:type="paragraph" w:customStyle="1" w:styleId="xl93">
    <w:name w:val="xl93"/>
    <w:basedOn w:val="Normal"/>
    <w:rsid w:val="00567B39"/>
    <w:pPr>
      <w:pBdr>
        <w:left w:val="single" w:sz="4" w:space="0" w:color="auto"/>
        <w:bottom w:val="single" w:sz="4" w:space="0" w:color="auto"/>
      </w:pBdr>
      <w:spacing w:before="100" w:beforeAutospacing="1" w:after="100" w:afterAutospacing="1"/>
      <w:textAlignment w:val="center"/>
    </w:pPr>
    <w:rPr>
      <w:rFonts w:eastAsia="Times New Roman"/>
      <w:szCs w:val="18"/>
      <w:lang w:eastAsia="zh-CN"/>
    </w:rPr>
  </w:style>
  <w:style w:type="paragraph" w:customStyle="1" w:styleId="xl94">
    <w:name w:val="xl94"/>
    <w:basedOn w:val="Normal"/>
    <w:rsid w:val="00567B39"/>
    <w:pPr>
      <w:pBdr>
        <w:bottom w:val="single" w:sz="4" w:space="0" w:color="auto"/>
      </w:pBdr>
      <w:spacing w:before="100" w:beforeAutospacing="1" w:after="100" w:afterAutospacing="1"/>
      <w:jc w:val="right"/>
      <w:textAlignment w:val="center"/>
    </w:pPr>
    <w:rPr>
      <w:rFonts w:eastAsia="Times New Roman"/>
      <w:szCs w:val="18"/>
      <w:lang w:eastAsia="zh-CN"/>
    </w:rPr>
  </w:style>
  <w:style w:type="paragraph" w:customStyle="1" w:styleId="xl95">
    <w:name w:val="xl95"/>
    <w:basedOn w:val="Normal"/>
    <w:rsid w:val="00567B39"/>
    <w:pPr>
      <w:pBdr>
        <w:bottom w:val="single" w:sz="4" w:space="0" w:color="auto"/>
      </w:pBdr>
      <w:spacing w:before="100" w:beforeAutospacing="1" w:after="100" w:afterAutospacing="1"/>
      <w:textAlignment w:val="center"/>
    </w:pPr>
    <w:rPr>
      <w:rFonts w:eastAsia="Times New Roman"/>
      <w:szCs w:val="18"/>
      <w:lang w:eastAsia="zh-CN"/>
    </w:rPr>
  </w:style>
  <w:style w:type="paragraph" w:customStyle="1" w:styleId="xl96">
    <w:name w:val="xl96"/>
    <w:basedOn w:val="Normal"/>
    <w:rsid w:val="00567B39"/>
    <w:pPr>
      <w:pBdr>
        <w:bottom w:val="single" w:sz="4" w:space="0" w:color="auto"/>
        <w:right w:val="single" w:sz="4" w:space="0" w:color="auto"/>
      </w:pBdr>
      <w:spacing w:before="100" w:beforeAutospacing="1" w:after="100" w:afterAutospacing="1"/>
      <w:textAlignment w:val="center"/>
    </w:pPr>
    <w:rPr>
      <w:rFonts w:eastAsia="Times New Roman"/>
      <w:szCs w:val="18"/>
      <w:lang w:eastAsia="zh-CN"/>
    </w:rPr>
  </w:style>
  <w:style w:type="paragraph" w:customStyle="1" w:styleId="xl97">
    <w:name w:val="xl97"/>
    <w:basedOn w:val="Normal"/>
    <w:rsid w:val="00567B39"/>
    <w:pPr>
      <w:spacing w:before="100" w:beforeAutospacing="1" w:after="100" w:afterAutospacing="1"/>
      <w:jc w:val="right"/>
      <w:textAlignment w:val="center"/>
    </w:pPr>
    <w:rPr>
      <w:rFonts w:eastAsia="Times New Roman"/>
      <w:b/>
      <w:bCs/>
      <w:szCs w:val="18"/>
      <w:lang w:eastAsia="zh-CN"/>
    </w:rPr>
  </w:style>
  <w:style w:type="paragraph" w:customStyle="1" w:styleId="xl98">
    <w:name w:val="xl98"/>
    <w:basedOn w:val="Normal"/>
    <w:rsid w:val="00567B39"/>
    <w:pPr>
      <w:pBdr>
        <w:right w:val="single" w:sz="4" w:space="0" w:color="auto"/>
      </w:pBdr>
      <w:spacing w:before="100" w:beforeAutospacing="1" w:after="100" w:afterAutospacing="1"/>
      <w:jc w:val="right"/>
      <w:textAlignment w:val="center"/>
    </w:pPr>
    <w:rPr>
      <w:rFonts w:eastAsia="Times New Roman"/>
      <w:b/>
      <w:bCs/>
      <w:szCs w:val="18"/>
      <w:lang w:eastAsia="zh-CN"/>
    </w:rPr>
  </w:style>
  <w:style w:type="paragraph" w:customStyle="1" w:styleId="xl99">
    <w:name w:val="xl99"/>
    <w:basedOn w:val="Normal"/>
    <w:rsid w:val="00567B39"/>
    <w:pPr>
      <w:pBdr>
        <w:top w:val="single" w:sz="4" w:space="0" w:color="auto"/>
        <w:left w:val="single" w:sz="4" w:space="0" w:color="auto"/>
        <w:bottom w:val="single" w:sz="4" w:space="0" w:color="auto"/>
      </w:pBdr>
      <w:spacing w:before="100" w:beforeAutospacing="1" w:after="100" w:afterAutospacing="1"/>
      <w:textAlignment w:val="center"/>
    </w:pPr>
    <w:rPr>
      <w:rFonts w:eastAsia="Times New Roman"/>
      <w:b/>
      <w:bCs/>
      <w:szCs w:val="18"/>
      <w:lang w:eastAsia="zh-CN"/>
    </w:rPr>
  </w:style>
  <w:style w:type="paragraph" w:customStyle="1" w:styleId="xl100">
    <w:name w:val="xl100"/>
    <w:basedOn w:val="Normal"/>
    <w:rsid w:val="00567B39"/>
    <w:pPr>
      <w:pBdr>
        <w:top w:val="single" w:sz="4" w:space="0" w:color="auto"/>
        <w:bottom w:val="single" w:sz="4" w:space="0" w:color="auto"/>
      </w:pBdr>
      <w:spacing w:before="100" w:beforeAutospacing="1" w:after="100" w:afterAutospacing="1"/>
      <w:jc w:val="right"/>
      <w:textAlignment w:val="center"/>
    </w:pPr>
    <w:rPr>
      <w:rFonts w:eastAsia="Times New Roman"/>
      <w:b/>
      <w:bCs/>
      <w:szCs w:val="18"/>
      <w:lang w:eastAsia="zh-CN"/>
    </w:rPr>
  </w:style>
  <w:style w:type="paragraph" w:customStyle="1" w:styleId="xl101">
    <w:name w:val="xl101"/>
    <w:basedOn w:val="Normal"/>
    <w:rsid w:val="00567B39"/>
    <w:pPr>
      <w:pBdr>
        <w:top w:val="single" w:sz="4" w:space="0" w:color="auto"/>
        <w:bottom w:val="single" w:sz="4" w:space="0" w:color="auto"/>
        <w:right w:val="single" w:sz="4" w:space="0" w:color="auto"/>
      </w:pBdr>
      <w:spacing w:before="100" w:beforeAutospacing="1" w:after="100" w:afterAutospacing="1"/>
      <w:jc w:val="right"/>
      <w:textAlignment w:val="center"/>
    </w:pPr>
    <w:rPr>
      <w:rFonts w:eastAsia="Times New Roman"/>
      <w:b/>
      <w:bCs/>
      <w:szCs w:val="18"/>
      <w:lang w:eastAsia="zh-CN"/>
    </w:rPr>
  </w:style>
  <w:style w:type="paragraph" w:customStyle="1" w:styleId="xl102">
    <w:name w:val="xl102"/>
    <w:basedOn w:val="Normal"/>
    <w:rsid w:val="00567B39"/>
    <w:pPr>
      <w:spacing w:before="100" w:beforeAutospacing="1" w:after="100" w:afterAutospacing="1"/>
      <w:jc w:val="right"/>
      <w:textAlignment w:val="center"/>
    </w:pPr>
    <w:rPr>
      <w:rFonts w:eastAsia="Times New Roman"/>
      <w:b/>
      <w:bCs/>
      <w:szCs w:val="18"/>
      <w:lang w:eastAsia="zh-CN"/>
    </w:rPr>
  </w:style>
  <w:style w:type="paragraph" w:customStyle="1" w:styleId="xl103">
    <w:name w:val="xl103"/>
    <w:basedOn w:val="Normal"/>
    <w:rsid w:val="00567B39"/>
    <w:pPr>
      <w:spacing w:before="100" w:beforeAutospacing="1" w:after="100" w:afterAutospacing="1"/>
      <w:textAlignment w:val="center"/>
    </w:pPr>
    <w:rPr>
      <w:rFonts w:eastAsia="Times New Roman"/>
      <w:i/>
      <w:iCs/>
      <w:color w:val="FF0000"/>
      <w:szCs w:val="18"/>
      <w:lang w:eastAsia="zh-CN"/>
    </w:rPr>
  </w:style>
  <w:style w:type="paragraph" w:customStyle="1" w:styleId="xl104">
    <w:name w:val="xl104"/>
    <w:basedOn w:val="Normal"/>
    <w:rsid w:val="00567B39"/>
    <w:pPr>
      <w:spacing w:before="100" w:beforeAutospacing="1" w:after="100" w:afterAutospacing="1"/>
      <w:jc w:val="right"/>
      <w:textAlignment w:val="center"/>
    </w:pPr>
    <w:rPr>
      <w:rFonts w:eastAsia="Times New Roman"/>
      <w:i/>
      <w:iCs/>
      <w:color w:val="FF0000"/>
      <w:szCs w:val="18"/>
      <w:lang w:eastAsia="zh-CN"/>
    </w:rPr>
  </w:style>
  <w:style w:type="paragraph" w:customStyle="1" w:styleId="xl105">
    <w:name w:val="xl105"/>
    <w:basedOn w:val="Normal"/>
    <w:rsid w:val="00567B39"/>
    <w:pPr>
      <w:pBdr>
        <w:right w:val="single" w:sz="4" w:space="0" w:color="auto"/>
      </w:pBdr>
      <w:spacing w:before="100" w:beforeAutospacing="1" w:after="100" w:afterAutospacing="1"/>
      <w:jc w:val="right"/>
      <w:textAlignment w:val="center"/>
    </w:pPr>
    <w:rPr>
      <w:rFonts w:eastAsia="Times New Roman"/>
      <w:i/>
      <w:iCs/>
      <w:color w:val="FF0000"/>
      <w:szCs w:val="18"/>
      <w:lang w:eastAsia="zh-CN"/>
    </w:rPr>
  </w:style>
  <w:style w:type="paragraph" w:customStyle="1" w:styleId="xl106">
    <w:name w:val="xl106"/>
    <w:basedOn w:val="Normal"/>
    <w:rsid w:val="00567B39"/>
    <w:pPr>
      <w:spacing w:before="100" w:beforeAutospacing="1" w:after="100" w:afterAutospacing="1"/>
    </w:pPr>
    <w:rPr>
      <w:rFonts w:eastAsia="Times New Roman"/>
      <w:i/>
      <w:iCs/>
      <w:color w:val="FF0000"/>
      <w:szCs w:val="18"/>
      <w:lang w:eastAsia="zh-CN"/>
    </w:rPr>
  </w:style>
  <w:style w:type="paragraph" w:customStyle="1" w:styleId="xl107">
    <w:name w:val="xl107"/>
    <w:basedOn w:val="Normal"/>
    <w:rsid w:val="00567B39"/>
    <w:pPr>
      <w:spacing w:before="100" w:beforeAutospacing="1" w:after="100" w:afterAutospacing="1"/>
      <w:jc w:val="right"/>
      <w:textAlignment w:val="center"/>
    </w:pPr>
    <w:rPr>
      <w:rFonts w:eastAsia="Times New Roman"/>
      <w:szCs w:val="18"/>
      <w:lang w:eastAsia="zh-CN"/>
    </w:rPr>
  </w:style>
  <w:style w:type="paragraph" w:customStyle="1" w:styleId="xl108">
    <w:name w:val="xl108"/>
    <w:basedOn w:val="Normal"/>
    <w:rsid w:val="00567B39"/>
    <w:pPr>
      <w:pBdr>
        <w:right w:val="single" w:sz="4" w:space="0" w:color="auto"/>
      </w:pBdr>
      <w:spacing w:before="100" w:beforeAutospacing="1" w:after="100" w:afterAutospacing="1"/>
      <w:jc w:val="right"/>
      <w:textAlignment w:val="center"/>
    </w:pPr>
    <w:rPr>
      <w:rFonts w:eastAsia="Times New Roman"/>
      <w:szCs w:val="18"/>
      <w:lang w:eastAsia="zh-CN"/>
    </w:rPr>
  </w:style>
  <w:style w:type="paragraph" w:styleId="Revision">
    <w:name w:val="Revision"/>
    <w:hidden/>
    <w:uiPriority w:val="99"/>
    <w:semiHidden/>
    <w:rsid w:val="009748D2"/>
    <w:pPr>
      <w:spacing w:after="0" w:line="240" w:lineRule="auto"/>
    </w:pPr>
    <w:rPr>
      <w:rFonts w:ascii="Verdana" w:hAnsi="Verdana"/>
      <w:sz w:val="18"/>
    </w:rPr>
  </w:style>
  <w:style w:type="character" w:customStyle="1" w:styleId="Heading1Char">
    <w:name w:val="Heading 1 Char"/>
    <w:link w:val="Heading1"/>
    <w:uiPriority w:val="9"/>
    <w:rsid w:val="00BE1B87"/>
    <w:rPr>
      <w:rFonts w:ascii="Verdana" w:eastAsia="Times New Roman" w:hAnsi="Verdana" w:cs="Times New Roman"/>
      <w:b/>
      <w:bCs/>
      <w:color w:val="006283"/>
      <w:kern w:val="32"/>
      <w:sz w:val="18"/>
      <w:szCs w:val="32"/>
    </w:rPr>
  </w:style>
  <w:style w:type="character" w:customStyle="1" w:styleId="Heading2Char">
    <w:name w:val="Heading 2 Char"/>
    <w:link w:val="Heading2"/>
    <w:uiPriority w:val="9"/>
    <w:rsid w:val="00BE1B87"/>
    <w:rPr>
      <w:rFonts w:ascii="Verdana" w:eastAsia="Times New Roman" w:hAnsi="Verdana" w:cs="Times New Roman"/>
      <w:b/>
      <w:bCs/>
      <w:iCs/>
      <w:color w:val="006283"/>
      <w:sz w:val="18"/>
      <w:szCs w:val="28"/>
    </w:rPr>
  </w:style>
  <w:style w:type="character" w:customStyle="1" w:styleId="Heading3Char">
    <w:name w:val="Heading 3 Char"/>
    <w:link w:val="Heading3"/>
    <w:uiPriority w:val="9"/>
    <w:rsid w:val="00BE1B87"/>
    <w:rPr>
      <w:rFonts w:ascii="Verdana" w:eastAsia="Times New Roman" w:hAnsi="Verdana" w:cs="Times New Roman"/>
      <w:b/>
      <w:bCs/>
      <w:color w:val="006283"/>
      <w:sz w:val="18"/>
      <w:szCs w:val="26"/>
    </w:rPr>
  </w:style>
  <w:style w:type="character" w:customStyle="1" w:styleId="Heading4Char">
    <w:name w:val="Heading 4 Char"/>
    <w:link w:val="Heading4"/>
    <w:uiPriority w:val="9"/>
    <w:rsid w:val="00BE1B87"/>
    <w:rPr>
      <w:rFonts w:ascii="Verdana" w:eastAsia="Times New Roman" w:hAnsi="Verdana" w:cs="Times New Roman"/>
      <w:b/>
      <w:bCs/>
      <w:color w:val="006283"/>
      <w:sz w:val="18"/>
      <w:szCs w:val="28"/>
    </w:rPr>
  </w:style>
  <w:style w:type="character" w:customStyle="1" w:styleId="Heading5Char">
    <w:name w:val="Heading 5 Char"/>
    <w:link w:val="Heading5"/>
    <w:uiPriority w:val="9"/>
    <w:rsid w:val="00BE1B87"/>
    <w:rPr>
      <w:rFonts w:ascii="Verdana" w:eastAsia="Times New Roman" w:hAnsi="Verdana" w:cs="Times New Roman"/>
      <w:b/>
      <w:bCs/>
      <w:iCs/>
      <w:color w:val="006283"/>
      <w:sz w:val="18"/>
      <w:szCs w:val="26"/>
    </w:rPr>
  </w:style>
  <w:style w:type="character" w:customStyle="1" w:styleId="Heading6Char">
    <w:name w:val="Heading 6 Char"/>
    <w:link w:val="Heading6"/>
    <w:uiPriority w:val="9"/>
    <w:rsid w:val="00BE1B87"/>
    <w:rPr>
      <w:rFonts w:ascii="Verdana" w:eastAsia="Times New Roman" w:hAnsi="Verdana" w:cs="Times New Roman"/>
      <w:b/>
      <w:bCs/>
      <w:color w:val="006283"/>
      <w:sz w:val="18"/>
    </w:rPr>
  </w:style>
  <w:style w:type="character" w:customStyle="1" w:styleId="Heading7Char">
    <w:name w:val="Heading 7 Char"/>
    <w:basedOn w:val="DefaultParagraphFont"/>
    <w:link w:val="Heading7"/>
    <w:uiPriority w:val="2"/>
    <w:rsid w:val="00E850BB"/>
    <w:rPr>
      <w:rFonts w:ascii="Verdana" w:eastAsiaTheme="majorEastAsia" w:hAnsi="Verdana" w:cstheme="majorBidi"/>
      <w:b/>
      <w:iCs/>
      <w:color w:val="006283"/>
      <w:sz w:val="18"/>
    </w:rPr>
  </w:style>
  <w:style w:type="character" w:customStyle="1" w:styleId="Heading8Char">
    <w:name w:val="Heading 8 Char"/>
    <w:basedOn w:val="DefaultParagraphFont"/>
    <w:link w:val="Heading8"/>
    <w:uiPriority w:val="2"/>
    <w:rsid w:val="00E850BB"/>
    <w:rPr>
      <w:rFonts w:ascii="Verdana" w:eastAsiaTheme="majorEastAsia" w:hAnsi="Verdana" w:cstheme="majorBidi"/>
      <w:b/>
      <w:i/>
      <w:color w:val="006283"/>
      <w:sz w:val="18"/>
      <w:szCs w:val="20"/>
    </w:rPr>
  </w:style>
  <w:style w:type="character" w:customStyle="1" w:styleId="Heading9Char">
    <w:name w:val="Heading 9 Char"/>
    <w:basedOn w:val="DefaultParagraphFont"/>
    <w:link w:val="Heading9"/>
    <w:uiPriority w:val="2"/>
    <w:rsid w:val="00E850BB"/>
    <w:rPr>
      <w:rFonts w:ascii="Verdana" w:eastAsiaTheme="majorEastAsia" w:hAnsi="Verdana" w:cstheme="majorBidi"/>
      <w:b/>
      <w:iCs/>
      <w:color w:val="006283"/>
      <w:sz w:val="18"/>
      <w:szCs w:val="20"/>
      <w:u w:val="single"/>
    </w:rPr>
  </w:style>
  <w:style w:type="character" w:customStyle="1" w:styleId="TitleChar">
    <w:name w:val="Title Char"/>
    <w:basedOn w:val="DefaultParagraphFont"/>
    <w:link w:val="Title"/>
    <w:uiPriority w:val="5"/>
    <w:rsid w:val="00E850BB"/>
    <w:rPr>
      <w:rFonts w:ascii="Verdana" w:eastAsiaTheme="majorEastAsia" w:hAnsi="Verdana" w:cstheme="majorBidi"/>
      <w:b/>
      <w:caps/>
      <w:color w:val="006283"/>
      <w:kern w:val="28"/>
      <w:sz w:val="18"/>
      <w:szCs w:val="52"/>
    </w:rPr>
  </w:style>
  <w:style w:type="character" w:customStyle="1" w:styleId="BodyTextChar">
    <w:name w:val="Body Text Char"/>
    <w:link w:val="BodyText"/>
    <w:uiPriority w:val="99"/>
    <w:rsid w:val="00BE1B87"/>
    <w:rPr>
      <w:rFonts w:ascii="Verdana" w:eastAsia="Calibri" w:hAnsi="Verdana" w:cs="Times New Roman"/>
      <w:sz w:val="18"/>
    </w:rPr>
  </w:style>
  <w:style w:type="character" w:customStyle="1" w:styleId="BodyText2Char">
    <w:name w:val="Body Text 2 Char"/>
    <w:link w:val="BodyText2"/>
    <w:uiPriority w:val="99"/>
    <w:rsid w:val="00BE1B87"/>
    <w:rPr>
      <w:rFonts w:ascii="Verdana" w:eastAsia="Calibri" w:hAnsi="Verdana" w:cs="Times New Roman"/>
      <w:sz w:val="18"/>
    </w:rPr>
  </w:style>
  <w:style w:type="character" w:customStyle="1" w:styleId="BodyText3Char">
    <w:name w:val="Body Text 3 Char"/>
    <w:link w:val="BodyText3"/>
    <w:uiPriority w:val="99"/>
    <w:rsid w:val="00BE1B87"/>
    <w:rPr>
      <w:rFonts w:ascii="Verdana" w:eastAsia="Calibri" w:hAnsi="Verdana" w:cs="Times New Roman"/>
      <w:sz w:val="18"/>
      <w:szCs w:val="16"/>
    </w:rPr>
  </w:style>
  <w:style w:type="character" w:customStyle="1" w:styleId="FootnoteTextChar">
    <w:name w:val="Footnote Text Char"/>
    <w:link w:val="FootnoteText"/>
    <w:uiPriority w:val="99"/>
    <w:rsid w:val="00BE1B87"/>
    <w:rPr>
      <w:rFonts w:ascii="Verdana" w:eastAsia="Calibri" w:hAnsi="Verdana" w:cs="Times New Roman"/>
      <w:sz w:val="16"/>
      <w:szCs w:val="20"/>
    </w:rPr>
  </w:style>
  <w:style w:type="character" w:customStyle="1" w:styleId="EndnoteTextChar">
    <w:name w:val="Endnote Text Char"/>
    <w:basedOn w:val="DefaultParagraphFont"/>
    <w:link w:val="EndnoteText"/>
    <w:uiPriority w:val="99"/>
    <w:rsid w:val="00E850BB"/>
    <w:rPr>
      <w:rFonts w:ascii="Verdana" w:eastAsia="Calibri" w:hAnsi="Verdana" w:cs="Times New Roman"/>
      <w:sz w:val="16"/>
      <w:szCs w:val="20"/>
      <w:lang w:eastAsia="en-GB"/>
    </w:rPr>
  </w:style>
  <w:style w:type="character" w:customStyle="1" w:styleId="FooterChar">
    <w:name w:val="Footer Char"/>
    <w:basedOn w:val="DefaultParagraphFont"/>
    <w:link w:val="Footer"/>
    <w:uiPriority w:val="5"/>
    <w:rsid w:val="00E850BB"/>
    <w:rPr>
      <w:rFonts w:ascii="Verdana" w:eastAsia="Calibri" w:hAnsi="Verdana" w:cs="Times New Roman"/>
      <w:sz w:val="18"/>
      <w:szCs w:val="18"/>
      <w:lang w:eastAsia="en-GB"/>
    </w:rPr>
  </w:style>
  <w:style w:type="character" w:customStyle="1" w:styleId="HeaderChar">
    <w:name w:val="Header Char"/>
    <w:basedOn w:val="DefaultParagraphFont"/>
    <w:link w:val="Header"/>
    <w:uiPriority w:val="5"/>
    <w:rsid w:val="00E850BB"/>
    <w:rPr>
      <w:rFonts w:ascii="Verdana" w:eastAsia="Calibri" w:hAnsi="Verdana" w:cs="Times New Roman"/>
      <w:sz w:val="18"/>
      <w:szCs w:val="18"/>
      <w:lang w:eastAsia="en-GB"/>
    </w:rPr>
  </w:style>
  <w:style w:type="character" w:customStyle="1" w:styleId="BalloonTextChar">
    <w:name w:val="Balloon Text Char"/>
    <w:basedOn w:val="DefaultParagraphFont"/>
    <w:link w:val="BalloonText"/>
    <w:uiPriority w:val="99"/>
    <w:semiHidden/>
    <w:rsid w:val="00E850BB"/>
    <w:rPr>
      <w:rFonts w:ascii="Tahoma" w:hAnsi="Tahoma" w:cs="Tahoma"/>
      <w:sz w:val="16"/>
      <w:szCs w:val="16"/>
    </w:rPr>
  </w:style>
  <w:style w:type="character" w:customStyle="1" w:styleId="SubtitleChar">
    <w:name w:val="Subtitle Char"/>
    <w:basedOn w:val="DefaultParagraphFont"/>
    <w:link w:val="Subtitle"/>
    <w:uiPriority w:val="11"/>
    <w:rsid w:val="00E850BB"/>
    <w:rPr>
      <w:rFonts w:ascii="Verdana" w:eastAsiaTheme="majorEastAsia" w:hAnsi="Verdana" w:cstheme="majorBidi"/>
      <w:b/>
      <w:iCs/>
      <w:sz w:val="18"/>
      <w:szCs w:val="24"/>
    </w:rPr>
  </w:style>
  <w:style w:type="character" w:customStyle="1" w:styleId="BodyTextFirstIndentChar">
    <w:name w:val="Body Text First Indent Char"/>
    <w:basedOn w:val="BodyTextChar"/>
    <w:link w:val="BodyTextFirstIndent"/>
    <w:uiPriority w:val="99"/>
    <w:semiHidden/>
    <w:rsid w:val="00E850BB"/>
    <w:rPr>
      <w:rFonts w:ascii="Verdana" w:eastAsia="Calibri" w:hAnsi="Verdana" w:cs="Times New Roman"/>
      <w:sz w:val="18"/>
    </w:rPr>
  </w:style>
  <w:style w:type="character" w:customStyle="1" w:styleId="BodyTextIndentChar">
    <w:name w:val="Body Text Indent Char"/>
    <w:basedOn w:val="DefaultParagraphFont"/>
    <w:link w:val="BodyTextIndent"/>
    <w:uiPriority w:val="99"/>
    <w:semiHidden/>
    <w:rsid w:val="00E850BB"/>
    <w:rPr>
      <w:rFonts w:ascii="Verdana" w:hAnsi="Verdana"/>
      <w:sz w:val="18"/>
    </w:rPr>
  </w:style>
  <w:style w:type="character" w:customStyle="1" w:styleId="BodyTextFirstIndent2Char">
    <w:name w:val="Body Text First Indent 2 Char"/>
    <w:basedOn w:val="BodyTextIndentChar"/>
    <w:link w:val="BodyTextFirstIndent2"/>
    <w:uiPriority w:val="99"/>
    <w:semiHidden/>
    <w:rsid w:val="00E850BB"/>
    <w:rPr>
      <w:rFonts w:ascii="Verdana" w:hAnsi="Verdana"/>
      <w:sz w:val="18"/>
    </w:rPr>
  </w:style>
  <w:style w:type="character" w:customStyle="1" w:styleId="BodyTextIndent2Char">
    <w:name w:val="Body Text Indent 2 Char"/>
    <w:basedOn w:val="DefaultParagraphFont"/>
    <w:link w:val="BodyTextIndent2"/>
    <w:uiPriority w:val="99"/>
    <w:semiHidden/>
    <w:rsid w:val="00E850BB"/>
    <w:rPr>
      <w:rFonts w:ascii="Verdana" w:hAnsi="Verdana"/>
      <w:sz w:val="18"/>
    </w:rPr>
  </w:style>
  <w:style w:type="character" w:customStyle="1" w:styleId="BodyTextIndent3Char">
    <w:name w:val="Body Text Indent 3 Char"/>
    <w:basedOn w:val="DefaultParagraphFont"/>
    <w:link w:val="BodyTextIndent3"/>
    <w:uiPriority w:val="99"/>
    <w:semiHidden/>
    <w:rsid w:val="00E850BB"/>
    <w:rPr>
      <w:rFonts w:ascii="Verdana" w:hAnsi="Verdana"/>
      <w:sz w:val="16"/>
      <w:szCs w:val="16"/>
    </w:rPr>
  </w:style>
  <w:style w:type="character" w:customStyle="1" w:styleId="ClosingChar">
    <w:name w:val="Closing Char"/>
    <w:basedOn w:val="DefaultParagraphFont"/>
    <w:link w:val="Closing"/>
    <w:uiPriority w:val="99"/>
    <w:semiHidden/>
    <w:rsid w:val="00E850BB"/>
    <w:rPr>
      <w:rFonts w:ascii="Verdana" w:hAnsi="Verdana"/>
      <w:sz w:val="18"/>
    </w:rPr>
  </w:style>
  <w:style w:type="character" w:customStyle="1" w:styleId="CommentTextChar">
    <w:name w:val="Comment Text Char"/>
    <w:basedOn w:val="DefaultParagraphFont"/>
    <w:link w:val="CommentText"/>
    <w:uiPriority w:val="99"/>
    <w:rsid w:val="00E850BB"/>
    <w:rPr>
      <w:rFonts w:ascii="Verdana" w:hAnsi="Verdana"/>
      <w:sz w:val="20"/>
      <w:szCs w:val="20"/>
    </w:rPr>
  </w:style>
  <w:style w:type="character" w:customStyle="1" w:styleId="CommentSubjectChar">
    <w:name w:val="Comment Subject Char"/>
    <w:basedOn w:val="CommentTextChar"/>
    <w:link w:val="CommentSubject"/>
    <w:uiPriority w:val="99"/>
    <w:rsid w:val="00E850BB"/>
    <w:rPr>
      <w:rFonts w:ascii="Verdana" w:hAnsi="Verdana"/>
      <w:b/>
      <w:bCs/>
      <w:sz w:val="20"/>
      <w:szCs w:val="20"/>
    </w:rPr>
  </w:style>
  <w:style w:type="character" w:customStyle="1" w:styleId="DateChar">
    <w:name w:val="Date Char"/>
    <w:basedOn w:val="DefaultParagraphFont"/>
    <w:link w:val="Date"/>
    <w:uiPriority w:val="99"/>
    <w:semiHidden/>
    <w:rsid w:val="00E850BB"/>
    <w:rPr>
      <w:rFonts w:ascii="Verdana" w:hAnsi="Verdana"/>
      <w:sz w:val="18"/>
    </w:rPr>
  </w:style>
  <w:style w:type="character" w:customStyle="1" w:styleId="DocumentMapChar">
    <w:name w:val="Document Map Char"/>
    <w:basedOn w:val="DefaultParagraphFont"/>
    <w:link w:val="DocumentMap"/>
    <w:uiPriority w:val="99"/>
    <w:semiHidden/>
    <w:rsid w:val="00E850BB"/>
    <w:rPr>
      <w:rFonts w:ascii="Tahoma" w:hAnsi="Tahoma" w:cs="Tahoma"/>
      <w:sz w:val="16"/>
      <w:szCs w:val="16"/>
    </w:rPr>
  </w:style>
  <w:style w:type="character" w:customStyle="1" w:styleId="E-mailSignatureChar">
    <w:name w:val="E-mail Signature Char"/>
    <w:basedOn w:val="DefaultParagraphFont"/>
    <w:link w:val="E-mailSignature"/>
    <w:uiPriority w:val="99"/>
    <w:semiHidden/>
    <w:rsid w:val="00E850BB"/>
    <w:rPr>
      <w:rFonts w:ascii="Verdana" w:hAnsi="Verdana"/>
      <w:sz w:val="18"/>
    </w:rPr>
  </w:style>
  <w:style w:type="character" w:customStyle="1" w:styleId="HTMLAddressChar">
    <w:name w:val="HTML Address Char"/>
    <w:basedOn w:val="DefaultParagraphFont"/>
    <w:link w:val="HTMLAddress"/>
    <w:uiPriority w:val="99"/>
    <w:semiHidden/>
    <w:rsid w:val="00E850BB"/>
    <w:rPr>
      <w:rFonts w:ascii="Verdana" w:hAnsi="Verdana"/>
      <w:i/>
      <w:iCs/>
      <w:sz w:val="18"/>
    </w:rPr>
  </w:style>
  <w:style w:type="character" w:customStyle="1" w:styleId="HTMLPreformattedChar">
    <w:name w:val="HTML Preformatted Char"/>
    <w:basedOn w:val="DefaultParagraphFont"/>
    <w:link w:val="HTMLPreformatted"/>
    <w:uiPriority w:val="99"/>
    <w:semiHidden/>
    <w:rsid w:val="00E850BB"/>
    <w:rPr>
      <w:rFonts w:ascii="Consolas" w:hAnsi="Consolas" w:cs="Consolas"/>
      <w:sz w:val="20"/>
      <w:szCs w:val="20"/>
    </w:rPr>
  </w:style>
  <w:style w:type="character" w:customStyle="1" w:styleId="IntenseQuoteChar">
    <w:name w:val="Intense Quote Char"/>
    <w:basedOn w:val="DefaultParagraphFont"/>
    <w:link w:val="IntenseQuote"/>
    <w:uiPriority w:val="99"/>
    <w:rsid w:val="00E850BB"/>
    <w:rPr>
      <w:rFonts w:ascii="Verdana" w:hAnsi="Verdana"/>
      <w:b/>
      <w:bCs/>
      <w:i/>
      <w:iCs/>
      <w:color w:val="4F81BD" w:themeColor="accent1"/>
      <w:sz w:val="18"/>
    </w:rPr>
  </w:style>
  <w:style w:type="character" w:customStyle="1" w:styleId="MacroTextChar">
    <w:name w:val="Macro Text Char"/>
    <w:basedOn w:val="DefaultParagraphFont"/>
    <w:link w:val="MacroText"/>
    <w:uiPriority w:val="99"/>
    <w:semiHidden/>
    <w:rsid w:val="00E850BB"/>
    <w:rPr>
      <w:rFonts w:ascii="Consolas" w:hAnsi="Consolas" w:cs="Consolas"/>
      <w:sz w:val="20"/>
      <w:szCs w:val="20"/>
    </w:rPr>
  </w:style>
  <w:style w:type="character" w:customStyle="1" w:styleId="MessageHeaderChar">
    <w:name w:val="Message Header Char"/>
    <w:basedOn w:val="DefaultParagraphFont"/>
    <w:link w:val="MessageHeader"/>
    <w:uiPriority w:val="99"/>
    <w:semiHidden/>
    <w:rsid w:val="00E850BB"/>
    <w:rPr>
      <w:rFonts w:asciiTheme="majorHAnsi" w:eastAsiaTheme="majorEastAsia" w:hAnsiTheme="majorHAnsi" w:cstheme="majorBidi"/>
      <w:sz w:val="24"/>
      <w:szCs w:val="24"/>
      <w:shd w:val="pct20" w:color="auto" w:fill="auto"/>
    </w:rPr>
  </w:style>
  <w:style w:type="character" w:customStyle="1" w:styleId="NoteHeadingChar">
    <w:name w:val="Note Heading Char"/>
    <w:basedOn w:val="DefaultParagraphFont"/>
    <w:link w:val="NoteHeading"/>
    <w:uiPriority w:val="99"/>
    <w:semiHidden/>
    <w:rsid w:val="00E850BB"/>
    <w:rPr>
      <w:rFonts w:ascii="Verdana" w:hAnsi="Verdana"/>
      <w:sz w:val="18"/>
    </w:rPr>
  </w:style>
  <w:style w:type="character" w:customStyle="1" w:styleId="PlainTextChar">
    <w:name w:val="Plain Text Char"/>
    <w:basedOn w:val="DefaultParagraphFont"/>
    <w:link w:val="PlainText"/>
    <w:uiPriority w:val="99"/>
    <w:rsid w:val="00E850BB"/>
    <w:rPr>
      <w:rFonts w:ascii="Consolas" w:hAnsi="Consolas" w:cs="Consolas"/>
      <w:sz w:val="21"/>
      <w:szCs w:val="21"/>
    </w:rPr>
  </w:style>
  <w:style w:type="character" w:customStyle="1" w:styleId="QuoteChar">
    <w:name w:val="Quote Char"/>
    <w:basedOn w:val="DefaultParagraphFont"/>
    <w:link w:val="Quote"/>
    <w:uiPriority w:val="99"/>
    <w:rsid w:val="00E850BB"/>
    <w:rPr>
      <w:rFonts w:ascii="Verdana" w:hAnsi="Verdana"/>
      <w:i/>
      <w:iCs/>
      <w:color w:val="000000" w:themeColor="text1"/>
      <w:sz w:val="18"/>
    </w:rPr>
  </w:style>
  <w:style w:type="character" w:customStyle="1" w:styleId="SalutationChar">
    <w:name w:val="Salutation Char"/>
    <w:basedOn w:val="DefaultParagraphFont"/>
    <w:link w:val="Salutation"/>
    <w:uiPriority w:val="99"/>
    <w:semiHidden/>
    <w:rsid w:val="00E850BB"/>
    <w:rPr>
      <w:rFonts w:ascii="Verdana" w:hAnsi="Verdana"/>
      <w:sz w:val="18"/>
    </w:rPr>
  </w:style>
  <w:style w:type="character" w:customStyle="1" w:styleId="SignatureChar">
    <w:name w:val="Signature Char"/>
    <w:basedOn w:val="DefaultParagraphFont"/>
    <w:link w:val="Signature"/>
    <w:uiPriority w:val="99"/>
    <w:semiHidden/>
    <w:rsid w:val="00E850BB"/>
    <w:rPr>
      <w:rFonts w:ascii="Verdana" w:hAnsi="Verdana"/>
      <w:sz w:val="18"/>
    </w:rPr>
  </w:style>
  <w:style w:type="character" w:customStyle="1" w:styleId="AnswerChar">
    <w:name w:val="Answer Char"/>
    <w:link w:val="Answer"/>
    <w:uiPriority w:val="6"/>
    <w:rsid w:val="002F793E"/>
    <w:rPr>
      <w:rFonts w:ascii="Verdana" w:eastAsia="Calibri" w:hAnsi="Verdana" w:cs="Times New Roman"/>
      <w:sz w:val="18"/>
    </w:rPr>
  </w:style>
  <w:style w:type="character" w:customStyle="1" w:styleId="FollowUpChar">
    <w:name w:val="FollowUp Char"/>
    <w:link w:val="FollowUp"/>
    <w:uiPriority w:val="6"/>
    <w:rsid w:val="002F793E"/>
    <w:rPr>
      <w:rFonts w:ascii="Verdana" w:eastAsia="Calibri" w:hAnsi="Verdana" w:cs="Times New Roman"/>
      <w:i/>
      <w:sz w:val="18"/>
    </w:rPr>
  </w:style>
  <w:style w:type="paragraph" w:customStyle="1" w:styleId="Query">
    <w:name w:val="Query"/>
    <w:qFormat/>
    <w:rsid w:val="002F793E"/>
    <w:pPr>
      <w:numPr>
        <w:numId w:val="32"/>
      </w:numPr>
      <w:spacing w:before="240"/>
      <w:jc w:val="both"/>
    </w:pPr>
    <w:rPr>
      <w:rFonts w:ascii="Verdana" w:eastAsiaTheme="minorEastAsia" w:hAnsi="Verdana"/>
      <w:sz w:val="18"/>
      <w:u w:val="single"/>
      <w:lang w:eastAsia="ja-JP"/>
    </w:rPr>
  </w:style>
  <w:style w:type="paragraph" w:customStyle="1" w:styleId="IneraTableMultiPar">
    <w:name w:val="IneraTableMultiPar"/>
    <w:basedOn w:val="Normal"/>
    <w:link w:val="IneraTableMultiParChar"/>
    <w:rsid w:val="00D5600E"/>
    <w:pPr>
      <w:tabs>
        <w:tab w:val="right" w:pos="9027"/>
      </w:tabs>
      <w:ind w:right="95"/>
    </w:pPr>
    <w:rPr>
      <w:noProof/>
      <w:szCs w:val="24"/>
      <w:lang w:eastAsia="en-GB"/>
    </w:rPr>
  </w:style>
  <w:style w:type="character" w:customStyle="1" w:styleId="CaptionChar">
    <w:name w:val="Caption Char"/>
    <w:basedOn w:val="DefaultParagraphFont"/>
    <w:link w:val="Caption"/>
    <w:uiPriority w:val="6"/>
    <w:rsid w:val="00BE1B87"/>
    <w:rPr>
      <w:rFonts w:ascii="Verdana" w:eastAsia="Times New Roman" w:hAnsi="Verdana" w:cs="Times New Roman"/>
      <w:b/>
      <w:bCs/>
      <w:color w:val="006283"/>
      <w:sz w:val="18"/>
      <w:szCs w:val="20"/>
      <w:lang w:eastAsia="en-GB"/>
    </w:rPr>
  </w:style>
  <w:style w:type="character" w:customStyle="1" w:styleId="TableofFiguresChar">
    <w:name w:val="Table of Figures Char"/>
    <w:basedOn w:val="DefaultParagraphFont"/>
    <w:link w:val="TableofFigures"/>
    <w:uiPriority w:val="99"/>
    <w:rsid w:val="00D5600E"/>
    <w:rPr>
      <w:rFonts w:ascii="Verdana" w:eastAsia="Times New Roman" w:hAnsi="Verdana" w:cs="Times New Roman"/>
      <w:sz w:val="18"/>
      <w:szCs w:val="20"/>
      <w:lang w:eastAsia="en-GB"/>
    </w:rPr>
  </w:style>
  <w:style w:type="paragraph" w:customStyle="1" w:styleId="BaseHeading">
    <w:name w:val="Base_Heading"/>
    <w:rsid w:val="00BE1B87"/>
    <w:pPr>
      <w:spacing w:after="0" w:line="240" w:lineRule="auto"/>
      <w:outlineLvl w:val="0"/>
    </w:pPr>
    <w:rPr>
      <w:rFonts w:ascii="Verdana" w:eastAsia="Calibri" w:hAnsi="Verdana" w:cs="Times New Roman"/>
      <w:sz w:val="18"/>
    </w:rPr>
  </w:style>
  <w:style w:type="paragraph" w:customStyle="1" w:styleId="BaseText">
    <w:name w:val="Base_Text"/>
    <w:rsid w:val="00BE1B87"/>
    <w:pPr>
      <w:spacing w:after="0" w:line="240" w:lineRule="auto"/>
    </w:pPr>
    <w:rPr>
      <w:rFonts w:ascii="Verdana" w:eastAsia="Calibri" w:hAnsi="Verdana" w:cs="Times New Roman"/>
      <w:sz w:val="18"/>
    </w:rPr>
  </w:style>
  <w:style w:type="paragraph" w:customStyle="1" w:styleId="Abbreviation">
    <w:name w:val="Abbreviation"/>
    <w:basedOn w:val="BaseText"/>
    <w:qFormat/>
    <w:rsid w:val="00BE1B87"/>
    <w:pPr>
      <w:spacing w:after="240"/>
    </w:pPr>
  </w:style>
  <w:style w:type="paragraph" w:customStyle="1" w:styleId="AbbreviationsTitle">
    <w:name w:val="AbbreviationsTitle"/>
    <w:basedOn w:val="BaseHeading"/>
    <w:next w:val="Abbreviation"/>
    <w:qFormat/>
    <w:rsid w:val="00BE1B87"/>
    <w:pPr>
      <w:keepNext/>
      <w:spacing w:after="240"/>
    </w:pPr>
    <w:rPr>
      <w:b/>
    </w:rPr>
  </w:style>
  <w:style w:type="paragraph" w:customStyle="1" w:styleId="Acknowledgments">
    <w:name w:val="Acknowledgments"/>
    <w:basedOn w:val="BaseText"/>
    <w:rsid w:val="00BE1B87"/>
    <w:pPr>
      <w:spacing w:after="240"/>
    </w:pPr>
    <w:rPr>
      <w:szCs w:val="24"/>
    </w:rPr>
  </w:style>
  <w:style w:type="paragraph" w:customStyle="1" w:styleId="AcknowledgmentsTitle">
    <w:name w:val="AcknowledgmentsTitle"/>
    <w:basedOn w:val="BaseHeading"/>
    <w:next w:val="Acknowledgments"/>
    <w:qFormat/>
    <w:rsid w:val="00BE1B87"/>
    <w:pPr>
      <w:keepNext/>
      <w:spacing w:after="240"/>
      <w:jc w:val="center"/>
    </w:pPr>
    <w:rPr>
      <w:b/>
      <w:color w:val="006283"/>
    </w:rPr>
  </w:style>
  <w:style w:type="character" w:customStyle="1" w:styleId="afaddr-line">
    <w:name w:val="af_addr-line"/>
    <w:rsid w:val="00BE1B87"/>
    <w:rPr>
      <w:bdr w:val="none" w:sz="0" w:space="0" w:color="auto"/>
      <w:shd w:val="clear" w:color="auto" w:fill="FFFF99"/>
    </w:rPr>
  </w:style>
  <w:style w:type="character" w:customStyle="1" w:styleId="afbase">
    <w:name w:val="af_base"/>
    <w:rsid w:val="00BE1B87"/>
  </w:style>
  <w:style w:type="character" w:customStyle="1" w:styleId="afcity">
    <w:name w:val="af_city"/>
    <w:rsid w:val="00BE1B87"/>
    <w:rPr>
      <w:bdr w:val="none" w:sz="0" w:space="0" w:color="auto"/>
      <w:shd w:val="clear" w:color="auto" w:fill="81E7FF"/>
    </w:rPr>
  </w:style>
  <w:style w:type="character" w:customStyle="1" w:styleId="afcountry">
    <w:name w:val="af_country"/>
    <w:rsid w:val="00BE1B87"/>
    <w:rPr>
      <w:bdr w:val="none" w:sz="0" w:space="0" w:color="auto"/>
      <w:shd w:val="clear" w:color="auto" w:fill="D7AFFF"/>
    </w:rPr>
  </w:style>
  <w:style w:type="character" w:customStyle="1" w:styleId="affax">
    <w:name w:val="af_fax"/>
    <w:rsid w:val="00BE1B87"/>
    <w:rPr>
      <w:bdr w:val="none" w:sz="0" w:space="0" w:color="auto"/>
      <w:shd w:val="clear" w:color="auto" w:fill="81E7FF"/>
    </w:rPr>
  </w:style>
  <w:style w:type="character" w:customStyle="1" w:styleId="afinstitution">
    <w:name w:val="af_institution"/>
    <w:rsid w:val="00BE1B87"/>
    <w:rPr>
      <w:bdr w:val="none" w:sz="0" w:space="0" w:color="auto"/>
      <w:shd w:val="clear" w:color="auto" w:fill="75FF75"/>
    </w:rPr>
  </w:style>
  <w:style w:type="character" w:customStyle="1" w:styleId="afphone">
    <w:name w:val="af_phone"/>
    <w:rsid w:val="00BE1B87"/>
    <w:rPr>
      <w:bdr w:val="none" w:sz="0" w:space="0" w:color="auto"/>
      <w:shd w:val="clear" w:color="auto" w:fill="FF75FF"/>
    </w:rPr>
  </w:style>
  <w:style w:type="character" w:customStyle="1" w:styleId="afpostcode">
    <w:name w:val="af_postcode"/>
    <w:rsid w:val="00BE1B87"/>
    <w:rPr>
      <w:bdr w:val="none" w:sz="0" w:space="0" w:color="auto"/>
      <w:shd w:val="clear" w:color="auto" w:fill="FF75FF"/>
    </w:rPr>
  </w:style>
  <w:style w:type="character" w:customStyle="1" w:styleId="afstate">
    <w:name w:val="af_state"/>
    <w:rsid w:val="00BE1B87"/>
    <w:rPr>
      <w:bdr w:val="none" w:sz="0" w:space="0" w:color="auto"/>
      <w:shd w:val="clear" w:color="auto" w:fill="75FF75"/>
    </w:rPr>
  </w:style>
  <w:style w:type="paragraph" w:customStyle="1" w:styleId="AnnexDate">
    <w:name w:val="AnnexDate"/>
    <w:basedOn w:val="BaseHeading"/>
    <w:next w:val="Normal"/>
    <w:qFormat/>
    <w:rsid w:val="00BE1B87"/>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BE1B87"/>
    <w:pPr>
      <w:spacing w:after="240"/>
    </w:pPr>
  </w:style>
  <w:style w:type="paragraph" w:customStyle="1" w:styleId="AnnexHead1">
    <w:name w:val="AnnexHead1"/>
    <w:basedOn w:val="Normal"/>
    <w:rsid w:val="00BE1B87"/>
    <w:pPr>
      <w:keepNext/>
      <w:spacing w:after="240"/>
      <w:outlineLvl w:val="0"/>
    </w:pPr>
    <w:rPr>
      <w:b/>
      <w:caps/>
      <w:color w:val="006283"/>
      <w:szCs w:val="24"/>
    </w:rPr>
  </w:style>
  <w:style w:type="paragraph" w:customStyle="1" w:styleId="AnnexHead2">
    <w:name w:val="AnnexHead2"/>
    <w:basedOn w:val="Normal"/>
    <w:rsid w:val="00BE1B87"/>
    <w:pPr>
      <w:keepNext/>
      <w:spacing w:after="240"/>
      <w:outlineLvl w:val="1"/>
    </w:pPr>
    <w:rPr>
      <w:b/>
      <w:color w:val="006283"/>
      <w:szCs w:val="24"/>
    </w:rPr>
  </w:style>
  <w:style w:type="paragraph" w:customStyle="1" w:styleId="AnnexHead3">
    <w:name w:val="AnnexHead3"/>
    <w:basedOn w:val="Normal"/>
    <w:rsid w:val="00BE1B87"/>
    <w:pPr>
      <w:keepNext/>
      <w:spacing w:after="240"/>
      <w:outlineLvl w:val="2"/>
    </w:pPr>
    <w:rPr>
      <w:b/>
      <w:color w:val="006283"/>
      <w:szCs w:val="24"/>
    </w:rPr>
  </w:style>
  <w:style w:type="paragraph" w:customStyle="1" w:styleId="AnnexHead4">
    <w:name w:val="AnnexHead4"/>
    <w:basedOn w:val="Normal"/>
    <w:rsid w:val="00BE1B87"/>
    <w:pPr>
      <w:keepNext/>
      <w:spacing w:after="240"/>
      <w:outlineLvl w:val="3"/>
    </w:pPr>
    <w:rPr>
      <w:b/>
      <w:color w:val="006283"/>
      <w:szCs w:val="24"/>
    </w:rPr>
  </w:style>
  <w:style w:type="paragraph" w:customStyle="1" w:styleId="AnnexHead5">
    <w:name w:val="AnnexHead5"/>
    <w:basedOn w:val="Normal"/>
    <w:rsid w:val="00BE1B87"/>
    <w:pPr>
      <w:keepNext/>
      <w:spacing w:after="240"/>
      <w:outlineLvl w:val="4"/>
    </w:pPr>
    <w:rPr>
      <w:b/>
      <w:color w:val="006283"/>
      <w:szCs w:val="24"/>
    </w:rPr>
  </w:style>
  <w:style w:type="paragraph" w:customStyle="1" w:styleId="AnnexSubtitle">
    <w:name w:val="AnnexSubtitle"/>
    <w:basedOn w:val="BaseHeading"/>
    <w:next w:val="Normal"/>
    <w:qFormat/>
    <w:rsid w:val="00BE1B87"/>
    <w:pPr>
      <w:keepNext/>
      <w:spacing w:after="240"/>
      <w:jc w:val="center"/>
    </w:pPr>
    <w:rPr>
      <w:color w:val="006283"/>
    </w:rPr>
  </w:style>
  <w:style w:type="paragraph" w:customStyle="1" w:styleId="AnnexText">
    <w:name w:val="AnnexText"/>
    <w:basedOn w:val="BaseText"/>
    <w:rsid w:val="00BE1B87"/>
    <w:pPr>
      <w:spacing w:after="240"/>
    </w:pPr>
    <w:rPr>
      <w:szCs w:val="24"/>
    </w:rPr>
  </w:style>
  <w:style w:type="paragraph" w:customStyle="1" w:styleId="AnnexTitle">
    <w:name w:val="AnnexTitle"/>
    <w:basedOn w:val="BaseHeading"/>
    <w:next w:val="AnnexText"/>
    <w:rsid w:val="00BE1B87"/>
    <w:pPr>
      <w:keepNext/>
      <w:spacing w:before="480" w:after="240"/>
      <w:jc w:val="center"/>
    </w:pPr>
    <w:rPr>
      <w:b/>
      <w:color w:val="006283"/>
      <w:szCs w:val="24"/>
    </w:rPr>
  </w:style>
  <w:style w:type="character" w:customStyle="1" w:styleId="aubase">
    <w:name w:val="au_base"/>
    <w:rsid w:val="00BE1B87"/>
  </w:style>
  <w:style w:type="character" w:customStyle="1" w:styleId="aucollab">
    <w:name w:val="au_collab"/>
    <w:rsid w:val="00BE1B87"/>
    <w:rPr>
      <w:bdr w:val="none" w:sz="0" w:space="0" w:color="auto"/>
      <w:shd w:val="clear" w:color="auto" w:fill="C0C0C0"/>
    </w:rPr>
  </w:style>
  <w:style w:type="character" w:customStyle="1" w:styleId="aucountry">
    <w:name w:val="au_country"/>
    <w:uiPriority w:val="1"/>
    <w:qFormat/>
    <w:rsid w:val="00BE1B87"/>
    <w:rPr>
      <w:rFonts w:ascii="Verdana" w:eastAsia="MS Mincho" w:hAnsi="Verdana"/>
      <w:color w:val="auto"/>
      <w:sz w:val="18"/>
      <w:szCs w:val="20"/>
      <w:shd w:val="clear" w:color="auto" w:fill="FFCC99"/>
    </w:rPr>
  </w:style>
  <w:style w:type="character" w:customStyle="1" w:styleId="audeg">
    <w:name w:val="au_deg"/>
    <w:rsid w:val="00BE1B87"/>
    <w:rPr>
      <w:bdr w:val="none" w:sz="0" w:space="0" w:color="auto"/>
      <w:shd w:val="clear" w:color="auto" w:fill="FFFF00"/>
    </w:rPr>
  </w:style>
  <w:style w:type="character" w:customStyle="1" w:styleId="aufname">
    <w:name w:val="au_fname"/>
    <w:rsid w:val="00BE1B87"/>
    <w:rPr>
      <w:bdr w:val="none" w:sz="0" w:space="0" w:color="auto"/>
      <w:shd w:val="clear" w:color="auto" w:fill="FFFFCC"/>
    </w:rPr>
  </w:style>
  <w:style w:type="character" w:customStyle="1" w:styleId="aumember">
    <w:name w:val="au_member"/>
    <w:rsid w:val="00BE1B87"/>
    <w:rPr>
      <w:bdr w:val="none" w:sz="0" w:space="0" w:color="auto"/>
      <w:shd w:val="clear" w:color="auto" w:fill="FF99CC"/>
    </w:rPr>
  </w:style>
  <w:style w:type="character" w:customStyle="1" w:styleId="auprefix">
    <w:name w:val="au_prefix"/>
    <w:rsid w:val="00BE1B87"/>
    <w:rPr>
      <w:bdr w:val="none" w:sz="0" w:space="0" w:color="auto"/>
      <w:shd w:val="clear" w:color="auto" w:fill="FFCC99"/>
    </w:rPr>
  </w:style>
  <w:style w:type="character" w:customStyle="1" w:styleId="aurole">
    <w:name w:val="au_role"/>
    <w:rsid w:val="00BE1B87"/>
    <w:rPr>
      <w:bdr w:val="none" w:sz="0" w:space="0" w:color="auto"/>
      <w:shd w:val="clear" w:color="auto" w:fill="808000"/>
    </w:rPr>
  </w:style>
  <w:style w:type="character" w:customStyle="1" w:styleId="ausuffix">
    <w:name w:val="au_suffix"/>
    <w:rsid w:val="00BE1B87"/>
    <w:rPr>
      <w:bdr w:val="none" w:sz="0" w:space="0" w:color="auto"/>
      <w:shd w:val="clear" w:color="auto" w:fill="FF00FF"/>
    </w:rPr>
  </w:style>
  <w:style w:type="character" w:customStyle="1" w:styleId="ausurname">
    <w:name w:val="au_surname"/>
    <w:rsid w:val="00BE1B87"/>
    <w:rPr>
      <w:bdr w:val="none" w:sz="0" w:space="0" w:color="auto"/>
      <w:shd w:val="clear" w:color="auto" w:fill="CCFF99"/>
    </w:rPr>
  </w:style>
  <w:style w:type="character" w:customStyle="1" w:styleId="bibaccess-date">
    <w:name w:val="bib_access-date"/>
    <w:rsid w:val="00BE1B87"/>
    <w:rPr>
      <w:bdr w:val="none" w:sz="0" w:space="0" w:color="auto"/>
      <w:shd w:val="clear" w:color="auto" w:fill="C099F9"/>
    </w:rPr>
  </w:style>
  <w:style w:type="character" w:customStyle="1" w:styleId="bibalt-year">
    <w:name w:val="bib_alt-year"/>
    <w:rsid w:val="00BE1B87"/>
    <w:rPr>
      <w:szCs w:val="24"/>
      <w:bdr w:val="none" w:sz="0" w:space="0" w:color="auto"/>
      <w:shd w:val="clear" w:color="auto" w:fill="FEB8FB"/>
    </w:rPr>
  </w:style>
  <w:style w:type="character" w:customStyle="1" w:styleId="bibarticle">
    <w:name w:val="bib_article"/>
    <w:rsid w:val="00BE1B87"/>
    <w:rPr>
      <w:bdr w:val="none" w:sz="0" w:space="0" w:color="auto"/>
      <w:shd w:val="clear" w:color="auto" w:fill="CCFFFF"/>
    </w:rPr>
  </w:style>
  <w:style w:type="character" w:customStyle="1" w:styleId="bibbase">
    <w:name w:val="bib_base"/>
    <w:rsid w:val="00BE1B87"/>
  </w:style>
  <w:style w:type="character" w:customStyle="1" w:styleId="bibbook">
    <w:name w:val="bib_book"/>
    <w:rsid w:val="00BE1B87"/>
    <w:rPr>
      <w:bdr w:val="none" w:sz="0" w:space="0" w:color="auto"/>
      <w:shd w:val="clear" w:color="auto" w:fill="99CCFF"/>
    </w:rPr>
  </w:style>
  <w:style w:type="character" w:customStyle="1" w:styleId="bibchapterno">
    <w:name w:val="bib_chapterno"/>
    <w:rsid w:val="00BE1B87"/>
    <w:rPr>
      <w:bdr w:val="none" w:sz="0" w:space="0" w:color="auto"/>
      <w:shd w:val="clear" w:color="auto" w:fill="D9D9D9"/>
    </w:rPr>
  </w:style>
  <w:style w:type="character" w:customStyle="1" w:styleId="bibchaptertitle">
    <w:name w:val="bib_chaptertitle"/>
    <w:rsid w:val="00BE1B87"/>
    <w:rPr>
      <w:bdr w:val="none" w:sz="0" w:space="0" w:color="auto"/>
      <w:shd w:val="clear" w:color="auto" w:fill="FF9D5B"/>
    </w:rPr>
  </w:style>
  <w:style w:type="character" w:customStyle="1" w:styleId="bibcomment">
    <w:name w:val="bib_comment"/>
    <w:rsid w:val="00BE1B87"/>
    <w:rPr>
      <w:bdr w:val="none" w:sz="0" w:space="0" w:color="auto"/>
      <w:shd w:val="clear" w:color="auto" w:fill="E0E0E0"/>
    </w:rPr>
  </w:style>
  <w:style w:type="character" w:customStyle="1" w:styleId="bibconfacronym">
    <w:name w:val="bib_confacronym"/>
    <w:rsid w:val="00BE1B87"/>
    <w:rPr>
      <w:bdr w:val="none" w:sz="0" w:space="0" w:color="auto"/>
      <w:shd w:val="clear" w:color="auto" w:fill="FD77F3"/>
    </w:rPr>
  </w:style>
  <w:style w:type="character" w:customStyle="1" w:styleId="bibconfdate">
    <w:name w:val="bib_confdate"/>
    <w:rsid w:val="00BE1B87"/>
    <w:rPr>
      <w:bdr w:val="none" w:sz="0" w:space="0" w:color="auto"/>
      <w:shd w:val="clear" w:color="auto" w:fill="3CE0C1"/>
    </w:rPr>
  </w:style>
  <w:style w:type="character" w:customStyle="1" w:styleId="bibconference">
    <w:name w:val="bib_conference"/>
    <w:rsid w:val="00BE1B87"/>
    <w:rPr>
      <w:bdr w:val="none" w:sz="0" w:space="0" w:color="auto"/>
      <w:shd w:val="clear" w:color="auto" w:fill="9CB3FE"/>
    </w:rPr>
  </w:style>
  <w:style w:type="character" w:customStyle="1" w:styleId="bibconflocation">
    <w:name w:val="bib_conflocation"/>
    <w:rsid w:val="00BE1B87"/>
    <w:rPr>
      <w:bdr w:val="none" w:sz="0" w:space="0" w:color="auto"/>
      <w:shd w:val="clear" w:color="auto" w:fill="EC493C"/>
    </w:rPr>
  </w:style>
  <w:style w:type="character" w:customStyle="1" w:styleId="bibconfpaper">
    <w:name w:val="bib_confpaper"/>
    <w:rsid w:val="00BE1B87"/>
    <w:rPr>
      <w:bdr w:val="none" w:sz="0" w:space="0" w:color="auto"/>
      <w:shd w:val="clear" w:color="auto" w:fill="61FF65"/>
    </w:rPr>
  </w:style>
  <w:style w:type="character" w:customStyle="1" w:styleId="bibconfproceedings">
    <w:name w:val="bib_confproceedings"/>
    <w:rsid w:val="00BE1B87"/>
    <w:rPr>
      <w:bdr w:val="none" w:sz="0" w:space="0" w:color="auto"/>
      <w:shd w:val="clear" w:color="auto" w:fill="FDBA35"/>
    </w:rPr>
  </w:style>
  <w:style w:type="character" w:customStyle="1" w:styleId="bibday">
    <w:name w:val="bib_day"/>
    <w:rsid w:val="00BE1B87"/>
    <w:rPr>
      <w:bdr w:val="none" w:sz="0" w:space="0" w:color="auto"/>
      <w:shd w:val="clear" w:color="auto" w:fill="FFFF66"/>
    </w:rPr>
  </w:style>
  <w:style w:type="character" w:customStyle="1" w:styleId="bibdoi">
    <w:name w:val="bib_doi"/>
    <w:rsid w:val="00BE1B87"/>
    <w:rPr>
      <w:bdr w:val="none" w:sz="0" w:space="0" w:color="auto"/>
      <w:shd w:val="clear" w:color="auto" w:fill="CCFFCC"/>
    </w:rPr>
  </w:style>
  <w:style w:type="character" w:customStyle="1" w:styleId="bibed-etal">
    <w:name w:val="bib_ed-etal"/>
    <w:rsid w:val="00BE1B87"/>
    <w:rPr>
      <w:bdr w:val="none" w:sz="0" w:space="0" w:color="auto"/>
      <w:shd w:val="clear" w:color="auto" w:fill="00F4EE"/>
    </w:rPr>
  </w:style>
  <w:style w:type="character" w:customStyle="1" w:styleId="bibed-fname">
    <w:name w:val="bib_ed-fname"/>
    <w:rsid w:val="00BE1B87"/>
    <w:rPr>
      <w:bdr w:val="none" w:sz="0" w:space="0" w:color="auto"/>
      <w:shd w:val="clear" w:color="auto" w:fill="FFFFB7"/>
    </w:rPr>
  </w:style>
  <w:style w:type="character" w:customStyle="1" w:styleId="bibeditionno">
    <w:name w:val="bib_editionno"/>
    <w:rsid w:val="00BE1B87"/>
    <w:rPr>
      <w:bdr w:val="none" w:sz="0" w:space="0" w:color="auto"/>
      <w:shd w:val="clear" w:color="auto" w:fill="FFCC00"/>
    </w:rPr>
  </w:style>
  <w:style w:type="character" w:customStyle="1" w:styleId="bibed-organization">
    <w:name w:val="bib_ed-organization"/>
    <w:rsid w:val="00BE1B87"/>
    <w:rPr>
      <w:bdr w:val="none" w:sz="0" w:space="0" w:color="auto"/>
      <w:shd w:val="clear" w:color="auto" w:fill="FCAAC3"/>
    </w:rPr>
  </w:style>
  <w:style w:type="character" w:customStyle="1" w:styleId="bibed-suffix">
    <w:name w:val="bib_ed-suffix"/>
    <w:rsid w:val="00BE1B87"/>
    <w:rPr>
      <w:bdr w:val="none" w:sz="0" w:space="0" w:color="auto"/>
      <w:shd w:val="clear" w:color="auto" w:fill="CCFFCC"/>
    </w:rPr>
  </w:style>
  <w:style w:type="character" w:customStyle="1" w:styleId="bibed-surname">
    <w:name w:val="bib_ed-surname"/>
    <w:rsid w:val="00BE1B87"/>
    <w:rPr>
      <w:bdr w:val="none" w:sz="0" w:space="0" w:color="auto"/>
      <w:shd w:val="clear" w:color="auto" w:fill="FFFF00"/>
    </w:rPr>
  </w:style>
  <w:style w:type="character" w:customStyle="1" w:styleId="bibetal">
    <w:name w:val="bib_etal"/>
    <w:rsid w:val="00BE1B87"/>
    <w:rPr>
      <w:bdr w:val="none" w:sz="0" w:space="0" w:color="auto"/>
      <w:shd w:val="clear" w:color="auto" w:fill="CCFF99"/>
    </w:rPr>
  </w:style>
  <w:style w:type="character" w:customStyle="1" w:styleId="bibextlink">
    <w:name w:val="bib_extlink"/>
    <w:rsid w:val="00BE1B87"/>
    <w:rPr>
      <w:bdr w:val="none" w:sz="0" w:space="0" w:color="auto"/>
      <w:shd w:val="clear" w:color="auto" w:fill="6CCE9D"/>
    </w:rPr>
  </w:style>
  <w:style w:type="character" w:customStyle="1" w:styleId="bibfname">
    <w:name w:val="bib_fname"/>
    <w:rsid w:val="00BE1B87"/>
    <w:rPr>
      <w:bdr w:val="none" w:sz="0" w:space="0" w:color="auto"/>
      <w:shd w:val="clear" w:color="auto" w:fill="FFFFCC"/>
    </w:rPr>
  </w:style>
  <w:style w:type="character" w:customStyle="1" w:styleId="bibfpage">
    <w:name w:val="bib_fpage"/>
    <w:rsid w:val="00BE1B87"/>
    <w:rPr>
      <w:bdr w:val="none" w:sz="0" w:space="0" w:color="auto"/>
      <w:shd w:val="clear" w:color="auto" w:fill="E6E6E6"/>
    </w:rPr>
  </w:style>
  <w:style w:type="character" w:customStyle="1" w:styleId="bibinstitution">
    <w:name w:val="bib_institution"/>
    <w:rsid w:val="00BE1B87"/>
    <w:rPr>
      <w:bdr w:val="none" w:sz="0" w:space="0" w:color="auto"/>
      <w:shd w:val="clear" w:color="auto" w:fill="CCFFCC"/>
    </w:rPr>
  </w:style>
  <w:style w:type="character" w:customStyle="1" w:styleId="bibisbn">
    <w:name w:val="bib_isbn"/>
    <w:rsid w:val="00BE1B87"/>
    <w:rPr>
      <w:shd w:val="clear" w:color="auto" w:fill="D9D9D9"/>
    </w:rPr>
  </w:style>
  <w:style w:type="character" w:customStyle="1" w:styleId="bibissue">
    <w:name w:val="bib_issue"/>
    <w:rsid w:val="00BE1B87"/>
    <w:rPr>
      <w:bdr w:val="none" w:sz="0" w:space="0" w:color="auto"/>
      <w:shd w:val="clear" w:color="auto" w:fill="FFFFAB"/>
    </w:rPr>
  </w:style>
  <w:style w:type="character" w:customStyle="1" w:styleId="bibjournal">
    <w:name w:val="bib_journal"/>
    <w:rsid w:val="00BE1B87"/>
    <w:rPr>
      <w:bdr w:val="none" w:sz="0" w:space="0" w:color="auto"/>
      <w:shd w:val="clear" w:color="auto" w:fill="F9DECF"/>
    </w:rPr>
  </w:style>
  <w:style w:type="character" w:customStyle="1" w:styleId="biblocation">
    <w:name w:val="bib_location"/>
    <w:rsid w:val="00BE1B87"/>
    <w:rPr>
      <w:bdr w:val="none" w:sz="0" w:space="0" w:color="auto"/>
      <w:shd w:val="clear" w:color="auto" w:fill="FFCCCC"/>
    </w:rPr>
  </w:style>
  <w:style w:type="character" w:customStyle="1" w:styleId="biblpage">
    <w:name w:val="bib_lpage"/>
    <w:rsid w:val="00BE1B87"/>
    <w:rPr>
      <w:bdr w:val="none" w:sz="0" w:space="0" w:color="auto"/>
      <w:shd w:val="clear" w:color="auto" w:fill="D9D9D9"/>
    </w:rPr>
  </w:style>
  <w:style w:type="character" w:customStyle="1" w:styleId="bibmedline">
    <w:name w:val="bib_medline"/>
    <w:rsid w:val="00BE1B87"/>
  </w:style>
  <w:style w:type="character" w:customStyle="1" w:styleId="bibmonth">
    <w:name w:val="bib_month"/>
    <w:rsid w:val="00BE1B87"/>
    <w:rPr>
      <w:szCs w:val="24"/>
      <w:bdr w:val="none" w:sz="0" w:space="0" w:color="auto"/>
      <w:shd w:val="clear" w:color="auto" w:fill="CCFF33"/>
    </w:rPr>
  </w:style>
  <w:style w:type="character" w:customStyle="1" w:styleId="bibnumber">
    <w:name w:val="bib_number"/>
    <w:rsid w:val="00BE1B87"/>
    <w:rPr>
      <w:bdr w:val="none" w:sz="0" w:space="0" w:color="auto"/>
      <w:shd w:val="clear" w:color="auto" w:fill="CCCCFF"/>
    </w:rPr>
  </w:style>
  <w:style w:type="character" w:customStyle="1" w:styleId="biborganization">
    <w:name w:val="bib_organization"/>
    <w:rsid w:val="00BE1B87"/>
    <w:rPr>
      <w:bdr w:val="none" w:sz="0" w:space="0" w:color="auto"/>
      <w:shd w:val="clear" w:color="auto" w:fill="D2B6E2"/>
    </w:rPr>
  </w:style>
  <w:style w:type="character" w:customStyle="1" w:styleId="bibpagecount">
    <w:name w:val="bib_pagecount"/>
    <w:rsid w:val="00BE1B87"/>
    <w:rPr>
      <w:bdr w:val="none" w:sz="0" w:space="0" w:color="auto"/>
      <w:shd w:val="clear" w:color="auto" w:fill="00FF00"/>
    </w:rPr>
  </w:style>
  <w:style w:type="character" w:customStyle="1" w:styleId="bibpapernumber">
    <w:name w:val="bib_papernumber"/>
    <w:rsid w:val="00BE1B87"/>
    <w:rPr>
      <w:bdr w:val="none" w:sz="0" w:space="0" w:color="auto"/>
      <w:shd w:val="clear" w:color="auto" w:fill="FFFF66"/>
    </w:rPr>
  </w:style>
  <w:style w:type="character" w:customStyle="1" w:styleId="bibpatent">
    <w:name w:val="bib_patent"/>
    <w:rsid w:val="00BE1B87"/>
    <w:rPr>
      <w:bdr w:val="none" w:sz="0" w:space="0" w:color="auto"/>
      <w:shd w:val="clear" w:color="auto" w:fill="66FFCC"/>
    </w:rPr>
  </w:style>
  <w:style w:type="character" w:customStyle="1" w:styleId="bibpublisher">
    <w:name w:val="bib_publisher"/>
    <w:rsid w:val="00BE1B87"/>
    <w:rPr>
      <w:bdr w:val="none" w:sz="0" w:space="0" w:color="auto"/>
      <w:shd w:val="clear" w:color="auto" w:fill="FF99CC"/>
    </w:rPr>
  </w:style>
  <w:style w:type="character" w:customStyle="1" w:styleId="bibreportnum">
    <w:name w:val="bib_reportnum"/>
    <w:rsid w:val="00BE1B87"/>
    <w:rPr>
      <w:bdr w:val="none" w:sz="0" w:space="0" w:color="auto"/>
      <w:shd w:val="clear" w:color="auto" w:fill="CCCCFF"/>
    </w:rPr>
  </w:style>
  <w:style w:type="character" w:customStyle="1" w:styleId="bibschool">
    <w:name w:val="bib_school"/>
    <w:rsid w:val="00BE1B87"/>
    <w:rPr>
      <w:bdr w:val="none" w:sz="0" w:space="0" w:color="auto"/>
      <w:shd w:val="clear" w:color="auto" w:fill="FFCC66"/>
    </w:rPr>
  </w:style>
  <w:style w:type="character" w:customStyle="1" w:styleId="bibseries">
    <w:name w:val="bib_series"/>
    <w:rsid w:val="00BE1B87"/>
    <w:rPr>
      <w:shd w:val="clear" w:color="auto" w:fill="FFCC99"/>
    </w:rPr>
  </w:style>
  <w:style w:type="character" w:customStyle="1" w:styleId="bibseriesno">
    <w:name w:val="bib_seriesno"/>
    <w:rsid w:val="00BE1B87"/>
    <w:rPr>
      <w:shd w:val="clear" w:color="auto" w:fill="FFFF99"/>
    </w:rPr>
  </w:style>
  <w:style w:type="character" w:customStyle="1" w:styleId="bibsubnum">
    <w:name w:val="bib_subnum"/>
    <w:rsid w:val="00BE1B87"/>
  </w:style>
  <w:style w:type="character" w:customStyle="1" w:styleId="bibsuffix">
    <w:name w:val="bib_suffix"/>
    <w:rsid w:val="00BE1B87"/>
    <w:rPr>
      <w:bdr w:val="none" w:sz="0" w:space="0" w:color="auto"/>
      <w:shd w:val="clear" w:color="auto" w:fill="DCF4E4"/>
    </w:rPr>
  </w:style>
  <w:style w:type="character" w:customStyle="1" w:styleId="bibsuppl">
    <w:name w:val="bib_suppl"/>
    <w:rsid w:val="00BE1B87"/>
    <w:rPr>
      <w:bdr w:val="none" w:sz="0" w:space="0" w:color="auto"/>
      <w:shd w:val="clear" w:color="auto" w:fill="FFCC66"/>
    </w:rPr>
  </w:style>
  <w:style w:type="character" w:customStyle="1" w:styleId="bibsurname">
    <w:name w:val="bib_surname"/>
    <w:rsid w:val="00BE1B87"/>
    <w:rPr>
      <w:bdr w:val="none" w:sz="0" w:space="0" w:color="auto"/>
      <w:shd w:val="clear" w:color="auto" w:fill="CCFF99"/>
    </w:rPr>
  </w:style>
  <w:style w:type="character" w:customStyle="1" w:styleId="bibsurname-only">
    <w:name w:val="bib_surname-only"/>
    <w:rsid w:val="00BE1B87"/>
    <w:rPr>
      <w:rFonts w:ascii="Times New Roman" w:hAnsi="Times New Roman"/>
      <w:sz w:val="24"/>
      <w:szCs w:val="24"/>
      <w:bdr w:val="none" w:sz="0" w:space="0" w:color="auto"/>
      <w:shd w:val="clear" w:color="auto" w:fill="00FF00"/>
    </w:rPr>
  </w:style>
  <w:style w:type="character" w:customStyle="1" w:styleId="bibtitle">
    <w:name w:val="bib_title"/>
    <w:rsid w:val="00BE1B87"/>
    <w:rPr>
      <w:effect w:val="none"/>
      <w:bdr w:val="none" w:sz="0" w:space="0" w:color="auto"/>
      <w:shd w:val="clear" w:color="auto" w:fill="FF9966"/>
    </w:rPr>
  </w:style>
  <w:style w:type="character" w:customStyle="1" w:styleId="bibtrans">
    <w:name w:val="bib_trans"/>
    <w:rsid w:val="00BE1B87"/>
    <w:rPr>
      <w:shd w:val="clear" w:color="auto" w:fill="99CC00"/>
    </w:rPr>
  </w:style>
  <w:style w:type="character" w:customStyle="1" w:styleId="bibunpubl">
    <w:name w:val="bib_unpubl"/>
    <w:rsid w:val="00BE1B87"/>
  </w:style>
  <w:style w:type="character" w:customStyle="1" w:styleId="biburl">
    <w:name w:val="bib_url"/>
    <w:rsid w:val="00BE1B87"/>
    <w:rPr>
      <w:bdr w:val="none" w:sz="0" w:space="0" w:color="auto"/>
      <w:shd w:val="clear" w:color="auto" w:fill="CCFF66"/>
    </w:rPr>
  </w:style>
  <w:style w:type="character" w:customStyle="1" w:styleId="bibvolcount">
    <w:name w:val="bib_volcount"/>
    <w:rsid w:val="00BE1B87"/>
    <w:rPr>
      <w:bdr w:val="none" w:sz="0" w:space="0" w:color="auto"/>
      <w:shd w:val="clear" w:color="auto" w:fill="00FF00"/>
    </w:rPr>
  </w:style>
  <w:style w:type="character" w:customStyle="1" w:styleId="bibvolume">
    <w:name w:val="bib_volume"/>
    <w:rsid w:val="00BE1B87"/>
    <w:rPr>
      <w:bdr w:val="none" w:sz="0" w:space="0" w:color="auto"/>
      <w:shd w:val="clear" w:color="auto" w:fill="CCECFF"/>
    </w:rPr>
  </w:style>
  <w:style w:type="character" w:customStyle="1" w:styleId="bibyear">
    <w:name w:val="bib_year"/>
    <w:rsid w:val="00BE1B87"/>
    <w:rPr>
      <w:bdr w:val="none" w:sz="0" w:space="0" w:color="auto"/>
      <w:shd w:val="clear" w:color="auto" w:fill="FFCCFF"/>
    </w:rPr>
  </w:style>
  <w:style w:type="paragraph" w:customStyle="1" w:styleId="BodyText2Continued">
    <w:name w:val="BodyText2_Continued"/>
    <w:basedOn w:val="BaseText"/>
    <w:qFormat/>
    <w:rsid w:val="00BE1B87"/>
    <w:pPr>
      <w:spacing w:after="240"/>
      <w:ind w:left="900"/>
      <w:jc w:val="both"/>
    </w:pPr>
  </w:style>
  <w:style w:type="paragraph" w:customStyle="1" w:styleId="BodyText3Continued">
    <w:name w:val="BodyText3_Continued"/>
    <w:basedOn w:val="BaseText"/>
    <w:qFormat/>
    <w:rsid w:val="00BE1B87"/>
    <w:pPr>
      <w:spacing w:after="240"/>
      <w:ind w:left="1260"/>
      <w:jc w:val="both"/>
    </w:pPr>
  </w:style>
  <w:style w:type="paragraph" w:customStyle="1" w:styleId="BoxText">
    <w:name w:val="BoxText"/>
    <w:basedOn w:val="BaseText"/>
    <w:qFormat/>
    <w:rsid w:val="00BE1B87"/>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BE1B87"/>
    <w:pPr>
      <w:ind w:left="630" w:hanging="510"/>
    </w:pPr>
  </w:style>
  <w:style w:type="paragraph" w:customStyle="1" w:styleId="BoxListLevel2">
    <w:name w:val="Box_List_Level_2"/>
    <w:basedOn w:val="BoxText"/>
    <w:qFormat/>
    <w:rsid w:val="00BE1B87"/>
    <w:pPr>
      <w:tabs>
        <w:tab w:val="left" w:pos="630"/>
      </w:tabs>
      <w:ind w:left="1170" w:hanging="1050"/>
    </w:pPr>
  </w:style>
  <w:style w:type="paragraph" w:customStyle="1" w:styleId="BoxListLevel3">
    <w:name w:val="Box_List_Level_3"/>
    <w:basedOn w:val="BoxText"/>
    <w:qFormat/>
    <w:rsid w:val="00BE1B87"/>
    <w:pPr>
      <w:tabs>
        <w:tab w:val="left" w:pos="1170"/>
      </w:tabs>
      <w:ind w:left="1710" w:hanging="1590"/>
    </w:pPr>
  </w:style>
  <w:style w:type="paragraph" w:customStyle="1" w:styleId="BoxBegin">
    <w:name w:val="BoxBegin"/>
    <w:basedOn w:val="BaseText"/>
    <w:rsid w:val="00BE1B87"/>
    <w:pPr>
      <w:spacing w:after="240"/>
    </w:pPr>
    <w:rPr>
      <w:color w:val="76923C"/>
      <w:szCs w:val="24"/>
    </w:rPr>
  </w:style>
  <w:style w:type="paragraph" w:customStyle="1" w:styleId="BoxEnd">
    <w:name w:val="BoxEnd"/>
    <w:basedOn w:val="BoxBegin"/>
    <w:rsid w:val="00BE1B87"/>
  </w:style>
  <w:style w:type="paragraph" w:customStyle="1" w:styleId="BoxHead1">
    <w:name w:val="BoxHead1"/>
    <w:basedOn w:val="Normal"/>
    <w:rsid w:val="00BE1B87"/>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BE1B87"/>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BE1B87"/>
    <w:pPr>
      <w:keepNext/>
      <w:shd w:val="pct5" w:color="auto" w:fill="auto"/>
      <w:spacing w:after="240"/>
      <w:outlineLvl w:val="2"/>
    </w:pPr>
    <w:rPr>
      <w:b/>
      <w:color w:val="006283"/>
      <w:szCs w:val="24"/>
    </w:rPr>
  </w:style>
  <w:style w:type="paragraph" w:customStyle="1" w:styleId="BoxHead4">
    <w:name w:val="BoxHead4"/>
    <w:basedOn w:val="Normal"/>
    <w:rsid w:val="00BE1B87"/>
    <w:pPr>
      <w:keepNext/>
      <w:shd w:val="pct5" w:color="auto" w:fill="auto"/>
      <w:spacing w:after="240"/>
      <w:outlineLvl w:val="3"/>
    </w:pPr>
    <w:rPr>
      <w:b/>
      <w:color w:val="006283"/>
      <w:szCs w:val="24"/>
    </w:rPr>
  </w:style>
  <w:style w:type="paragraph" w:customStyle="1" w:styleId="BoxNote">
    <w:name w:val="BoxNote"/>
    <w:basedOn w:val="BaseText"/>
    <w:qFormat/>
    <w:rsid w:val="00BE1B87"/>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BE1B87"/>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BE1B87"/>
    <w:pPr>
      <w:spacing w:after="0"/>
    </w:pPr>
  </w:style>
  <w:style w:type="paragraph" w:customStyle="1" w:styleId="BoxTitle">
    <w:name w:val="BoxTitle"/>
    <w:basedOn w:val="BaseHeading"/>
    <w:next w:val="BoxText"/>
    <w:qFormat/>
    <w:rsid w:val="00BE1B87"/>
    <w:pPr>
      <w:keepNext/>
      <w:spacing w:before="240" w:after="240"/>
    </w:pPr>
    <w:rPr>
      <w:b/>
      <w:color w:val="006283"/>
    </w:rPr>
  </w:style>
  <w:style w:type="paragraph" w:customStyle="1" w:styleId="NumBulListLevel2">
    <w:name w:val="Num_Bul_List_Level_2"/>
    <w:basedOn w:val="BaseText"/>
    <w:qFormat/>
    <w:rsid w:val="00BE1B87"/>
    <w:pPr>
      <w:spacing w:after="240"/>
      <w:ind w:left="1129" w:hanging="562"/>
      <w:jc w:val="both"/>
    </w:pPr>
  </w:style>
  <w:style w:type="paragraph" w:customStyle="1" w:styleId="NumBulListLevel1">
    <w:name w:val="Num_Bul_List_Level_1"/>
    <w:basedOn w:val="BaseText"/>
    <w:qFormat/>
    <w:rsid w:val="00BE1B87"/>
    <w:pPr>
      <w:spacing w:after="240"/>
      <w:ind w:left="562" w:hanging="562"/>
      <w:jc w:val="both"/>
    </w:pPr>
  </w:style>
  <w:style w:type="paragraph" w:customStyle="1" w:styleId="NumBulListLevel3">
    <w:name w:val="Num_Bul_List_Level_3"/>
    <w:basedOn w:val="BaseText"/>
    <w:qFormat/>
    <w:rsid w:val="00BE1B87"/>
    <w:pPr>
      <w:spacing w:after="240"/>
      <w:ind w:left="1696" w:hanging="562"/>
      <w:jc w:val="both"/>
    </w:pPr>
  </w:style>
  <w:style w:type="character" w:customStyle="1" w:styleId="citeapp">
    <w:name w:val="cite_app"/>
    <w:rsid w:val="00BE1B87"/>
    <w:rPr>
      <w:bdr w:val="none" w:sz="0" w:space="0" w:color="auto"/>
      <w:shd w:val="clear" w:color="auto" w:fill="CCFF33"/>
    </w:rPr>
  </w:style>
  <w:style w:type="character" w:customStyle="1" w:styleId="citebase">
    <w:name w:val="cite_base"/>
    <w:rsid w:val="00BE1B87"/>
  </w:style>
  <w:style w:type="character" w:customStyle="1" w:styleId="citebib">
    <w:name w:val="cite_bib"/>
    <w:rsid w:val="00BE1B87"/>
    <w:rPr>
      <w:bdr w:val="none" w:sz="0" w:space="0" w:color="auto"/>
      <w:shd w:val="clear" w:color="auto" w:fill="CCFFFF"/>
    </w:rPr>
  </w:style>
  <w:style w:type="character" w:customStyle="1" w:styleId="citebox">
    <w:name w:val="cite_box"/>
    <w:rsid w:val="00BE1B87"/>
    <w:rPr>
      <w:bdr w:val="none" w:sz="0" w:space="0" w:color="auto"/>
      <w:shd w:val="clear" w:color="auto" w:fill="9999FF"/>
    </w:rPr>
  </w:style>
  <w:style w:type="character" w:customStyle="1" w:styleId="citeen">
    <w:name w:val="cite_en"/>
    <w:rsid w:val="00BE1B87"/>
    <w:rPr>
      <w:bdr w:val="none" w:sz="0" w:space="0" w:color="auto"/>
      <w:shd w:val="clear" w:color="auto" w:fill="FFFF99"/>
      <w:vertAlign w:val="superscript"/>
    </w:rPr>
  </w:style>
  <w:style w:type="character" w:customStyle="1" w:styleId="citeeq">
    <w:name w:val="cite_eq"/>
    <w:rsid w:val="00BE1B87"/>
    <w:rPr>
      <w:bdr w:val="none" w:sz="0" w:space="0" w:color="auto"/>
      <w:shd w:val="clear" w:color="auto" w:fill="FFAE37"/>
    </w:rPr>
  </w:style>
  <w:style w:type="character" w:customStyle="1" w:styleId="citefig">
    <w:name w:val="cite_fig"/>
    <w:rsid w:val="00BE1B87"/>
    <w:rPr>
      <w:color w:val="auto"/>
      <w:bdr w:val="none" w:sz="0" w:space="0" w:color="auto"/>
      <w:shd w:val="clear" w:color="auto" w:fill="CCFFCC"/>
    </w:rPr>
  </w:style>
  <w:style w:type="character" w:customStyle="1" w:styleId="citefignomove">
    <w:name w:val="cite_fig_nomove"/>
    <w:rsid w:val="00BE1B87"/>
    <w:rPr>
      <w:rFonts w:ascii="Times New Roman" w:hAnsi="Times New Roman"/>
      <w:sz w:val="19"/>
      <w:bdr w:val="none" w:sz="0" w:space="0" w:color="auto"/>
      <w:shd w:val="clear" w:color="auto" w:fill="99CC00"/>
    </w:rPr>
  </w:style>
  <w:style w:type="character" w:customStyle="1" w:styleId="citefn">
    <w:name w:val="cite_fn"/>
    <w:rsid w:val="00BE1B87"/>
    <w:rPr>
      <w:color w:val="auto"/>
      <w:bdr w:val="none" w:sz="0" w:space="0" w:color="auto"/>
      <w:shd w:val="clear" w:color="auto" w:fill="FF99CC"/>
      <w:vertAlign w:val="baseline"/>
    </w:rPr>
  </w:style>
  <w:style w:type="character" w:customStyle="1" w:styleId="citesec">
    <w:name w:val="cite_sec"/>
    <w:rsid w:val="00BE1B87"/>
    <w:rPr>
      <w:bdr w:val="none" w:sz="0" w:space="0" w:color="auto"/>
      <w:shd w:val="clear" w:color="auto" w:fill="FFCCCC"/>
    </w:rPr>
  </w:style>
  <w:style w:type="character" w:customStyle="1" w:styleId="citesection">
    <w:name w:val="cite_section"/>
    <w:rsid w:val="00BE1B87"/>
    <w:rPr>
      <w:bdr w:val="none" w:sz="0" w:space="0" w:color="auto"/>
      <w:shd w:val="clear" w:color="auto" w:fill="FF7C80"/>
    </w:rPr>
  </w:style>
  <w:style w:type="character" w:customStyle="1" w:styleId="citetbl">
    <w:name w:val="cite_tbl"/>
    <w:rsid w:val="00BE1B87"/>
    <w:rPr>
      <w:color w:val="auto"/>
      <w:bdr w:val="none" w:sz="0" w:space="0" w:color="auto"/>
      <w:shd w:val="clear" w:color="auto" w:fill="FF9999"/>
    </w:rPr>
  </w:style>
  <w:style w:type="character" w:customStyle="1" w:styleId="citetblnomove">
    <w:name w:val="cite_tbl_nomove"/>
    <w:rsid w:val="00BE1B87"/>
    <w:rPr>
      <w:rFonts w:ascii="Times New Roman" w:hAnsi="Times New Roman"/>
      <w:sz w:val="19"/>
      <w:bdr w:val="none" w:sz="0" w:space="0" w:color="auto"/>
      <w:shd w:val="clear" w:color="auto" w:fill="9966FF"/>
    </w:rPr>
  </w:style>
  <w:style w:type="character" w:customStyle="1" w:styleId="citetfn">
    <w:name w:val="cite_tfn"/>
    <w:rsid w:val="00BE1B87"/>
    <w:rPr>
      <w:bdr w:val="none" w:sz="0" w:space="0" w:color="auto"/>
      <w:shd w:val="clear" w:color="auto" w:fill="FBBA79"/>
    </w:rPr>
  </w:style>
  <w:style w:type="paragraph" w:customStyle="1" w:styleId="CoverNote">
    <w:name w:val="CoverNote"/>
    <w:basedOn w:val="BaseText"/>
    <w:qFormat/>
    <w:rsid w:val="00BE1B87"/>
    <w:pPr>
      <w:spacing w:after="240"/>
    </w:pPr>
  </w:style>
  <w:style w:type="paragraph" w:customStyle="1" w:styleId="CoverText">
    <w:name w:val="CoverText"/>
    <w:basedOn w:val="BaseText"/>
    <w:qFormat/>
    <w:rsid w:val="00BE1B87"/>
    <w:pPr>
      <w:spacing w:after="240"/>
    </w:pPr>
  </w:style>
  <w:style w:type="paragraph" w:customStyle="1" w:styleId="DisclaimerText">
    <w:name w:val="DisclaimerText"/>
    <w:basedOn w:val="BaseText"/>
    <w:qFormat/>
    <w:rsid w:val="00BE1B87"/>
    <w:pPr>
      <w:spacing w:after="240"/>
    </w:pPr>
  </w:style>
  <w:style w:type="paragraph" w:customStyle="1" w:styleId="DisclaimerTitle">
    <w:name w:val="DisclaimerTitle"/>
    <w:basedOn w:val="BaseHeading"/>
    <w:next w:val="DisclaimerText"/>
    <w:qFormat/>
    <w:rsid w:val="00BE1B87"/>
    <w:pPr>
      <w:keepNext/>
      <w:spacing w:after="240"/>
      <w:jc w:val="center"/>
    </w:pPr>
    <w:rPr>
      <w:b/>
      <w:color w:val="006283"/>
    </w:rPr>
  </w:style>
  <w:style w:type="paragraph" w:customStyle="1" w:styleId="DocChairperson">
    <w:name w:val="Doc_Chairperson"/>
    <w:basedOn w:val="BaseText"/>
    <w:next w:val="Normal"/>
    <w:qFormat/>
    <w:rsid w:val="00BE1B87"/>
    <w:pPr>
      <w:keepNext/>
      <w:spacing w:after="240"/>
      <w:jc w:val="center"/>
    </w:pPr>
    <w:rPr>
      <w:color w:val="006283"/>
    </w:rPr>
  </w:style>
  <w:style w:type="paragraph" w:customStyle="1" w:styleId="DocCountry">
    <w:name w:val="Doc_Country"/>
    <w:basedOn w:val="BaseText"/>
    <w:qFormat/>
    <w:rsid w:val="00BE1B87"/>
    <w:pPr>
      <w:spacing w:after="240"/>
      <w:jc w:val="center"/>
    </w:pPr>
    <w:rPr>
      <w:smallCaps/>
      <w:color w:val="006283"/>
    </w:rPr>
  </w:style>
  <w:style w:type="paragraph" w:customStyle="1" w:styleId="DocDate">
    <w:name w:val="Doc_Date"/>
    <w:basedOn w:val="BaseText"/>
    <w:qFormat/>
    <w:rsid w:val="00BE1B87"/>
    <w:pPr>
      <w:spacing w:after="240"/>
      <w:jc w:val="center"/>
    </w:pPr>
    <w:rPr>
      <w:color w:val="006283"/>
    </w:rPr>
  </w:style>
  <w:style w:type="paragraph" w:customStyle="1" w:styleId="DocSubtitle">
    <w:name w:val="Doc_Subtitle"/>
    <w:basedOn w:val="BaseHeading"/>
    <w:qFormat/>
    <w:rsid w:val="00BE1B87"/>
    <w:pPr>
      <w:keepNext/>
      <w:spacing w:after="240"/>
      <w:jc w:val="center"/>
    </w:pPr>
    <w:rPr>
      <w:caps/>
      <w:color w:val="006283"/>
    </w:rPr>
  </w:style>
  <w:style w:type="paragraph" w:customStyle="1" w:styleId="DocTitle">
    <w:name w:val="Doc_Title"/>
    <w:basedOn w:val="BaseHeading"/>
    <w:qFormat/>
    <w:rsid w:val="00BE1B87"/>
    <w:pPr>
      <w:keepNext/>
      <w:spacing w:after="240"/>
      <w:jc w:val="center"/>
    </w:pPr>
    <w:rPr>
      <w:b/>
      <w:caps/>
      <w:color w:val="006283"/>
    </w:rPr>
  </w:style>
  <w:style w:type="paragraph" w:customStyle="1" w:styleId="DocType">
    <w:name w:val="Doc_Type"/>
    <w:basedOn w:val="BaseText"/>
    <w:qFormat/>
    <w:rsid w:val="00BE1B87"/>
    <w:pPr>
      <w:keepNext/>
      <w:keepLines/>
      <w:spacing w:after="240"/>
      <w:jc w:val="center"/>
    </w:pPr>
    <w:rPr>
      <w:color w:val="006283"/>
    </w:rPr>
  </w:style>
  <w:style w:type="paragraph" w:customStyle="1" w:styleId="DocVersion">
    <w:name w:val="Doc_Version"/>
    <w:basedOn w:val="BaseText"/>
    <w:qFormat/>
    <w:rsid w:val="00BE1B87"/>
    <w:pPr>
      <w:spacing w:after="240"/>
      <w:jc w:val="center"/>
    </w:pPr>
    <w:rPr>
      <w:i/>
      <w:color w:val="006283"/>
    </w:rPr>
  </w:style>
  <w:style w:type="paragraph" w:customStyle="1" w:styleId="Equation">
    <w:name w:val="Equation"/>
    <w:basedOn w:val="BaseText"/>
    <w:qFormat/>
    <w:rsid w:val="00BE1B87"/>
    <w:pPr>
      <w:spacing w:after="240"/>
    </w:pPr>
  </w:style>
  <w:style w:type="paragraph" w:customStyle="1" w:styleId="FigAltText">
    <w:name w:val="FigAltText"/>
    <w:basedOn w:val="BaseText"/>
    <w:rsid w:val="00BE1B87"/>
    <w:pPr>
      <w:spacing w:after="240"/>
    </w:pPr>
    <w:rPr>
      <w:sz w:val="16"/>
    </w:rPr>
  </w:style>
  <w:style w:type="paragraph" w:customStyle="1" w:styleId="FigureCaption">
    <w:name w:val="FigureCaption"/>
    <w:basedOn w:val="BaseHeading"/>
    <w:rsid w:val="00BE1B87"/>
    <w:pPr>
      <w:keepNext/>
      <w:tabs>
        <w:tab w:val="left" w:pos="1080"/>
      </w:tabs>
      <w:spacing w:before="120" w:after="120"/>
    </w:pPr>
    <w:rPr>
      <w:b/>
      <w:color w:val="006283"/>
      <w:szCs w:val="24"/>
    </w:rPr>
  </w:style>
  <w:style w:type="paragraph" w:customStyle="1" w:styleId="FigureCaptionCont">
    <w:name w:val="FigureCaptionCont"/>
    <w:basedOn w:val="FigureCaption"/>
    <w:rsid w:val="00BE1B87"/>
    <w:pPr>
      <w:spacing w:before="0" w:after="60"/>
      <w:outlineLvl w:val="9"/>
    </w:pPr>
    <w:rPr>
      <w:b w:val="0"/>
      <w:color w:val="000000"/>
    </w:rPr>
  </w:style>
  <w:style w:type="paragraph" w:customStyle="1" w:styleId="FigureGraphic">
    <w:name w:val="FigureGraphic"/>
    <w:basedOn w:val="BaseText"/>
    <w:qFormat/>
    <w:rsid w:val="00BE1B87"/>
    <w:pPr>
      <w:spacing w:after="240"/>
    </w:pPr>
  </w:style>
  <w:style w:type="paragraph" w:customStyle="1" w:styleId="FigureNote">
    <w:name w:val="FigureNote"/>
    <w:basedOn w:val="BaseText"/>
    <w:qFormat/>
    <w:rsid w:val="00BE1B87"/>
    <w:pPr>
      <w:tabs>
        <w:tab w:val="left" w:pos="850"/>
      </w:tabs>
      <w:spacing w:before="120" w:after="120"/>
      <w:ind w:left="850" w:hanging="850"/>
      <w:contextualSpacing/>
    </w:pPr>
    <w:rPr>
      <w:sz w:val="16"/>
    </w:rPr>
  </w:style>
  <w:style w:type="paragraph" w:customStyle="1" w:styleId="FigureSource">
    <w:name w:val="FigureSource"/>
    <w:basedOn w:val="BaseText"/>
    <w:qFormat/>
    <w:rsid w:val="00BE1B87"/>
    <w:pPr>
      <w:tabs>
        <w:tab w:val="left" w:pos="850"/>
      </w:tabs>
      <w:spacing w:before="120" w:after="240"/>
      <w:ind w:left="850" w:hanging="850"/>
    </w:pPr>
    <w:rPr>
      <w:sz w:val="16"/>
    </w:rPr>
  </w:style>
  <w:style w:type="paragraph" w:customStyle="1" w:styleId="FootnoteText0">
    <w:name w:val="FootnoteText"/>
    <w:basedOn w:val="BaseText"/>
    <w:next w:val="Normal"/>
    <w:rsid w:val="00BE1B87"/>
    <w:pPr>
      <w:ind w:firstLine="562"/>
    </w:pPr>
    <w:rPr>
      <w:sz w:val="16"/>
      <w:szCs w:val="24"/>
    </w:rPr>
  </w:style>
  <w:style w:type="paragraph" w:customStyle="1" w:styleId="FootnoteTextCont">
    <w:name w:val="FootnoteTextCont"/>
    <w:basedOn w:val="BaseText"/>
    <w:qFormat/>
    <w:rsid w:val="00BE1B87"/>
    <w:pPr>
      <w:spacing w:before="60" w:after="60"/>
    </w:pPr>
    <w:rPr>
      <w:sz w:val="16"/>
    </w:rPr>
  </w:style>
  <w:style w:type="paragraph" w:customStyle="1" w:styleId="ForewordText">
    <w:name w:val="ForewordText"/>
    <w:basedOn w:val="BaseText"/>
    <w:qFormat/>
    <w:rsid w:val="00BE1B87"/>
    <w:pPr>
      <w:spacing w:after="240"/>
    </w:pPr>
  </w:style>
  <w:style w:type="paragraph" w:customStyle="1" w:styleId="ForewordTitle">
    <w:name w:val="ForewordTitle"/>
    <w:basedOn w:val="BaseHeading"/>
    <w:next w:val="ForewordText"/>
    <w:qFormat/>
    <w:rsid w:val="00BE1B87"/>
    <w:pPr>
      <w:keepNext/>
      <w:spacing w:after="240"/>
      <w:jc w:val="center"/>
    </w:pPr>
    <w:rPr>
      <w:b/>
      <w:color w:val="006283"/>
    </w:rPr>
  </w:style>
  <w:style w:type="paragraph" w:customStyle="1" w:styleId="FrontmatterHead1">
    <w:name w:val="FrontmatterHead1"/>
    <w:basedOn w:val="BaseHeading"/>
    <w:rsid w:val="00BE1B87"/>
    <w:pPr>
      <w:keepNext/>
      <w:spacing w:after="240"/>
    </w:pPr>
    <w:rPr>
      <w:b/>
      <w:color w:val="006283"/>
      <w:szCs w:val="24"/>
    </w:rPr>
  </w:style>
  <w:style w:type="paragraph" w:customStyle="1" w:styleId="FrontmatterHead2">
    <w:name w:val="FrontmatterHead2"/>
    <w:basedOn w:val="BaseHeading"/>
    <w:rsid w:val="00BE1B87"/>
    <w:pPr>
      <w:keepNext/>
      <w:spacing w:after="240"/>
      <w:outlineLvl w:val="1"/>
    </w:pPr>
    <w:rPr>
      <w:b/>
      <w:color w:val="006283"/>
      <w:szCs w:val="24"/>
    </w:rPr>
  </w:style>
  <w:style w:type="paragraph" w:customStyle="1" w:styleId="FrontmatterList1">
    <w:name w:val="FrontmatterList1"/>
    <w:basedOn w:val="BaseText"/>
    <w:qFormat/>
    <w:rsid w:val="00BE1B87"/>
    <w:pPr>
      <w:spacing w:after="240"/>
      <w:ind w:left="908" w:hanging="346"/>
    </w:pPr>
  </w:style>
  <w:style w:type="paragraph" w:customStyle="1" w:styleId="FrontmatterText">
    <w:name w:val="FrontmatterText"/>
    <w:basedOn w:val="BaseText"/>
    <w:rsid w:val="00BE1B87"/>
    <w:pPr>
      <w:spacing w:after="240"/>
    </w:pPr>
    <w:rPr>
      <w:szCs w:val="24"/>
    </w:rPr>
  </w:style>
  <w:style w:type="paragraph" w:customStyle="1" w:styleId="FrontmatterTitle">
    <w:name w:val="FrontmatterTitle"/>
    <w:basedOn w:val="BaseHeading"/>
    <w:qFormat/>
    <w:rsid w:val="00BE1B87"/>
    <w:pPr>
      <w:keepNext/>
      <w:spacing w:after="240"/>
      <w:jc w:val="center"/>
    </w:pPr>
    <w:rPr>
      <w:b/>
      <w:color w:val="006283"/>
    </w:rPr>
  </w:style>
  <w:style w:type="paragraph" w:customStyle="1" w:styleId="Heading2Unnumbered">
    <w:name w:val="Heading2_Unnumbered"/>
    <w:basedOn w:val="BaseHeading"/>
    <w:next w:val="BodyText0"/>
    <w:qFormat/>
    <w:rsid w:val="00BE1B87"/>
    <w:pPr>
      <w:keepNext/>
      <w:spacing w:after="240"/>
      <w:outlineLvl w:val="1"/>
    </w:pPr>
    <w:rPr>
      <w:b/>
      <w:color w:val="006283"/>
    </w:rPr>
  </w:style>
  <w:style w:type="paragraph" w:customStyle="1" w:styleId="Heading3Unnumbered">
    <w:name w:val="Heading3_Unnumbered"/>
    <w:basedOn w:val="BaseHeading"/>
    <w:next w:val="BoxText"/>
    <w:qFormat/>
    <w:rsid w:val="00BE1B87"/>
    <w:pPr>
      <w:keepNext/>
      <w:spacing w:after="240"/>
      <w:outlineLvl w:val="2"/>
    </w:pPr>
    <w:rPr>
      <w:b/>
      <w:color w:val="006283"/>
    </w:rPr>
  </w:style>
  <w:style w:type="paragraph" w:customStyle="1" w:styleId="Heading4Unnumbered">
    <w:name w:val="Heading4_Unnumbered"/>
    <w:basedOn w:val="BaseHeading"/>
    <w:next w:val="BodyText0"/>
    <w:qFormat/>
    <w:rsid w:val="00BE1B87"/>
    <w:pPr>
      <w:keepNext/>
      <w:spacing w:after="240"/>
      <w:outlineLvl w:val="3"/>
    </w:pPr>
    <w:rPr>
      <w:b/>
      <w:color w:val="006283"/>
    </w:rPr>
  </w:style>
  <w:style w:type="paragraph" w:customStyle="1" w:styleId="Heading5Unnumbered">
    <w:name w:val="Heading5_Unnumbered"/>
    <w:basedOn w:val="BaseHeading"/>
    <w:next w:val="BodyText0"/>
    <w:qFormat/>
    <w:rsid w:val="00BE1B87"/>
    <w:pPr>
      <w:keepNext/>
      <w:spacing w:after="240"/>
      <w:outlineLvl w:val="4"/>
    </w:pPr>
    <w:rPr>
      <w:b/>
      <w:color w:val="006283"/>
    </w:rPr>
  </w:style>
  <w:style w:type="paragraph" w:customStyle="1" w:styleId="Heading6Unnumbered">
    <w:name w:val="Heading6_Unnumbered"/>
    <w:basedOn w:val="BaseHeading"/>
    <w:next w:val="BodyText0"/>
    <w:qFormat/>
    <w:rsid w:val="00BE1B87"/>
    <w:pPr>
      <w:keepNext/>
      <w:spacing w:after="240"/>
      <w:outlineLvl w:val="5"/>
    </w:pPr>
    <w:rPr>
      <w:b/>
      <w:color w:val="006283"/>
    </w:rPr>
  </w:style>
  <w:style w:type="paragraph" w:customStyle="1" w:styleId="Non-XMLText">
    <w:name w:val="Non-XML_Text"/>
    <w:basedOn w:val="BaseText"/>
    <w:rsid w:val="00BE1B87"/>
    <w:pPr>
      <w:spacing w:before="120" w:after="240"/>
    </w:pPr>
    <w:rPr>
      <w:rFonts w:eastAsia="Times New Roman"/>
      <w:color w:val="FF0000"/>
      <w:szCs w:val="24"/>
    </w:rPr>
  </w:style>
  <w:style w:type="paragraph" w:customStyle="1" w:styleId="QuotationList">
    <w:name w:val="QuotationList"/>
    <w:basedOn w:val="BaseText"/>
    <w:qFormat/>
    <w:rsid w:val="00BE1B87"/>
    <w:pPr>
      <w:spacing w:after="240"/>
      <w:ind w:left="562" w:right="562" w:firstLine="562"/>
    </w:pPr>
  </w:style>
  <w:style w:type="paragraph" w:customStyle="1" w:styleId="QuotationNote">
    <w:name w:val="QuotationNote"/>
    <w:basedOn w:val="BaseText"/>
    <w:qFormat/>
    <w:rsid w:val="00BE1B87"/>
    <w:pPr>
      <w:pBdr>
        <w:top w:val="single" w:sz="4" w:space="1" w:color="auto"/>
      </w:pBdr>
      <w:spacing w:after="240"/>
      <w:ind w:left="562" w:right="562"/>
    </w:pPr>
    <w:rPr>
      <w:sz w:val="16"/>
    </w:rPr>
  </w:style>
  <w:style w:type="paragraph" w:customStyle="1" w:styleId="QuotationSource">
    <w:name w:val="QuotationSource"/>
    <w:basedOn w:val="BaseText"/>
    <w:qFormat/>
    <w:rsid w:val="00BE1B87"/>
    <w:pPr>
      <w:pBdr>
        <w:top w:val="single" w:sz="4" w:space="1" w:color="auto"/>
      </w:pBdr>
      <w:spacing w:after="240"/>
      <w:ind w:left="562" w:right="562"/>
    </w:pPr>
    <w:rPr>
      <w:sz w:val="16"/>
    </w:rPr>
  </w:style>
  <w:style w:type="paragraph" w:customStyle="1" w:styleId="Reference">
    <w:name w:val="Reference"/>
    <w:basedOn w:val="BaseText"/>
    <w:rsid w:val="00BE1B87"/>
    <w:pPr>
      <w:spacing w:after="240"/>
    </w:pPr>
    <w:rPr>
      <w:szCs w:val="24"/>
    </w:rPr>
  </w:style>
  <w:style w:type="paragraph" w:customStyle="1" w:styleId="RefHeadBack">
    <w:name w:val="RefHeadBack"/>
    <w:basedOn w:val="BaseHeading"/>
    <w:rsid w:val="00BE1B87"/>
    <w:pPr>
      <w:keepNext/>
      <w:spacing w:after="240"/>
      <w:jc w:val="center"/>
    </w:pPr>
    <w:rPr>
      <w:b/>
      <w:caps/>
      <w:color w:val="006283"/>
      <w:szCs w:val="24"/>
    </w:rPr>
  </w:style>
  <w:style w:type="paragraph" w:customStyle="1" w:styleId="SectionAbstract">
    <w:name w:val="SectionAbstract"/>
    <w:basedOn w:val="BaseText"/>
    <w:qFormat/>
    <w:rsid w:val="00BE1B87"/>
    <w:pPr>
      <w:spacing w:after="240"/>
    </w:pPr>
    <w:rPr>
      <w:b/>
      <w:i/>
    </w:rPr>
  </w:style>
  <w:style w:type="paragraph" w:customStyle="1" w:styleId="SectionTitle">
    <w:name w:val="SectionTitle"/>
    <w:basedOn w:val="BaseHeading"/>
    <w:rsid w:val="00BE1B87"/>
    <w:pPr>
      <w:keepNext/>
      <w:spacing w:before="240" w:after="120"/>
    </w:pPr>
    <w:rPr>
      <w:sz w:val="32"/>
      <w:szCs w:val="24"/>
    </w:rPr>
  </w:style>
  <w:style w:type="paragraph" w:customStyle="1" w:styleId="SigBlock">
    <w:name w:val="SigBlock"/>
    <w:basedOn w:val="BaseText"/>
    <w:rsid w:val="00BE1B87"/>
    <w:pPr>
      <w:spacing w:after="240"/>
      <w:ind w:left="2160" w:right="720"/>
    </w:pPr>
    <w:rPr>
      <w:szCs w:val="24"/>
    </w:rPr>
  </w:style>
  <w:style w:type="paragraph" w:customStyle="1" w:styleId="TableAltText">
    <w:name w:val="TableAltText"/>
    <w:basedOn w:val="BaseText"/>
    <w:qFormat/>
    <w:rsid w:val="00BE1B87"/>
    <w:pPr>
      <w:spacing w:before="120" w:after="120"/>
    </w:pPr>
    <w:rPr>
      <w:sz w:val="16"/>
    </w:rPr>
  </w:style>
  <w:style w:type="paragraph" w:customStyle="1" w:styleId="TableBody">
    <w:name w:val="TableBody"/>
    <w:basedOn w:val="BaseText"/>
    <w:rsid w:val="00BE1B87"/>
    <w:pPr>
      <w:spacing w:before="120" w:after="120"/>
    </w:pPr>
    <w:rPr>
      <w:sz w:val="16"/>
      <w:szCs w:val="24"/>
    </w:rPr>
  </w:style>
  <w:style w:type="paragraph" w:customStyle="1" w:styleId="TableHead">
    <w:name w:val="TableHead"/>
    <w:basedOn w:val="BaseText"/>
    <w:rsid w:val="00BE1B87"/>
    <w:pPr>
      <w:keepNext/>
      <w:spacing w:after="20"/>
    </w:pPr>
    <w:rPr>
      <w:b/>
      <w:sz w:val="16"/>
      <w:szCs w:val="24"/>
    </w:rPr>
  </w:style>
  <w:style w:type="paragraph" w:customStyle="1" w:styleId="TableNote">
    <w:name w:val="TableNote"/>
    <w:basedOn w:val="Normal"/>
    <w:rsid w:val="00BE1B87"/>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BE1B87"/>
    <w:pPr>
      <w:tabs>
        <w:tab w:val="left" w:pos="850"/>
      </w:tabs>
      <w:spacing w:before="120" w:after="240"/>
      <w:ind w:left="850" w:hanging="850"/>
    </w:pPr>
    <w:rPr>
      <w:sz w:val="16"/>
    </w:rPr>
  </w:style>
  <w:style w:type="paragraph" w:customStyle="1" w:styleId="TableSubhead">
    <w:name w:val="TableSubhead"/>
    <w:basedOn w:val="BaseHeading"/>
    <w:qFormat/>
    <w:rsid w:val="00BE1B87"/>
    <w:pPr>
      <w:keepNext/>
    </w:pPr>
    <w:rPr>
      <w:b/>
      <w:sz w:val="16"/>
    </w:rPr>
  </w:style>
  <w:style w:type="paragraph" w:customStyle="1" w:styleId="TableTitle">
    <w:name w:val="TableTitle"/>
    <w:basedOn w:val="BaseHeading"/>
    <w:rsid w:val="00BE1B87"/>
    <w:pPr>
      <w:keepNext/>
      <w:spacing w:before="120" w:after="120"/>
    </w:pPr>
    <w:rPr>
      <w:b/>
      <w:color w:val="006283"/>
      <w:szCs w:val="24"/>
    </w:rPr>
  </w:style>
  <w:style w:type="paragraph" w:customStyle="1" w:styleId="TableTitleCont">
    <w:name w:val="TableTitleCont"/>
    <w:basedOn w:val="TableTitle"/>
    <w:qFormat/>
    <w:rsid w:val="00BE1B87"/>
    <w:pPr>
      <w:spacing w:before="0" w:after="60"/>
    </w:pPr>
    <w:rPr>
      <w:b w:val="0"/>
      <w:color w:val="auto"/>
    </w:rPr>
  </w:style>
  <w:style w:type="paragraph" w:customStyle="1" w:styleId="ListTitle">
    <w:name w:val="List_Title"/>
    <w:basedOn w:val="BaseText"/>
    <w:next w:val="NumBulListLevel1"/>
    <w:qFormat/>
    <w:rsid w:val="00BE1B87"/>
    <w:pPr>
      <w:keepNext/>
      <w:spacing w:after="240"/>
    </w:pPr>
    <w:rPr>
      <w:b/>
    </w:rPr>
  </w:style>
  <w:style w:type="paragraph" w:customStyle="1" w:styleId="Heading10">
    <w:name w:val="Heading1"/>
    <w:basedOn w:val="BaseHeading"/>
    <w:next w:val="BodyText0"/>
    <w:qFormat/>
    <w:rsid w:val="00BE1B87"/>
    <w:pPr>
      <w:keepNext/>
      <w:numPr>
        <w:numId w:val="40"/>
      </w:numPr>
      <w:spacing w:after="240"/>
    </w:pPr>
    <w:rPr>
      <w:b/>
      <w:color w:val="006283"/>
    </w:rPr>
  </w:style>
  <w:style w:type="paragraph" w:customStyle="1" w:styleId="BodyText0">
    <w:name w:val="BodyText"/>
    <w:basedOn w:val="BaseText"/>
    <w:qFormat/>
    <w:rsid w:val="00BE1B87"/>
    <w:pPr>
      <w:numPr>
        <w:ilvl w:val="6"/>
        <w:numId w:val="40"/>
      </w:numPr>
      <w:spacing w:after="240"/>
      <w:jc w:val="both"/>
    </w:pPr>
  </w:style>
  <w:style w:type="paragraph" w:customStyle="1" w:styleId="BodyText20">
    <w:name w:val="BodyText2"/>
    <w:basedOn w:val="BaseText"/>
    <w:qFormat/>
    <w:rsid w:val="00BE1B87"/>
    <w:pPr>
      <w:spacing w:after="240"/>
      <w:ind w:left="900" w:hanging="360"/>
    </w:pPr>
  </w:style>
  <w:style w:type="paragraph" w:customStyle="1" w:styleId="BodyText30">
    <w:name w:val="BodyText3"/>
    <w:basedOn w:val="BaseText"/>
    <w:qFormat/>
    <w:rsid w:val="00BE1B87"/>
    <w:pPr>
      <w:spacing w:after="240"/>
      <w:ind w:left="1260" w:hanging="360"/>
    </w:pPr>
  </w:style>
  <w:style w:type="paragraph" w:customStyle="1" w:styleId="Heading20">
    <w:name w:val="Heading2"/>
    <w:basedOn w:val="BaseHeading"/>
    <w:next w:val="BodyText0"/>
    <w:qFormat/>
    <w:rsid w:val="00BE1B87"/>
    <w:pPr>
      <w:keepNext/>
      <w:numPr>
        <w:ilvl w:val="1"/>
        <w:numId w:val="40"/>
      </w:numPr>
      <w:spacing w:after="240"/>
      <w:outlineLvl w:val="1"/>
    </w:pPr>
    <w:rPr>
      <w:b/>
      <w:color w:val="006283"/>
    </w:rPr>
  </w:style>
  <w:style w:type="paragraph" w:customStyle="1" w:styleId="Heading30">
    <w:name w:val="Heading3"/>
    <w:basedOn w:val="BaseHeading"/>
    <w:next w:val="BodyText0"/>
    <w:qFormat/>
    <w:rsid w:val="00BE1B87"/>
    <w:pPr>
      <w:keepNext/>
      <w:numPr>
        <w:ilvl w:val="2"/>
        <w:numId w:val="40"/>
      </w:numPr>
      <w:spacing w:after="240"/>
      <w:outlineLvl w:val="2"/>
    </w:pPr>
    <w:rPr>
      <w:b/>
      <w:color w:val="006283"/>
    </w:rPr>
  </w:style>
  <w:style w:type="paragraph" w:customStyle="1" w:styleId="Heading40">
    <w:name w:val="Heading4"/>
    <w:basedOn w:val="BaseHeading"/>
    <w:next w:val="BodyText0"/>
    <w:qFormat/>
    <w:rsid w:val="00BE1B87"/>
    <w:pPr>
      <w:numPr>
        <w:ilvl w:val="3"/>
        <w:numId w:val="40"/>
      </w:numPr>
      <w:spacing w:after="240"/>
      <w:outlineLvl w:val="3"/>
    </w:pPr>
    <w:rPr>
      <w:b/>
      <w:color w:val="006283"/>
    </w:rPr>
  </w:style>
  <w:style w:type="paragraph" w:customStyle="1" w:styleId="Heading50">
    <w:name w:val="Heading5"/>
    <w:basedOn w:val="BaseHeading"/>
    <w:next w:val="BodyText0"/>
    <w:qFormat/>
    <w:rsid w:val="00BE1B87"/>
    <w:pPr>
      <w:keepNext/>
      <w:numPr>
        <w:ilvl w:val="4"/>
        <w:numId w:val="40"/>
      </w:numPr>
      <w:spacing w:after="240"/>
      <w:outlineLvl w:val="4"/>
    </w:pPr>
    <w:rPr>
      <w:b/>
      <w:color w:val="006283"/>
    </w:rPr>
  </w:style>
  <w:style w:type="paragraph" w:customStyle="1" w:styleId="Heading60">
    <w:name w:val="Heading6"/>
    <w:basedOn w:val="BaseHeading"/>
    <w:next w:val="BodyText0"/>
    <w:qFormat/>
    <w:rsid w:val="00BE1B87"/>
    <w:pPr>
      <w:numPr>
        <w:ilvl w:val="5"/>
        <w:numId w:val="40"/>
      </w:numPr>
      <w:spacing w:after="240"/>
      <w:outlineLvl w:val="5"/>
    </w:pPr>
    <w:rPr>
      <w:b/>
      <w:color w:val="006283"/>
    </w:rPr>
  </w:style>
  <w:style w:type="paragraph" w:customStyle="1" w:styleId="Heading70">
    <w:name w:val="Heading7"/>
    <w:basedOn w:val="BaseHeading"/>
    <w:next w:val="BodyText0"/>
    <w:qFormat/>
    <w:rsid w:val="00BE1B87"/>
    <w:pPr>
      <w:keepNext/>
      <w:spacing w:after="240"/>
      <w:outlineLvl w:val="6"/>
    </w:pPr>
    <w:rPr>
      <w:b/>
      <w:color w:val="006283"/>
    </w:rPr>
  </w:style>
  <w:style w:type="paragraph" w:customStyle="1" w:styleId="Heading80">
    <w:name w:val="Heading8"/>
    <w:basedOn w:val="BaseHeading"/>
    <w:next w:val="BodyText0"/>
    <w:qFormat/>
    <w:rsid w:val="00BE1B87"/>
    <w:pPr>
      <w:keepNext/>
      <w:spacing w:after="240"/>
      <w:outlineLvl w:val="7"/>
    </w:pPr>
    <w:rPr>
      <w:b/>
      <w:color w:val="006283"/>
    </w:rPr>
  </w:style>
  <w:style w:type="paragraph" w:customStyle="1" w:styleId="Heading90">
    <w:name w:val="Heading9"/>
    <w:basedOn w:val="BaseText"/>
    <w:next w:val="BodyText0"/>
    <w:qFormat/>
    <w:rsid w:val="00BE1B87"/>
    <w:pPr>
      <w:keepNext/>
      <w:spacing w:after="240"/>
      <w:outlineLvl w:val="8"/>
    </w:pPr>
    <w:rPr>
      <w:b/>
      <w:color w:val="006283"/>
    </w:rPr>
  </w:style>
  <w:style w:type="paragraph" w:customStyle="1" w:styleId="BodyTextUnnumbered">
    <w:name w:val="BodyText_Unnumbered"/>
    <w:basedOn w:val="BaseText"/>
    <w:qFormat/>
    <w:rsid w:val="00BE1B87"/>
    <w:pPr>
      <w:spacing w:after="240"/>
      <w:jc w:val="both"/>
    </w:pPr>
  </w:style>
  <w:style w:type="paragraph" w:customStyle="1" w:styleId="BodyTextCentered">
    <w:name w:val="BodyText_Centered"/>
    <w:basedOn w:val="BaseText"/>
    <w:qFormat/>
    <w:rsid w:val="00BE1B87"/>
    <w:pPr>
      <w:spacing w:after="240"/>
      <w:jc w:val="center"/>
    </w:pPr>
  </w:style>
  <w:style w:type="paragraph" w:customStyle="1" w:styleId="UnnumberedListLevel1">
    <w:name w:val="Unnumbered_List_Level_1"/>
    <w:basedOn w:val="BaseText"/>
    <w:qFormat/>
    <w:rsid w:val="00BE1B87"/>
    <w:pPr>
      <w:spacing w:after="240"/>
      <w:ind w:left="567"/>
    </w:pPr>
  </w:style>
  <w:style w:type="paragraph" w:customStyle="1" w:styleId="UnnumberedListLevel2">
    <w:name w:val="Unnumbered_List_Level_2"/>
    <w:basedOn w:val="BaseText"/>
    <w:qFormat/>
    <w:rsid w:val="00BE1B87"/>
    <w:pPr>
      <w:spacing w:after="240"/>
      <w:ind w:left="1134"/>
    </w:pPr>
  </w:style>
  <w:style w:type="paragraph" w:customStyle="1" w:styleId="ListLevel1Cont">
    <w:name w:val="List_Level_1_Cont"/>
    <w:basedOn w:val="BaseText"/>
    <w:qFormat/>
    <w:rsid w:val="00BE1B87"/>
    <w:pPr>
      <w:spacing w:after="240"/>
      <w:ind w:left="900"/>
    </w:pPr>
  </w:style>
  <w:style w:type="paragraph" w:customStyle="1" w:styleId="ListLevel2Cont">
    <w:name w:val="List_Level_2_Cont"/>
    <w:basedOn w:val="BaseText"/>
    <w:qFormat/>
    <w:rsid w:val="00BE1B87"/>
    <w:pPr>
      <w:spacing w:after="240"/>
      <w:ind w:left="1350"/>
    </w:pPr>
  </w:style>
  <w:style w:type="paragraph" w:customStyle="1" w:styleId="ListLevel3Cont">
    <w:name w:val="List_Level_3_Cont"/>
    <w:basedOn w:val="BaseText"/>
    <w:qFormat/>
    <w:rsid w:val="00BE1B87"/>
    <w:pPr>
      <w:spacing w:after="240"/>
      <w:ind w:left="1710"/>
    </w:pPr>
  </w:style>
  <w:style w:type="paragraph" w:customStyle="1" w:styleId="BodyTextEmphasis">
    <w:name w:val="BodyText_Emphasis"/>
    <w:basedOn w:val="BaseText"/>
    <w:qFormat/>
    <w:rsid w:val="00BE1B87"/>
    <w:pPr>
      <w:spacing w:after="240"/>
      <w:jc w:val="both"/>
    </w:pPr>
    <w:rPr>
      <w:b/>
      <w:i/>
    </w:rPr>
  </w:style>
  <w:style w:type="character" w:customStyle="1" w:styleId="citekwd">
    <w:name w:val="cite_kwd"/>
    <w:uiPriority w:val="1"/>
    <w:rsid w:val="00BE1B87"/>
    <w:rPr>
      <w:bdr w:val="none" w:sz="0" w:space="0" w:color="auto"/>
      <w:shd w:val="clear" w:color="auto" w:fill="CCCCFF"/>
    </w:rPr>
  </w:style>
  <w:style w:type="character" w:customStyle="1" w:styleId="IneraTableMultiParChar">
    <w:name w:val="IneraTableMultiPar Char"/>
    <w:basedOn w:val="TableofFiguresChar"/>
    <w:link w:val="IneraTableMultiPar"/>
    <w:rsid w:val="00D5600E"/>
    <w:rPr>
      <w:rFonts w:ascii="Verdana" w:eastAsia="Calibri" w:hAnsi="Verdana" w:cs="Times New Roman"/>
      <w:noProof/>
      <w:sz w:val="18"/>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106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unctadstat.unctad.org/EN/" TargetMode="External"/><Relationship Id="rId26" Type="http://schemas.openxmlformats.org/officeDocument/2006/relationships/hyperlink" Target="https://apsr.om/en/tariffs" TargetMode="External"/><Relationship Id="rId3" Type="http://schemas.openxmlformats.org/officeDocument/2006/relationships/numbering" Target="numbering.xml"/><Relationship Id="rId21" Type="http://schemas.openxmlformats.org/officeDocument/2006/relationships/hyperlink" Target="https://www.mola.gov.om/eng/legislation/decisions/details.aspx?Id=1434&amp;type=D"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ata.imf.org/" TargetMode="External"/><Relationship Id="rId25" Type="http://schemas.openxmlformats.org/officeDocument/2006/relationships/hyperlink" Target="https://data.gov.om/OMOLGS2016/oil-and-gas" TargetMode="External"/><Relationship Id="rId33"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hyperlink" Target="https://www.worldbank.org/en/research/commodity-markets" TargetMode="External"/><Relationship Id="rId20" Type="http://schemas.openxmlformats.org/officeDocument/2006/relationships/hyperlink" Target="https://www.worldbank.org/en/research/commodity-markets" TargetMode="External"/><Relationship Id="rId29" Type="http://schemas.openxmlformats.org/officeDocument/2006/relationships/hyperlink" Target="https://unctadstat.unctad.org/wds/Report%20Folders/reportFolders.aspx?sCS_ChosenLang=en"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ata.gov.om/OMFSRS2016/fisheries"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data.gov.om/" TargetMode="External"/><Relationship Id="rId23" Type="http://schemas.openxmlformats.org/officeDocument/2006/relationships/hyperlink" Target="https://data.gov.om/OMAGLS2016/agriculture-livestock" TargetMode="External"/><Relationship Id="rId28" Type="http://schemas.openxmlformats.org/officeDocument/2006/relationships/hyperlink" Target="https://www.tra.gov.om/En/ManageReports.jsp?menu=114" TargetMode="External"/><Relationship Id="rId10" Type="http://schemas.openxmlformats.org/officeDocument/2006/relationships/header" Target="header2.xml"/><Relationship Id="rId19" Type="http://schemas.openxmlformats.org/officeDocument/2006/relationships/hyperlink" Target="https://data.gov.om/" TargetMode="External"/><Relationship Id="rId31" Type="http://schemas.openxmlformats.org/officeDocument/2006/relationships/hyperlink" Target="https://data.gov.om/dedblxg/touris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ata.gov.om/OMPOP2016/population" TargetMode="External"/><Relationship Id="rId22" Type="http://schemas.openxmlformats.org/officeDocument/2006/relationships/hyperlink" Target="https://www.mola.gov.om/eng/legislation/decisions/details.aspx?Id=1474&amp;type=D" TargetMode="External"/><Relationship Id="rId27" Type="http://schemas.openxmlformats.org/officeDocument/2006/relationships/hyperlink" Target="https://www.itu.int/en/ITU-D/Statistics/Pages/stat/default.aspx" TargetMode="External"/><Relationship Id="rId30" Type="http://schemas.openxmlformats.org/officeDocument/2006/relationships/hyperlink" Target="https://data.gov.om/yawrtcg/transport"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www.pwc.com/m1/en/services/tax/me-tax-legal-news/2018/oman-announces-temporary-ban-on-work-visas-for-expats.html" TargetMode="External"/><Relationship Id="rId18" Type="http://schemas.openxmlformats.org/officeDocument/2006/relationships/hyperlink" Target="https://www.gcc-sg.org/en-us/CooperationAndAchievements/Achievements/EconomicCooperation/%20TheCustomsUnion/Achievements/Pages/ITheFreeTradeAreaFTA.aspx" TargetMode="External"/><Relationship Id="rId26" Type="http://schemas.openxmlformats.org/officeDocument/2006/relationships/hyperlink" Target="https://tfadatabase.org/members/oman" TargetMode="External"/><Relationship Id="rId39" Type="http://schemas.openxmlformats.org/officeDocument/2006/relationships/hyperlink" Target="http://www.alpencapital.com/downloads/reports/2019/GCC-Food-Industry-Report-September-2019.pdf" TargetMode="External"/><Relationship Id="rId21" Type="http://schemas.openxmlformats.org/officeDocument/2006/relationships/hyperlink" Target="https://www.gcc-sg.org/en-us/CooperationAndAchievements/Achievements/Economic%20Cooperation/TheGCCCommonMarketandEconomicnationality/Pages/MechanismofAchievingtheCommonM.aspx" TargetMode="External"/><Relationship Id="rId34" Type="http://schemas.openxmlformats.org/officeDocument/2006/relationships/hyperlink" Target="https://www.tobaccocontrollaws.org/legislation/country/oman/summary" TargetMode="External"/><Relationship Id="rId42" Type="http://schemas.openxmlformats.org/officeDocument/2006/relationships/hyperlink" Target="https://mjla.gov.om/eng/legislation/decrees/details.aspx?Id=549&amp;type=L" TargetMode="External"/><Relationship Id="rId47" Type="http://schemas.openxmlformats.org/officeDocument/2006/relationships/hyperlink" Target="https://omanpwp.om/new/Documents.aspx?Pid=46" TargetMode="External"/><Relationship Id="rId50" Type="http://schemas.openxmlformats.org/officeDocument/2006/relationships/hyperlink" Target="https://open.unido.org/%20api/documents/15202854/download/Oman%20Manufacturing%20Strategy-%20En%20-%20for%20web.pdf" TargetMode="External"/><Relationship Id="rId55" Type="http://schemas.openxmlformats.org/officeDocument/2006/relationships/hyperlink" Target="https://www.tra.gov.om/En/WhoWeAre.jsp?menu=7" TargetMode="External"/><Relationship Id="rId63" Type="http://schemas.openxmlformats.org/officeDocument/2006/relationships/hyperlink" Target="https://unctadstat.unctad.org/wds/ReportFolders/reportFolders.aspx?sCS_ChosenLang=en" TargetMode="External"/><Relationship Id="rId68" Type="http://schemas.openxmlformats.org/officeDocument/2006/relationships/hyperlink" Target="https://www.omran.om/portfolio/hospitality/" TargetMode="External"/><Relationship Id="rId7" Type="http://schemas.openxmlformats.org/officeDocument/2006/relationships/hyperlink" Target="https://www.imf.org/-/media/Files/Publications/DP/2020/English/%20FOFSGCCEA.ashx" TargetMode="External"/><Relationship Id="rId2" Type="http://schemas.openxmlformats.org/officeDocument/2006/relationships/hyperlink" Target="https://fm.gov.om/about-oman/state/geography/" TargetMode="External"/><Relationship Id="rId16" Type="http://schemas.openxmlformats.org/officeDocument/2006/relationships/hyperlink" Target="http://www.wcoomd.org/-/media/wco/public/global/pdf/topics/wto-atf/national-committees-on-trade-facilitation/oman-case-study-on-national-committees-on-trade-facilitation.pdf?la=en" TargetMode="External"/><Relationship Id="rId29" Type="http://schemas.openxmlformats.org/officeDocument/2006/relationships/hyperlink" Target="http://arabic.creditoman.om/services.aspx" TargetMode="External"/><Relationship Id="rId1" Type="http://schemas.openxmlformats.org/officeDocument/2006/relationships/hyperlink" Target="https://datahelpdesk.worldbank.org/knowledgebase/articles/906519" TargetMode="External"/><Relationship Id="rId6" Type="http://schemas.openxmlformats.org/officeDocument/2006/relationships/hyperlink" Target="https://iea.blob.core.windows.net/assets/1fa45234-bac5-4d89-a532-768960f99d07/Oil_2021-PDF.pdf" TargetMode="External"/><Relationship Id="rId11" Type="http://schemas.openxmlformats.org/officeDocument/2006/relationships/hyperlink" Target="https://cbo.gov.om/Pages/MonthlyBulletins.aspx" TargetMode="External"/><Relationship Id="rId24" Type="http://schemas.openxmlformats.org/officeDocument/2006/relationships/hyperlink" Target="https://ec.europa.eu/trade/policy/countries-and-regions/regions/gulf-region/" TargetMode="External"/><Relationship Id="rId32" Type="http://schemas.openxmlformats.org/officeDocument/2006/relationships/hyperlink" Target="https://www.gso.org.sa/en/standards/method-of-standards-development/" TargetMode="External"/><Relationship Id="rId37" Type="http://schemas.openxmlformats.org/officeDocument/2006/relationships/hyperlink" Target="https://isfu.gov.om/Annual_Report_2017_EN.pdf" TargetMode="External"/><Relationship Id="rId40" Type="http://schemas.openxmlformats.org/officeDocument/2006/relationships/hyperlink" Target="https://mjla.gov.om/eng/legislation/decrees/details.aspx?Id=513&amp;type=L" TargetMode="External"/><Relationship Id="rId45" Type="http://schemas.openxmlformats.org/officeDocument/2006/relationships/hyperlink" Target="https://mjla.gov.om/eng/legislation/decrees/details.aspx?Id=1228&amp;type=L" TargetMode="External"/><Relationship Id="rId53" Type="http://schemas.openxmlformats.org/officeDocument/2006/relationships/hyperlink" Target="https://www.omanbroadband.om/Coverage-Map.html" TargetMode="External"/><Relationship Id="rId58" Type="http://schemas.openxmlformats.org/officeDocument/2006/relationships/hyperlink" Target="https://www.tra.gov.om/En/ManageReports.jsp?menu=114" TargetMode="External"/><Relationship Id="rId66" Type="http://schemas.openxmlformats.org/officeDocument/2006/relationships/hyperlink" Target="https://www.caa.gov.om/upload/files/Economic-regulation-of-licensing-and-consumer-protection-in-Civil-Aviation.pdf" TargetMode="External"/><Relationship Id="rId5" Type="http://schemas.openxmlformats.org/officeDocument/2006/relationships/hyperlink" Target="https://www.spglobal.com/platts/en/market-insights/latest-news/oil/042720-oman-reveals-oil-production-cut-plans-under-opec-deal" TargetMode="External"/><Relationship Id="rId15" Type="http://schemas.openxmlformats.org/officeDocument/2006/relationships/hyperlink" Target="https://chamberoman.om/committees-councils/temporary-committees/" TargetMode="External"/><Relationship Id="rId23" Type="http://schemas.openxmlformats.org/officeDocument/2006/relationships/hyperlink" Target="https://www.dfat.gov.au/trade/agreements/negotiations/agccfta/%20Pages/australia-gulf-cooperation-council-gcc-fta" TargetMode="External"/><Relationship Id="rId28" Type="http://schemas.openxmlformats.org/officeDocument/2006/relationships/hyperlink" Target="https://www.sfzco.com/services_overview.html" TargetMode="External"/><Relationship Id="rId36" Type="http://schemas.openxmlformats.org/officeDocument/2006/relationships/hyperlink" Target="https://omanlawblog.curtis.com/2015/01/sultanate-of-oman-consumer-protection.html" TargetMode="External"/><Relationship Id="rId49" Type="http://schemas.openxmlformats.org/officeDocument/2006/relationships/hyperlink" Target="https://apsr.om/en/node/39" TargetMode="External"/><Relationship Id="rId57" Type="http://schemas.openxmlformats.org/officeDocument/2006/relationships/hyperlink" Target="https://www.tra.gov.om/pdf/8-mdd-Report.pdf" TargetMode="External"/><Relationship Id="rId61" Type="http://schemas.openxmlformats.org/officeDocument/2006/relationships/hyperlink" Target="https://unctadstat.unctad.org/countryprofile/maritimeprofile/en-gb/512/MaritimeProfile512.pdf" TargetMode="External"/><Relationship Id="rId10" Type="http://schemas.openxmlformats.org/officeDocument/2006/relationships/hyperlink" Target="https://cbo.gov.om/Pages/LiquidityManagement.aspx" TargetMode="External"/><Relationship Id="rId19" Type="http://schemas.openxmlformats.org/officeDocument/2006/relationships/hyperlink" Target="http://rtais.wto.org/UI/PublicShowMemberRTAIDCard.aspx?rtaid=462" TargetMode="External"/><Relationship Id="rId31" Type="http://schemas.openxmlformats.org/officeDocument/2006/relationships/hyperlink" Target="https://www.iso.org/member/2007.html" TargetMode="External"/><Relationship Id="rId44" Type="http://schemas.openxmlformats.org/officeDocument/2006/relationships/hyperlink" Target="https://mola.gov.om/Download.aspx?Path=royal/2020-00128%20Formatted.pdf" TargetMode="External"/><Relationship Id="rId52" Type="http://schemas.openxmlformats.org/officeDocument/2006/relationships/hyperlink" Target="https://www.msx.om/page.aspx?b1=Our-Profile&amp;b2=History&amp;p=HistoryEvents&amp;ti=History" TargetMode="External"/><Relationship Id="rId60" Type="http://schemas.openxmlformats.org/officeDocument/2006/relationships/hyperlink" Target="https://www.transport.gov.om/files/SD.35.81-E.pdf" TargetMode="External"/><Relationship Id="rId65" Type="http://schemas.openxmlformats.org/officeDocument/2006/relationships/hyperlink" Target="https://www.caa.gov.om/caa/directorates/directorate-general-of-air-navigation" TargetMode="External"/><Relationship Id="rId4" Type="http://schemas.openxmlformats.org/officeDocument/2006/relationships/hyperlink" Target="https://www.opec.org/opec_web/en/press_room/5891.htm" TargetMode="External"/><Relationship Id="rId9" Type="http://schemas.openxmlformats.org/officeDocument/2006/relationships/hyperlink" Target="https://www.imf.org/-/media/Files/Publications/PP/2020/English/PPEA2020065.ashx" TargetMode="External"/><Relationship Id="rId14" Type="http://schemas.openxmlformats.org/officeDocument/2006/relationships/hyperlink" Target="https://fm.gov.om/about-oman/state%20/geography/" TargetMode="External"/><Relationship Id="rId22" Type="http://schemas.openxmlformats.org/officeDocument/2006/relationships/hyperlink" Target="https://www.mti.gov.sg/-/media/MTI/Images/Improving-Trade/FTA_Booklet_Final.pdf" TargetMode="External"/><Relationship Id="rId27" Type="http://schemas.openxmlformats.org/officeDocument/2006/relationships/hyperlink" Target="https://www.healyconsultants.com/oman-company-registration/free-zones/" TargetMode="External"/><Relationship Id="rId30" Type="http://schemas.openxmlformats.org/officeDocument/2006/relationships/hyperlink" Target="https://www.oman.om/wps/wcm/connect/en/site/home/gov/gov1/gov5governmentorganizations/odb/odb" TargetMode="External"/><Relationship Id="rId35" Type="http://schemas.openxmlformats.org/officeDocument/2006/relationships/hyperlink" Target="https://omanlawblog.curtis.com/2017/09/anti-monopoly-and-competition-law-in.html" TargetMode="External"/><Relationship Id="rId43" Type="http://schemas.openxmlformats.org/officeDocument/2006/relationships/hyperlink" Target="https://www.bp.com/content/dam/bp/business-sites/en/global/corporate/pdfs/energy-economics/statistical-review/bp-stats-review-2020-full-report.pdf" TargetMode="External"/><Relationship Id="rId48" Type="http://schemas.openxmlformats.org/officeDocument/2006/relationships/hyperlink" Target="https://omanpwp.om/PDF/7%20Year%20Statement%202019-2025%20New.pdf" TargetMode="External"/><Relationship Id="rId56" Type="http://schemas.openxmlformats.org/officeDocument/2006/relationships/hyperlink" Target="https://www.tra.gov.om/En/Class1.jsp?pageNo=1&amp;menu=30&amp;classType=1" TargetMode="External"/><Relationship Id="rId64" Type="http://schemas.openxmlformats.org/officeDocument/2006/relationships/hyperlink" Target="https://mtcit.gov.om/ITAPortal/Pages/Page.aspx?NID=292386&amp;PID=199505" TargetMode="External"/><Relationship Id="rId69" Type="http://schemas.openxmlformats.org/officeDocument/2006/relationships/hyperlink" Target="https://www.oman.om/wps/wcm/connect/en/site/home/gov/gov1%20/gov5governmentorganizations/odb/tourismloans" TargetMode="External"/><Relationship Id="rId8" Type="http://schemas.openxmlformats.org/officeDocument/2006/relationships/hyperlink" Target="https://mof.gov.om/Portals/1/documents/Tawazon/Economic%20Stimulus%20Plan.pdf" TargetMode="External"/><Relationship Id="rId51" Type="http://schemas.openxmlformats.org/officeDocument/2006/relationships/hyperlink" Target="https://cbo.gov.om/sites/assets/Documents/English/Fintech/FRSProposalFramework.pdf" TargetMode="External"/><Relationship Id="rId3" Type="http://schemas.openxmlformats.org/officeDocument/2006/relationships/hyperlink" Target="https://www.opec.org/opec_web/en/press_room/4696.htm" TargetMode="External"/><Relationship Id="rId12" Type="http://schemas.openxmlformats.org/officeDocument/2006/relationships/hyperlink" Target="https://www.imf.org/-/media/Files/Publications/WP/2019/wpiea2019304-print-pdf.ashx" TargetMode="External"/><Relationship Id="rId17" Type="http://schemas.openxmlformats.org/officeDocument/2006/relationships/hyperlink" Target="https://tfadatabase.org/members/oman" TargetMode="External"/><Relationship Id="rId25" Type="http://schemas.openxmlformats.org/officeDocument/2006/relationships/hyperlink" Target="https://www.customs.gov.om/dgcportal/bayan-system" TargetMode="External"/><Relationship Id="rId33" Type="http://schemas.openxmlformats.org/officeDocument/2006/relationships/hyperlink" Target="https://www.iso.org/member/2007.html" TargetMode="External"/><Relationship Id="rId38" Type="http://schemas.openxmlformats.org/officeDocument/2006/relationships/hyperlink" Target="https://oq.com/en/about-oq/company/our-journey" TargetMode="External"/><Relationship Id="rId46" Type="http://schemas.openxmlformats.org/officeDocument/2006/relationships/hyperlink" Target="https://apsr.om/en/node/35" TargetMode="External"/><Relationship Id="rId59" Type="http://schemas.openxmlformats.org/officeDocument/2006/relationships/hyperlink" Target="https://www.sas.om/SASEN/Pages/about.aspx" TargetMode="External"/><Relationship Id="rId67" Type="http://schemas.openxmlformats.org/officeDocument/2006/relationships/hyperlink" Target="https://www.omanairports.co.om/pdf/TermsOfService2020.pdf" TargetMode="External"/><Relationship Id="rId20" Type="http://schemas.openxmlformats.org/officeDocument/2006/relationships/hyperlink" Target="http://www.gcc-sg.org/en-us/MediaCenter/NewsCooperation/News/Pages/news2019-12-10-5.aspx" TargetMode="External"/><Relationship Id="rId41" Type="http://schemas.openxmlformats.org/officeDocument/2006/relationships/hyperlink" Target="https://mjla.gov.om/eng/legislation/decrees/details.aspx?Id=1246&amp;type=L" TargetMode="External"/><Relationship Id="rId54" Type="http://schemas.openxmlformats.org/officeDocument/2006/relationships/hyperlink" Target="https://publicadministration.un.org/egovkb/en-us/Reports/UN-E-Government-Survey-2020" TargetMode="External"/><Relationship Id="rId62" Type="http://schemas.openxmlformats.org/officeDocument/2006/relationships/hyperlink" Target="https://unctadstat.unctad.org/countryprofile/maritimeprofile/en-gb/512/MaritimeProfile512.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isson\appdata\roaming\microsoft\templates\Publications\WTOTPRSe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BC2A-4A48-4CD5-BCB8-7ACF76E6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WTOTPRSecE.dotx</Template>
  <TotalTime>0</TotalTime>
  <Pages>91</Pages>
  <Words>38579</Words>
  <Characters>218969</Characters>
  <Application>Microsoft Office Word</Application>
  <DocSecurity>0</DocSecurity>
  <Lines>7820</Lines>
  <Paragraphs>6132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251416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2021-10-08T07:01:00Z</cp:lastPrinted>
  <dcterms:created xsi:type="dcterms:W3CDTF">2022-10-10T14:01:00Z</dcterms:created>
  <dcterms:modified xsi:type="dcterms:W3CDTF">2022-10-10T14:01:00Z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WT/TPR/S/418</vt:lpwstr>
  </property>
  <property fmtid="{D5CDD505-2E9C-101B-9397-08002B2CF9AE}" pid="3" name="Symbol2">
    <vt:lpwstr>Oman</vt:lpwstr>
  </property>
  <property fmtid="{D5CDD505-2E9C-101B-9397-08002B2CF9AE}" pid="4" name="TitusGUID">
    <vt:lpwstr>372ae600-4e5c-4051-9031-b02e1535c8ec</vt:lpwstr>
  </property>
  <property fmtid="{D5CDD505-2E9C-101B-9397-08002B2CF9AE}" pid="5" name="WTOCLASSIFICATION">
    <vt:lpwstr>WTO OFFICIAL</vt:lpwstr>
  </property>
  <property fmtid="{D5CDD505-2E9C-101B-9397-08002B2CF9AE}" pid="6" name="x_a">
    <vt:bool>false</vt:bool>
  </property>
  <property fmtid="{D5CDD505-2E9C-101B-9397-08002B2CF9AE}" pid="7" name="x_p">
    <vt:bool>false</vt:bool>
  </property>
  <property fmtid="{D5CDD505-2E9C-101B-9397-08002B2CF9AE}" pid="8" name="x_t">
    <vt:bool>true</vt:bool>
  </property>
</Properties>
</file>