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Arial" w:hAnsi="Arial"/>
          <w:b/>
          <w:color w:val="00467F"/>
          <w:sz w:val="44"/>
        </w:rPr>
        <w:t>베트남 시장 유망 사업 아이디어 보고서</w:t>
      </w:r>
    </w:p>
    <w:p>
      <w:pPr>
        <w:spacing w:after="80"/>
        <w:jc w:val="center"/>
      </w:pPr>
      <w:r>
        <w:rPr>
          <w:rFonts w:ascii="Arial" w:hAnsi="Arial"/>
          <w:b w:val="0"/>
          <w:color w:val="646464"/>
          <w:sz w:val="26"/>
        </w:rPr>
        <w:t>Vietnam Market Business Opportunities 2026</w:t>
      </w:r>
    </w:p>
    <w:p>
      <w:pPr>
        <w:spacing w:after="400"/>
        <w:jc w:val="center"/>
      </w:pPr>
      <w:r>
        <w:rPr>
          <w:rFonts w:ascii="Arial" w:hAnsi="Arial"/>
          <w:b w:val="0"/>
          <w:color w:val="828282"/>
          <w:sz w:val="20"/>
        </w:rPr>
        <w:t>작성일: 2026년 05월 15일</w:t>
      </w:r>
    </w:p>
    <w:p/>
    <w:p>
      <w:pPr>
        <w:spacing w:before="280" w:after="120"/>
      </w:pPr>
      <w:r>
        <w:rPr>
          <w:rFonts w:ascii="Arial" w:hAnsi="Arial"/>
          <w:b/>
          <w:color w:val="00467F"/>
          <w:sz w:val="36"/>
        </w:rPr>
        <w:t>1. 베트남 시장 개요</w:t>
      </w:r>
    </w:p>
    <w:p>
      <w:pPr>
        <w:spacing w:before="40" w:after="160"/>
        <w:jc w:val="left"/>
      </w:pPr>
      <w:r>
        <w:rPr>
          <w:rFonts w:ascii="Arial" w:hAnsi="Arial"/>
          <w:b w:val="0"/>
          <w:sz w:val="22"/>
        </w:rPr>
        <w:t>베트남은 2026년 현재 동남아시아에서 가장 역동적인 투자처 중 하나로 부상하고 있습니다. GDP 10% 성장 목표, FTSE 러셀 신흥시장 편입(2026년 9월 예정), 탈중국 공급망 재편의 핵심 수혜국으로 글로벌 자본과 기업의 주목을 받고 있습니다.</w:t>
      </w:r>
    </w:p>
    <w:p>
      <w:pPr>
        <w:spacing w:before="40" w:after="160"/>
        <w:jc w:val="left"/>
      </w:pPr>
      <w:r>
        <w:rPr>
          <w:rFonts w:ascii="Arial" w:hAnsi="Arial"/>
          <w:b w:val="0"/>
          <w:sz w:val="22"/>
        </w:rPr>
        <w:t>반도체·AI·헬스케어·소비자 기술 분야에 벤처 자본이 집중되고 있으며, 민간 부문이 GDP의 50% 이상, 고용의 85%를 차지하는 활력 넘치는 경제 구조를 갖추고 있습니다.</w:t>
      </w:r>
    </w:p>
    <w:p>
      <w:pPr>
        <w:spacing w:before="40" w:after="160"/>
        <w:jc w:val="left"/>
      </w:pPr>
      <w:r>
        <w:rPr>
          <w:rFonts w:ascii="Arial" w:hAnsi="Arial"/>
          <w:b w:val="0"/>
          <w:sz w:val="22"/>
        </w:rPr>
        <w:t>2025~2030년 5개년 사회경제개발계획 첫해인 2026년은 제도 개혁·인프라 투자·디지털 전환이 동시에 가속화되는 '황금기'로 평가됩니다.</w:t>
      </w:r>
    </w:p>
    <w:p>
      <w:pPr>
        <w:spacing w:before="200" w:after="120"/>
      </w:pPr>
      <w:r>
        <w:rPr>
          <w:rFonts w:ascii="Arial" w:hAnsi="Arial"/>
          <w:b/>
          <w:color w:val="00467F"/>
          <w:sz w:val="28"/>
        </w:rPr>
        <w:t>핵심 경제 지표</w:t>
      </w:r>
    </w:p>
    <w:tbl>
      <w:tblPr>
        <w:tblStyle w:val="TableGrid"/>
        <w:tblW w:type="auto" w:w="0"/>
        <w:jc w:val="center"/>
        <w:tblLook w:firstColumn="1" w:firstRow="1" w:lastColumn="0" w:lastRow="0" w:noHBand="0" w:noVBand="1" w:val="04A0"/>
      </w:tblPr>
      <w:tblGrid>
        <w:gridCol w:w="5040"/>
        <w:gridCol w:w="2880"/>
      </w:tblGrid>
      <w:tr>
        <w:tc>
          <w:tcPr>
            <w:tcW w:type="dxa" w:w="4680"/>
            <w:tcBorders>
              <w:top w:val="single" w:sz="4" w:space="0" w:color="004680"/>
              <w:left w:val="single" w:sz="4" w:space="0" w:color="004680"/>
              <w:bottom w:val="single" w:sz="4" w:space="0" w:color="004680"/>
              <w:right w:val="single" w:sz="4" w:space="0" w:color="004680"/>
            </w:tcBorders>
            <w:shd w:val="clear" w:color="auto" w:fill="004680"/>
          </w:tcPr>
          <w:p>
            <w:pPr>
              <w:jc w:val="center"/>
            </w:pPr>
            <w:r>
              <w:rPr>
                <w:rFonts w:ascii="Arial" w:hAnsi="Arial"/>
                <w:b/>
                <w:color w:val="FFFFFF"/>
                <w:sz w:val="22"/>
              </w:rPr>
              <w:t>지표</w:t>
            </w:r>
          </w:p>
        </w:tc>
        <w:tc>
          <w:tcPr>
            <w:tcW w:type="dxa" w:w="4680"/>
            <w:tcBorders>
              <w:top w:val="single" w:sz="4" w:space="0" w:color="004680"/>
              <w:left w:val="single" w:sz="4" w:space="0" w:color="004680"/>
              <w:bottom w:val="single" w:sz="4" w:space="0" w:color="004680"/>
              <w:right w:val="single" w:sz="4" w:space="0" w:color="004680"/>
            </w:tcBorders>
            <w:shd w:val="clear" w:color="auto" w:fill="004680"/>
          </w:tcPr>
          <w:p>
            <w:pPr>
              <w:jc w:val="center"/>
            </w:pPr>
            <w:r>
              <w:rPr>
                <w:rFonts w:ascii="Arial" w:hAnsi="Arial"/>
                <w:b/>
                <w:color w:val="FFFFFF"/>
                <w:sz w:val="22"/>
              </w:rPr>
              <w:t>수치</w:t>
            </w:r>
          </w:p>
        </w:tc>
      </w:tr>
      <w:tr>
        <w:tc>
          <w:tcPr>
            <w:tcW w:type="dxa" w:w="5040"/>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b w:val="0"/>
                <w:sz w:val="20"/>
              </w:rPr>
              <w:t>GDP 성장 목표 (2026)</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jc w:val="center"/>
            </w:pPr>
            <w:r>
              <w:rPr>
                <w:rFonts w:ascii="Arial" w:hAnsi="Arial"/>
                <w:b w:val="0"/>
                <w:sz w:val="20"/>
              </w:rPr>
              <w:t>10%</w:t>
            </w:r>
          </w:p>
        </w:tc>
      </w:tr>
      <w:tr>
        <w:tc>
          <w:tcPr>
            <w:tcW w:type="dxa" w:w="5040"/>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b w:val="0"/>
                <w:sz w:val="20"/>
              </w:rPr>
              <w:t>외국인 직접 투자 목표</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jc w:val="center"/>
            </w:pPr>
            <w:r>
              <w:rPr>
                <w:rFonts w:ascii="Arial" w:hAnsi="Arial"/>
                <w:b w:val="0"/>
                <w:sz w:val="20"/>
              </w:rPr>
              <w:t>$40~50억/년</w:t>
            </w:r>
          </w:p>
        </w:tc>
      </w:tr>
      <w:tr>
        <w:tc>
          <w:tcPr>
            <w:tcW w:type="dxa" w:w="5040"/>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b w:val="0"/>
                <w:sz w:val="20"/>
              </w:rPr>
              <w:t>FTSE 신흥시장 편입 예상 자본 유입</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jc w:val="center"/>
            </w:pPr>
            <w:r>
              <w:rPr>
                <w:rFonts w:ascii="Arial" w:hAnsi="Arial"/>
                <w:b w:val="0"/>
                <w:sz w:val="20"/>
              </w:rPr>
              <w:t>$50~60억</w:t>
            </w:r>
          </w:p>
        </w:tc>
      </w:tr>
      <w:tr>
        <w:tc>
          <w:tcPr>
            <w:tcW w:type="dxa" w:w="5040"/>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b w:val="0"/>
                <w:sz w:val="20"/>
              </w:rPr>
              <w:t>ICT 인력 연간 부족 규모</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jc w:val="center"/>
            </w:pPr>
            <w:r>
              <w:rPr>
                <w:rFonts w:ascii="Arial" w:hAnsi="Arial"/>
                <w:b w:val="0"/>
                <w:sz w:val="20"/>
              </w:rPr>
              <w:t>15만 명+</w:t>
            </w:r>
          </w:p>
        </w:tc>
      </w:tr>
      <w:tr>
        <w:tc>
          <w:tcPr>
            <w:tcW w:type="dxa" w:w="5040"/>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b w:val="0"/>
                <w:sz w:val="20"/>
              </w:rPr>
              <w:t>민간 부문 GDP 기여율</w:t>
            </w:r>
          </w:p>
        </w:tc>
        <w:tc>
          <w:tcPr>
            <w:tcW w:type="dxa" w:w="2880"/>
            <w:tcBorders>
              <w:top w:val="single" w:sz="4" w:space="0" w:color="CCCCCC"/>
              <w:left w:val="single" w:sz="4" w:space="0" w:color="CCCCCC"/>
              <w:bottom w:val="single" w:sz="4" w:space="0" w:color="CCCCCC"/>
              <w:right w:val="single" w:sz="4" w:space="0" w:color="CCCCCC"/>
            </w:tcBorders>
          </w:tcPr>
          <w:p>
            <w:pPr>
              <w:spacing w:before="60" w:after="60"/>
              <w:jc w:val="center"/>
            </w:pPr>
            <w:r>
              <w:rPr>
                <w:rFonts w:ascii="Arial" w:hAnsi="Arial"/>
                <w:b w:val="0"/>
                <w:sz w:val="20"/>
              </w:rPr>
              <w:t>50% 이상</w:t>
            </w:r>
          </w:p>
        </w:tc>
      </w:tr>
    </w:tbl>
    <w:p/>
    <w:p>
      <w:pPr>
        <w:spacing w:before="280" w:after="120"/>
      </w:pPr>
      <w:r>
        <w:rPr>
          <w:rFonts w:ascii="Arial" w:hAnsi="Arial"/>
          <w:b/>
          <w:color w:val="00467F"/>
          <w:sz w:val="36"/>
        </w:rPr>
        <w:t>2. 유망 사업 아이디어 5가지</w:t>
      </w:r>
    </w:p>
    <w:p>
      <w:pPr>
        <w:spacing w:before="240" w:after="40"/>
      </w:pPr>
      <w:r>
        <w:rPr>
          <w:rFonts w:ascii="Arial" w:hAnsi="Arial"/>
          <w:b/>
          <w:color w:val="00644B"/>
          <w:sz w:val="26"/>
        </w:rPr>
        <w:t xml:space="preserve">① </w:t>
      </w:r>
      <w:r>
        <w:rPr>
          <w:rFonts w:ascii="Arial" w:hAnsi="Arial"/>
          <w:b/>
          <w:color w:val="00644B"/>
          <w:sz w:val="26"/>
        </w:rPr>
        <w:t>재생에너지 솔루션 &amp; 그린 핀테크</w:t>
      </w:r>
    </w:p>
    <w:p>
      <w:pPr>
        <w:spacing w:before="0" w:after="80"/>
      </w:pPr>
      <w:r>
        <w:rPr>
          <w:rFonts w:ascii="Arial" w:hAnsi="Arial"/>
          <w:b w:val="0"/>
          <w:color w:val="646464"/>
          <w:sz w:val="20"/>
        </w:rPr>
        <w:t>탄소 크레딧 거래소 설립 앞두고 폭발적 성장 예고</w:t>
      </w:r>
    </w:p>
    <w:p>
      <w:pPr>
        <w:spacing w:after="80"/>
      </w:pPr>
      <w:r>
        <w:rPr>
          <w:rFonts w:ascii="Arial" w:hAnsi="Arial"/>
          <w:b/>
          <w:color w:val="00644B"/>
          <w:sz w:val="18"/>
        </w:rPr>
        <w:t>[태양광·풍력]</w:t>
      </w:r>
      <w:r>
        <w:t xml:space="preserve">  </w:t>
      </w:r>
      <w:r>
        <w:rPr>
          <w:rFonts w:ascii="Arial" w:hAnsi="Arial"/>
          <w:b/>
          <w:color w:val="00644B"/>
          <w:sz w:val="18"/>
        </w:rPr>
        <w:t>[탄소 크레딧]</w:t>
      </w:r>
      <w:r>
        <w:t xml:space="preserve">  </w:t>
      </w:r>
      <w:r>
        <w:rPr>
          <w:rFonts w:ascii="Arial" w:hAnsi="Arial"/>
          <w:b/>
          <w:color w:val="00644B"/>
          <w:sz w:val="18"/>
        </w:rPr>
        <w:t>[에너지 저장]</w:t>
      </w:r>
    </w:p>
    <w:p>
      <w:pPr>
        <w:spacing w:before="40" w:after="120"/>
        <w:jc w:val="left"/>
      </w:pPr>
      <w:r>
        <w:rPr>
          <w:rFonts w:ascii="Arial" w:hAnsi="Arial"/>
          <w:b w:val="0"/>
          <w:sz w:val="21"/>
        </w:rPr>
        <w:t>베트남 전력 8차 계획(PDP VIII)에 따라 태양광·해상풍력·그린수소 투자가 급증하고 있으며, 베트남 정부는 2029년 탄소 크레딧 거래소 정식 운영을 목표로 파일럿 프로그램을 운영 중입니다. '탄소 크레딧 관리의 SAP' 역할을 할 그린 핀테크 스타트업이 블루오션으로 떠오르고 있습니다.</w:t>
      </w:r>
    </w:p>
    <w:p>
      <w:pPr>
        <w:spacing w:before="200" w:after="120"/>
      </w:pPr>
      <w:r>
        <w:rPr>
          <w:rFonts w:ascii="Arial" w:hAnsi="Arial"/>
          <w:b/>
          <w:color w:val="00644B"/>
          <w:sz w:val="24"/>
        </w:rPr>
        <w:t>주요 사업 모델</w:t>
      </w:r>
    </w:p>
    <w:p>
      <w:pPr>
        <w:pStyle w:val="ListBullet"/>
        <w:spacing w:before="20" w:after="40"/>
        <w:ind w:left="432"/>
      </w:pPr>
      <w:r>
        <w:rPr>
          <w:rFonts w:ascii="Arial" w:hAnsi="Arial"/>
          <w:b w:val="0"/>
          <w:sz w:val="21"/>
        </w:rPr>
        <w:t>태양광·풍력·그린수소 발전소 개발 및 EPC 사업</w:t>
      </w:r>
    </w:p>
    <w:p>
      <w:pPr>
        <w:pStyle w:val="ListBullet"/>
        <w:spacing w:before="20" w:after="40"/>
        <w:ind w:left="432"/>
      </w:pPr>
      <w:r>
        <w:rPr>
          <w:rFonts w:ascii="Arial" w:hAnsi="Arial"/>
          <w:b w:val="0"/>
          <w:sz w:val="21"/>
        </w:rPr>
        <w:t>탄소 크레딧 추적·거래 플랫폼 (Green-FinTech)</w:t>
      </w:r>
    </w:p>
    <w:p>
      <w:pPr>
        <w:pStyle w:val="ListBullet"/>
        <w:spacing w:before="20" w:after="40"/>
        <w:ind w:left="432"/>
      </w:pPr>
      <w:r>
        <w:rPr>
          <w:rFonts w:ascii="Arial" w:hAnsi="Arial"/>
          <w:b w:val="0"/>
          <w:sz w:val="21"/>
        </w:rPr>
        <w:t>에너지 저장 시스템(ESS) 및 스마트 그리드 솔루션</w:t>
      </w:r>
    </w:p>
    <w:p>
      <w:pPr>
        <w:pStyle w:val="ListBullet"/>
        <w:spacing w:before="20" w:after="40"/>
        <w:ind w:left="432"/>
      </w:pPr>
      <w:r>
        <w:rPr>
          <w:rFonts w:ascii="Arial" w:hAnsi="Arial"/>
          <w:b w:val="0"/>
          <w:sz w:val="21"/>
        </w:rPr>
        <w:t>직접전력구매제도(DPPA) 컨설팅 및 중개 서비스</w:t>
      </w:r>
    </w:p>
    <w:p>
      <w:pPr>
        <w:spacing w:before="200" w:after="120"/>
      </w:pPr>
      <w:r>
        <w:rPr>
          <w:rFonts w:ascii="Arial" w:hAnsi="Arial"/>
          <w:b/>
          <w:color w:val="00644B"/>
          <w:sz w:val="24"/>
        </w:rPr>
        <w:t>핵심 지표</w:t>
      </w: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E1F5EE"/>
          </w:tcPr>
          <w:p>
            <w:pPr>
              <w:spacing w:before="60" w:after="60"/>
            </w:pPr>
            <w:r>
              <w:rPr>
                <w:rFonts w:ascii="Arial" w:hAnsi="Arial"/>
                <w:b w:val="0"/>
                <w:sz w:val="20"/>
              </w:rPr>
              <w:t>연간 전력 수요 증가율</w:t>
            </w:r>
          </w:p>
        </w:tc>
        <w:tc>
          <w:tcPr>
            <w:tcW w:type="dxa" w:w="4680"/>
            <w:tcBorders>
              <w:top w:val="single" w:sz="4" w:space="0" w:color="CCCCCC"/>
              <w:left w:val="single" w:sz="4" w:space="0" w:color="CCCCCC"/>
              <w:bottom w:val="single" w:sz="4" w:space="0" w:color="CCCCCC"/>
              <w:right w:val="single" w:sz="4" w:space="0" w:color="CCCCCC"/>
            </w:tcBorders>
            <w:shd w:val="clear" w:color="auto" w:fill="E1F5EE"/>
          </w:tcPr>
          <w:p>
            <w:pPr>
              <w:spacing w:before="60" w:after="60"/>
            </w:pPr>
            <w:r>
              <w:rPr>
                <w:rFonts w:ascii="Arial" w:hAnsi="Arial"/>
                <w:b w:val="0"/>
                <w:sz w:val="20"/>
              </w:rPr>
              <w:t>8%+</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1F5EE"/>
          </w:tcPr>
          <w:p>
            <w:pPr>
              <w:spacing w:before="60" w:after="60"/>
            </w:pPr>
            <w:r>
              <w:rPr>
                <w:rFonts w:ascii="Arial" w:hAnsi="Arial"/>
                <w:b w:val="0"/>
                <w:sz w:val="20"/>
              </w:rPr>
              <w:t>2030년까지 필요 투자</w:t>
            </w:r>
          </w:p>
        </w:tc>
        <w:tc>
          <w:tcPr>
            <w:tcW w:type="dxa" w:w="4680"/>
            <w:tcBorders>
              <w:top w:val="single" w:sz="4" w:space="0" w:color="CCCCCC"/>
              <w:left w:val="single" w:sz="4" w:space="0" w:color="CCCCCC"/>
              <w:bottom w:val="single" w:sz="4" w:space="0" w:color="CCCCCC"/>
              <w:right w:val="single" w:sz="4" w:space="0" w:color="CCCCCC"/>
            </w:tcBorders>
            <w:shd w:val="clear" w:color="auto" w:fill="E1F5EE"/>
          </w:tcPr>
          <w:p>
            <w:pPr>
              <w:spacing w:before="60" w:after="60"/>
            </w:pPr>
            <w:r>
              <w:rPr>
                <w:rFonts w:ascii="Arial" w:hAnsi="Arial"/>
                <w:b w:val="0"/>
                <w:sz w:val="20"/>
              </w:rPr>
              <w:t>$148억</w:t>
            </w:r>
          </w:p>
        </w:tc>
      </w:tr>
    </w:tbl>
    <w:p/>
    <w:p>
      <w:pPr>
        <w:spacing w:before="240" w:after="40"/>
      </w:pPr>
      <w:r>
        <w:rPr>
          <w:rFonts w:ascii="Arial" w:hAnsi="Arial"/>
          <w:b/>
          <w:color w:val="185FA5"/>
          <w:sz w:val="26"/>
        </w:rPr>
        <w:t xml:space="preserve">② </w:t>
      </w:r>
      <w:r>
        <w:rPr>
          <w:rFonts w:ascii="Arial" w:hAnsi="Arial"/>
          <w:b/>
          <w:color w:val="185FA5"/>
          <w:sz w:val="26"/>
        </w:rPr>
        <w:t>AI 기반 스마트 제조 &amp; 물류 솔루션</w:t>
      </w:r>
    </w:p>
    <w:p>
      <w:pPr>
        <w:spacing w:before="0" w:after="80"/>
      </w:pPr>
      <w:r>
        <w:rPr>
          <w:rFonts w:ascii="Arial" w:hAnsi="Arial"/>
          <w:b w:val="0"/>
          <w:color w:val="646464"/>
          <w:sz w:val="20"/>
        </w:rPr>
        <w:t>중국 대체 생산기지로 급부상한 베트남의 고도화 수요</w:t>
      </w:r>
    </w:p>
    <w:p>
      <w:pPr>
        <w:spacing w:after="80"/>
      </w:pPr>
      <w:r>
        <w:rPr>
          <w:rFonts w:ascii="Arial" w:hAnsi="Arial"/>
          <w:b/>
          <w:color w:val="185FA5"/>
          <w:sz w:val="18"/>
        </w:rPr>
        <w:t>[공장 자동화]</w:t>
      </w:r>
      <w:r>
        <w:t xml:space="preserve">  </w:t>
      </w:r>
      <w:r>
        <w:rPr>
          <w:rFonts w:ascii="Arial" w:hAnsi="Arial"/>
          <w:b/>
          <w:color w:val="185FA5"/>
          <w:sz w:val="18"/>
        </w:rPr>
        <w:t>[AI 품질관리]</w:t>
      </w:r>
      <w:r>
        <w:t xml:space="preserve">  </w:t>
      </w:r>
      <w:r>
        <w:rPr>
          <w:rFonts w:ascii="Arial" w:hAnsi="Arial"/>
          <w:b/>
          <w:color w:val="185FA5"/>
          <w:sz w:val="18"/>
        </w:rPr>
        <w:t>[스마트 물류]</w:t>
      </w:r>
    </w:p>
    <w:p>
      <w:pPr>
        <w:spacing w:before="40" w:after="120"/>
        <w:jc w:val="left"/>
      </w:pPr>
      <w:r>
        <w:rPr>
          <w:rFonts w:ascii="Arial" w:hAnsi="Arial"/>
          <w:b w:val="0"/>
          <w:sz w:val="21"/>
        </w:rPr>
        <w:t>9,000개 이상의 한국 투자 프로젝트를 포함한 대규모 제조 이전이 이뤄지면서, 섬유·전자 공장의 예지보전·자율 품질관리 AI 솔루션 수요가 폭증하고 있습니다. 2026~2030년 고속도로 2,063km 이상 신규 개통과 롱탄 국제공항 1단계 개항(2026~2027)으로 물류 AI 스타트업 기회도 대폭 확대됩니다.</w:t>
      </w:r>
    </w:p>
    <w:p>
      <w:pPr>
        <w:spacing w:before="200" w:after="120"/>
      </w:pPr>
      <w:r>
        <w:rPr>
          <w:rFonts w:ascii="Arial" w:hAnsi="Arial"/>
          <w:b/>
          <w:color w:val="185FA5"/>
          <w:sz w:val="24"/>
        </w:rPr>
        <w:t>주요 사업 모델</w:t>
      </w:r>
    </w:p>
    <w:p>
      <w:pPr>
        <w:pStyle w:val="ListBullet"/>
        <w:spacing w:before="20" w:after="40"/>
        <w:ind w:left="432"/>
      </w:pPr>
      <w:r>
        <w:rPr>
          <w:rFonts w:ascii="Arial" w:hAnsi="Arial"/>
          <w:b w:val="0"/>
          <w:sz w:val="21"/>
        </w:rPr>
        <w:t>공장 AI 예지보전 및 자율 품질관리 시스템</w:t>
      </w:r>
    </w:p>
    <w:p>
      <w:pPr>
        <w:pStyle w:val="ListBullet"/>
        <w:spacing w:before="20" w:after="40"/>
        <w:ind w:left="432"/>
      </w:pPr>
      <w:r>
        <w:rPr>
          <w:rFonts w:ascii="Arial" w:hAnsi="Arial"/>
          <w:b w:val="0"/>
          <w:sz w:val="21"/>
        </w:rPr>
        <w:t>AI 오케스트레이션 기반 공급망 최적화 플랫폼</w:t>
      </w:r>
    </w:p>
    <w:p>
      <w:pPr>
        <w:pStyle w:val="ListBullet"/>
        <w:spacing w:before="20" w:after="40"/>
        <w:ind w:left="432"/>
      </w:pPr>
      <w:r>
        <w:rPr>
          <w:rFonts w:ascii="Arial" w:hAnsi="Arial"/>
          <w:b w:val="0"/>
          <w:sz w:val="21"/>
        </w:rPr>
        <w:t>스마트 물류창고 및 자동화 WMS 솔루션</w:t>
      </w:r>
    </w:p>
    <w:p>
      <w:pPr>
        <w:pStyle w:val="ListBullet"/>
        <w:spacing w:before="20" w:after="40"/>
        <w:ind w:left="432"/>
      </w:pPr>
      <w:r>
        <w:rPr>
          <w:rFonts w:ascii="Arial" w:hAnsi="Arial"/>
          <w:b w:val="0"/>
          <w:sz w:val="21"/>
        </w:rPr>
        <w:t>반도체 설계(Fabless) 스타트업 및 IC 설계 서비스</w:t>
      </w:r>
    </w:p>
    <w:p>
      <w:pPr>
        <w:spacing w:before="200" w:after="120"/>
      </w:pPr>
      <w:r>
        <w:rPr>
          <w:rFonts w:ascii="Arial" w:hAnsi="Arial"/>
          <w:b/>
          <w:color w:val="185FA5"/>
          <w:sz w:val="24"/>
        </w:rPr>
        <w:t>핵심 지표</w:t>
      </w: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E6F1FB"/>
          </w:tcPr>
          <w:p>
            <w:pPr>
              <w:spacing w:before="60" w:after="60"/>
            </w:pPr>
            <w:r>
              <w:rPr>
                <w:rFonts w:ascii="Arial" w:hAnsi="Arial"/>
                <w:b w:val="0"/>
                <w:sz w:val="20"/>
              </w:rPr>
              <w:t>ICT 인력 부족</w:t>
            </w:r>
          </w:p>
        </w:tc>
        <w:tc>
          <w:tcPr>
            <w:tcW w:type="dxa" w:w="4680"/>
            <w:tcBorders>
              <w:top w:val="single" w:sz="4" w:space="0" w:color="CCCCCC"/>
              <w:left w:val="single" w:sz="4" w:space="0" w:color="CCCCCC"/>
              <w:bottom w:val="single" w:sz="4" w:space="0" w:color="CCCCCC"/>
              <w:right w:val="single" w:sz="4" w:space="0" w:color="CCCCCC"/>
            </w:tcBorders>
            <w:shd w:val="clear" w:color="auto" w:fill="E6F1FB"/>
          </w:tcPr>
          <w:p>
            <w:pPr>
              <w:spacing w:before="60" w:after="60"/>
            </w:pPr>
            <w:r>
              <w:rPr>
                <w:rFonts w:ascii="Arial" w:hAnsi="Arial"/>
                <w:b w:val="0"/>
                <w:sz w:val="20"/>
              </w:rPr>
              <w:t>연 15만명+</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6F1FB"/>
          </w:tcPr>
          <w:p>
            <w:pPr>
              <w:spacing w:before="60" w:after="60"/>
            </w:pPr>
            <w:r>
              <w:rPr>
                <w:rFonts w:ascii="Arial" w:hAnsi="Arial"/>
                <w:b w:val="0"/>
                <w:sz w:val="20"/>
              </w:rPr>
              <w:t>제조업 FDI 비중</w:t>
            </w:r>
          </w:p>
        </w:tc>
        <w:tc>
          <w:tcPr>
            <w:tcW w:type="dxa" w:w="4680"/>
            <w:tcBorders>
              <w:top w:val="single" w:sz="4" w:space="0" w:color="CCCCCC"/>
              <w:left w:val="single" w:sz="4" w:space="0" w:color="CCCCCC"/>
              <w:bottom w:val="single" w:sz="4" w:space="0" w:color="CCCCCC"/>
              <w:right w:val="single" w:sz="4" w:space="0" w:color="CCCCCC"/>
            </w:tcBorders>
            <w:shd w:val="clear" w:color="auto" w:fill="E6F1FB"/>
          </w:tcPr>
          <w:p>
            <w:pPr>
              <w:spacing w:before="60" w:after="60"/>
            </w:pPr>
            <w:r>
              <w:rPr>
                <w:rFonts w:ascii="Arial" w:hAnsi="Arial"/>
                <w:b w:val="0"/>
                <w:sz w:val="20"/>
              </w:rPr>
              <w:t>GDP 20%+</w:t>
            </w:r>
          </w:p>
        </w:tc>
      </w:tr>
    </w:tbl>
    <w:p/>
    <w:p>
      <w:pPr>
        <w:spacing w:before="240" w:after="40"/>
      </w:pPr>
      <w:r>
        <w:rPr>
          <w:rFonts w:ascii="Arial" w:hAnsi="Arial"/>
          <w:b/>
          <w:color w:val="534AB7"/>
          <w:sz w:val="26"/>
        </w:rPr>
        <w:t xml:space="preserve">③ </w:t>
      </w:r>
      <w:r>
        <w:rPr>
          <w:rFonts w:ascii="Arial" w:hAnsi="Arial"/>
          <w:b/>
          <w:color w:val="534AB7"/>
          <w:sz w:val="26"/>
        </w:rPr>
        <w:t>핀테크 &amp; 디지털 금융 플랫폼</w:t>
      </w:r>
    </w:p>
    <w:p>
      <w:pPr>
        <w:spacing w:before="0" w:after="80"/>
      </w:pPr>
      <w:r>
        <w:rPr>
          <w:rFonts w:ascii="Arial" w:hAnsi="Arial"/>
          <w:b w:val="0"/>
          <w:color w:val="646464"/>
          <w:sz w:val="20"/>
        </w:rPr>
        <w:t>FTSE 신흥시장 편입으로 자본 유입 가속화</w:t>
      </w:r>
    </w:p>
    <w:p>
      <w:pPr>
        <w:spacing w:after="80"/>
      </w:pPr>
      <w:r>
        <w:rPr>
          <w:rFonts w:ascii="Arial" w:hAnsi="Arial"/>
          <w:b/>
          <w:color w:val="534AB7"/>
          <w:sz w:val="18"/>
        </w:rPr>
        <w:t>[BNPL]</w:t>
      </w:r>
      <w:r>
        <w:t xml:space="preserve">  </w:t>
      </w:r>
      <w:r>
        <w:rPr>
          <w:rFonts w:ascii="Arial" w:hAnsi="Arial"/>
          <w:b/>
          <w:color w:val="534AB7"/>
          <w:sz w:val="18"/>
        </w:rPr>
        <w:t>[오픈뱅킹]</w:t>
      </w:r>
      <w:r>
        <w:t xml:space="preserve">  </w:t>
      </w:r>
      <w:r>
        <w:rPr>
          <w:rFonts w:ascii="Arial" w:hAnsi="Arial"/>
          <w:b/>
          <w:color w:val="534AB7"/>
          <w:sz w:val="18"/>
        </w:rPr>
        <w:t>[eKYC]</w:t>
      </w:r>
    </w:p>
    <w:p>
      <w:pPr>
        <w:spacing w:before="40" w:after="120"/>
        <w:jc w:val="left"/>
      </w:pPr>
      <w:r>
        <w:rPr>
          <w:rFonts w:ascii="Arial" w:hAnsi="Arial"/>
          <w:b w:val="0"/>
          <w:sz w:val="21"/>
        </w:rPr>
        <w:t>2026년 9월 FTSE 러셀 신흥시장 편입으로 50~60억 달러 외국 자본 유입이 예상됩니다. 핀테크 시장은 2028년 638억 달러 규모로 성장이 전망되며, 중소기업 자본 부족액이 GDP의 20.76%에 달해 AI 결제·BNPL·오픈뱅킹 기반 핀테크 사업의 수요가 막대합니다.</w:t>
      </w:r>
    </w:p>
    <w:p>
      <w:pPr>
        <w:spacing w:before="200" w:after="120"/>
      </w:pPr>
      <w:r>
        <w:rPr>
          <w:rFonts w:ascii="Arial" w:hAnsi="Arial"/>
          <w:b/>
          <w:color w:val="534AB7"/>
          <w:sz w:val="24"/>
        </w:rPr>
        <w:t>주요 사업 모델</w:t>
      </w:r>
    </w:p>
    <w:p>
      <w:pPr>
        <w:pStyle w:val="ListBullet"/>
        <w:spacing w:before="20" w:after="40"/>
        <w:ind w:left="432"/>
      </w:pPr>
      <w:r>
        <w:rPr>
          <w:rFonts w:ascii="Arial" w:hAnsi="Arial"/>
          <w:b w:val="0"/>
          <w:sz w:val="21"/>
        </w:rPr>
        <w:t>AI 결제·eKYC·오픈뱅킹 플랫폼</w:t>
      </w:r>
    </w:p>
    <w:p>
      <w:pPr>
        <w:pStyle w:val="ListBullet"/>
        <w:spacing w:before="20" w:after="40"/>
        <w:ind w:left="432"/>
      </w:pPr>
      <w:r>
        <w:rPr>
          <w:rFonts w:ascii="Arial" w:hAnsi="Arial"/>
          <w:b w:val="0"/>
          <w:sz w:val="21"/>
        </w:rPr>
        <w:t>중소기업 대상 BNPL 및 공급망 금융 서비스</w:t>
      </w:r>
    </w:p>
    <w:p>
      <w:pPr>
        <w:pStyle w:val="ListBullet"/>
        <w:spacing w:before="20" w:after="40"/>
        <w:ind w:left="432"/>
      </w:pPr>
      <w:r>
        <w:rPr>
          <w:rFonts w:ascii="Arial" w:hAnsi="Arial"/>
          <w:b w:val="0"/>
          <w:sz w:val="21"/>
        </w:rPr>
        <w:t>탄소 크레딧·상품 거래 연계 투자 플랫폼</w:t>
      </w:r>
    </w:p>
    <w:p>
      <w:pPr>
        <w:pStyle w:val="ListBullet"/>
        <w:spacing w:before="20" w:after="40"/>
        <w:ind w:left="432"/>
      </w:pPr>
      <w:r>
        <w:rPr>
          <w:rFonts w:ascii="Arial" w:hAnsi="Arial"/>
          <w:b w:val="0"/>
          <w:sz w:val="21"/>
        </w:rPr>
        <w:t>개인 투자자용 로보어드바이저 및 자산관리 앱</w:t>
      </w:r>
    </w:p>
    <w:p>
      <w:pPr>
        <w:spacing w:before="200" w:after="120"/>
      </w:pPr>
      <w:r>
        <w:rPr>
          <w:rFonts w:ascii="Arial" w:hAnsi="Arial"/>
          <w:b/>
          <w:color w:val="534AB7"/>
          <w:sz w:val="24"/>
        </w:rPr>
        <w:t>핵심 지표</w:t>
      </w: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EEEDFE"/>
          </w:tcPr>
          <w:p>
            <w:pPr>
              <w:spacing w:before="60" w:after="60"/>
            </w:pPr>
            <w:r>
              <w:rPr>
                <w:rFonts w:ascii="Arial" w:hAnsi="Arial"/>
                <w:b w:val="0"/>
                <w:sz w:val="20"/>
              </w:rPr>
              <w:t>핀테크 시장 규모(2028)</w:t>
            </w:r>
          </w:p>
        </w:tc>
        <w:tc>
          <w:tcPr>
            <w:tcW w:type="dxa" w:w="4680"/>
            <w:tcBorders>
              <w:top w:val="single" w:sz="4" w:space="0" w:color="CCCCCC"/>
              <w:left w:val="single" w:sz="4" w:space="0" w:color="CCCCCC"/>
              <w:bottom w:val="single" w:sz="4" w:space="0" w:color="CCCCCC"/>
              <w:right w:val="single" w:sz="4" w:space="0" w:color="CCCCCC"/>
            </w:tcBorders>
            <w:shd w:val="clear" w:color="auto" w:fill="EEEDFE"/>
          </w:tcPr>
          <w:p>
            <w:pPr>
              <w:spacing w:before="60" w:after="60"/>
            </w:pPr>
            <w:r>
              <w:rPr>
                <w:rFonts w:ascii="Arial" w:hAnsi="Arial"/>
                <w:b w:val="0"/>
                <w:sz w:val="20"/>
              </w:rPr>
              <w:t>$638억</w:t>
            </w:r>
          </w:p>
        </w:tc>
      </w:tr>
      <w:tr>
        <w:tc>
          <w:tcPr>
            <w:tcW w:type="dxa" w:w="4680"/>
            <w:tcBorders>
              <w:top w:val="single" w:sz="4" w:space="0" w:color="CCCCCC"/>
              <w:left w:val="single" w:sz="4" w:space="0" w:color="CCCCCC"/>
              <w:bottom w:val="single" w:sz="4" w:space="0" w:color="CCCCCC"/>
              <w:right w:val="single" w:sz="4" w:space="0" w:color="CCCCCC"/>
            </w:tcBorders>
            <w:shd w:val="clear" w:color="auto" w:fill="EEEDFE"/>
          </w:tcPr>
          <w:p>
            <w:pPr>
              <w:spacing w:before="60" w:after="60"/>
            </w:pPr>
            <w:r>
              <w:rPr>
                <w:rFonts w:ascii="Arial" w:hAnsi="Arial"/>
                <w:b w:val="0"/>
                <w:sz w:val="20"/>
              </w:rPr>
              <w:t>개인 투자자 계좌</w:t>
            </w:r>
          </w:p>
        </w:tc>
        <w:tc>
          <w:tcPr>
            <w:tcW w:type="dxa" w:w="4680"/>
            <w:tcBorders>
              <w:top w:val="single" w:sz="4" w:space="0" w:color="CCCCCC"/>
              <w:left w:val="single" w:sz="4" w:space="0" w:color="CCCCCC"/>
              <w:bottom w:val="single" w:sz="4" w:space="0" w:color="CCCCCC"/>
              <w:right w:val="single" w:sz="4" w:space="0" w:color="CCCCCC"/>
            </w:tcBorders>
            <w:shd w:val="clear" w:color="auto" w:fill="EEEDFE"/>
          </w:tcPr>
          <w:p>
            <w:pPr>
              <w:spacing w:before="60" w:after="60"/>
            </w:pPr>
            <w:r>
              <w:rPr>
                <w:rFonts w:ascii="Arial" w:hAnsi="Arial"/>
                <w:b w:val="0"/>
                <w:sz w:val="20"/>
              </w:rPr>
              <w:t>1,150만+</w:t>
            </w:r>
          </w:p>
        </w:tc>
      </w:tr>
    </w:tbl>
    <w:p/>
    <w:p>
      <w:pPr>
        <w:spacing w:before="240" w:after="40"/>
      </w:pPr>
      <w:r>
        <w:rPr>
          <w:rFonts w:ascii="Arial" w:hAnsi="Arial"/>
          <w:b/>
          <w:color w:val="993C1D"/>
          <w:sz w:val="26"/>
        </w:rPr>
        <w:t xml:space="preserve">④ </w:t>
      </w:r>
      <w:r>
        <w:rPr>
          <w:rFonts w:ascii="Arial" w:hAnsi="Arial"/>
          <w:b/>
          <w:color w:val="993C1D"/>
          <w:sz w:val="26"/>
        </w:rPr>
        <w:t>헬스테크 &amp; 원격의료 서비스</w:t>
      </w:r>
    </w:p>
    <w:p>
      <w:pPr>
        <w:spacing w:before="0" w:after="80"/>
      </w:pPr>
      <w:r>
        <w:rPr>
          <w:rFonts w:ascii="Arial" w:hAnsi="Arial"/>
          <w:b w:val="0"/>
          <w:color w:val="646464"/>
          <w:sz w:val="20"/>
        </w:rPr>
        <w:t>중산층 급성장과 만성질환 증가로 디지털 헬스 수요 폭발</w:t>
      </w:r>
    </w:p>
    <w:p>
      <w:pPr>
        <w:spacing w:after="80"/>
      </w:pPr>
      <w:r>
        <w:rPr>
          <w:rFonts w:ascii="Arial" w:hAnsi="Arial"/>
          <w:b/>
          <w:color w:val="993C1D"/>
          <w:sz w:val="18"/>
        </w:rPr>
        <w:t>[AI 진단]</w:t>
      </w:r>
      <w:r>
        <w:t xml:space="preserve">  </w:t>
      </w:r>
      <w:r>
        <w:rPr>
          <w:rFonts w:ascii="Arial" w:hAnsi="Arial"/>
          <w:b/>
          <w:color w:val="993C1D"/>
          <w:sz w:val="18"/>
        </w:rPr>
        <w:t>[원격의료]</w:t>
      </w:r>
      <w:r>
        <w:t xml:space="preserve">  </w:t>
      </w:r>
      <w:r>
        <w:rPr>
          <w:rFonts w:ascii="Arial" w:hAnsi="Arial"/>
          <w:b/>
          <w:color w:val="993C1D"/>
          <w:sz w:val="18"/>
        </w:rPr>
        <w:t>[웨어러블]</w:t>
      </w:r>
    </w:p>
    <w:p>
      <w:pPr>
        <w:spacing w:before="40" w:after="120"/>
        <w:jc w:val="left"/>
      </w:pPr>
      <w:r>
        <w:rPr>
          <w:rFonts w:ascii="Arial" w:hAnsi="Arial"/>
          <w:b w:val="0"/>
          <w:sz w:val="21"/>
        </w:rPr>
        <w:t>베트남 FPT와 한국 AI 의료기기 기업들의 MOU 체결이 잇따르는 등, AI 기반 만성질환 모니터링·원격진료 분야가 빠르게 성장하고 있습니다. 반도체·AI·헬스케어는 벤처 자본이 집중되는 3대 분야로, 정부의 디지털 헬스 인프라 투자도 확대 중입니다.</w:t>
      </w:r>
    </w:p>
    <w:p>
      <w:pPr>
        <w:spacing w:before="200" w:after="120"/>
      </w:pPr>
      <w:r>
        <w:rPr>
          <w:rFonts w:ascii="Arial" w:hAnsi="Arial"/>
          <w:b/>
          <w:color w:val="993C1D"/>
          <w:sz w:val="24"/>
        </w:rPr>
        <w:t>주요 사업 모델</w:t>
      </w:r>
    </w:p>
    <w:p>
      <w:pPr>
        <w:pStyle w:val="ListBullet"/>
        <w:spacing w:before="20" w:after="40"/>
        <w:ind w:left="432"/>
      </w:pPr>
      <w:r>
        <w:rPr>
          <w:rFonts w:ascii="Arial" w:hAnsi="Arial"/>
          <w:b w:val="0"/>
          <w:sz w:val="21"/>
        </w:rPr>
        <w:t>AI 기반 만성질환(COPD·당뇨) 원격 모니터링 솔루션</w:t>
      </w:r>
    </w:p>
    <w:p>
      <w:pPr>
        <w:pStyle w:val="ListBullet"/>
        <w:spacing w:before="20" w:after="40"/>
        <w:ind w:left="432"/>
      </w:pPr>
      <w:r>
        <w:rPr>
          <w:rFonts w:ascii="Arial" w:hAnsi="Arial"/>
          <w:b w:val="0"/>
          <w:sz w:val="21"/>
        </w:rPr>
        <w:t>AI 영상진단·판독 보조 시스템</w:t>
      </w:r>
    </w:p>
    <w:p>
      <w:pPr>
        <w:pStyle w:val="ListBullet"/>
        <w:spacing w:before="20" w:after="40"/>
        <w:ind w:left="432"/>
      </w:pPr>
      <w:r>
        <w:rPr>
          <w:rFonts w:ascii="Arial" w:hAnsi="Arial"/>
          <w:b w:val="0"/>
          <w:sz w:val="21"/>
        </w:rPr>
        <w:t>웨어러블 기반 개인 건강관리 플랫폼</w:t>
      </w:r>
    </w:p>
    <w:p>
      <w:pPr>
        <w:pStyle w:val="ListBullet"/>
        <w:spacing w:before="20" w:after="40"/>
        <w:ind w:left="432"/>
      </w:pPr>
      <w:r>
        <w:rPr>
          <w:rFonts w:ascii="Arial" w:hAnsi="Arial"/>
          <w:b w:val="0"/>
          <w:sz w:val="21"/>
        </w:rPr>
        <w:t>국제 표준 클리닉·스파·피트니스 웰니스 센터</w:t>
      </w:r>
    </w:p>
    <w:p>
      <w:pPr>
        <w:spacing w:before="200" w:after="120"/>
      </w:pPr>
      <w:r>
        <w:rPr>
          <w:rFonts w:ascii="Arial" w:hAnsi="Arial"/>
          <w:b/>
          <w:color w:val="993C1D"/>
          <w:sz w:val="24"/>
        </w:rPr>
        <w:t>핵심 지표</w:t>
      </w: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AECE7"/>
          </w:tcPr>
          <w:p>
            <w:pPr>
              <w:spacing w:before="60" w:after="60"/>
            </w:pPr>
            <w:r>
              <w:rPr>
                <w:rFonts w:ascii="Arial" w:hAnsi="Arial"/>
                <w:b w:val="0"/>
                <w:sz w:val="20"/>
              </w:rPr>
              <w:t>주요 투자 집중 분야</w:t>
            </w:r>
          </w:p>
        </w:tc>
        <w:tc>
          <w:tcPr>
            <w:tcW w:type="dxa" w:w="4680"/>
            <w:tcBorders>
              <w:top w:val="single" w:sz="4" w:space="0" w:color="CCCCCC"/>
              <w:left w:val="single" w:sz="4" w:space="0" w:color="CCCCCC"/>
              <w:bottom w:val="single" w:sz="4" w:space="0" w:color="CCCCCC"/>
              <w:right w:val="single" w:sz="4" w:space="0" w:color="CCCCCC"/>
            </w:tcBorders>
            <w:shd w:val="clear" w:color="auto" w:fill="FAECE7"/>
          </w:tcPr>
          <w:p>
            <w:pPr>
              <w:spacing w:before="60" w:after="60"/>
            </w:pPr>
            <w:r>
              <w:rPr>
                <w:rFonts w:ascii="Arial" w:hAnsi="Arial"/>
                <w:b w:val="0"/>
                <w:sz w:val="20"/>
              </w:rPr>
              <w:t>#1 헬스케어</w:t>
            </w:r>
          </w:p>
        </w:tc>
      </w:tr>
      <w:tr>
        <w:tc>
          <w:tcPr>
            <w:tcW w:type="dxa" w:w="4680"/>
            <w:tcBorders>
              <w:top w:val="single" w:sz="4" w:space="0" w:color="CCCCCC"/>
              <w:left w:val="single" w:sz="4" w:space="0" w:color="CCCCCC"/>
              <w:bottom w:val="single" w:sz="4" w:space="0" w:color="CCCCCC"/>
              <w:right w:val="single" w:sz="4" w:space="0" w:color="CCCCCC"/>
            </w:tcBorders>
            <w:shd w:val="clear" w:color="auto" w:fill="FAECE7"/>
          </w:tcPr>
          <w:p>
            <w:pPr>
              <w:spacing w:before="60" w:after="60"/>
            </w:pPr>
            <w:r>
              <w:rPr>
                <w:rFonts w:ascii="Arial" w:hAnsi="Arial"/>
                <w:b w:val="0"/>
                <w:sz w:val="20"/>
              </w:rPr>
              <w:t>GDP 성장 목표</w:t>
            </w:r>
          </w:p>
        </w:tc>
        <w:tc>
          <w:tcPr>
            <w:tcW w:type="dxa" w:w="4680"/>
            <w:tcBorders>
              <w:top w:val="single" w:sz="4" w:space="0" w:color="CCCCCC"/>
              <w:left w:val="single" w:sz="4" w:space="0" w:color="CCCCCC"/>
              <w:bottom w:val="single" w:sz="4" w:space="0" w:color="CCCCCC"/>
              <w:right w:val="single" w:sz="4" w:space="0" w:color="CCCCCC"/>
            </w:tcBorders>
            <w:shd w:val="clear" w:color="auto" w:fill="FAECE7"/>
          </w:tcPr>
          <w:p>
            <w:pPr>
              <w:spacing w:before="60" w:after="60"/>
            </w:pPr>
            <w:r>
              <w:rPr>
                <w:rFonts w:ascii="Arial" w:hAnsi="Arial"/>
                <w:b w:val="0"/>
                <w:sz w:val="20"/>
              </w:rPr>
              <w:t>10% (2026)</w:t>
            </w:r>
          </w:p>
        </w:tc>
      </w:tr>
    </w:tbl>
    <w:p/>
    <w:p>
      <w:pPr>
        <w:spacing w:before="240" w:after="40"/>
      </w:pPr>
      <w:r>
        <w:rPr>
          <w:rFonts w:ascii="Arial" w:hAnsi="Arial"/>
          <w:b/>
          <w:color w:val="844F0B"/>
          <w:sz w:val="26"/>
        </w:rPr>
        <w:t xml:space="preserve">⑤ </w:t>
      </w:r>
      <w:r>
        <w:rPr>
          <w:rFonts w:ascii="Arial" w:hAnsi="Arial"/>
          <w:b/>
          <w:color w:val="844F0B"/>
          <w:sz w:val="26"/>
        </w:rPr>
        <w:t>라이브 커머스 &amp; 버티컬 AI 관광</w:t>
      </w:r>
    </w:p>
    <w:p>
      <w:pPr>
        <w:spacing w:before="0" w:after="80"/>
      </w:pPr>
      <w:r>
        <w:rPr>
          <w:rFonts w:ascii="Arial" w:hAnsi="Arial"/>
          <w:b w:val="0"/>
          <w:color w:val="646464"/>
          <w:sz w:val="20"/>
        </w:rPr>
        <w:t>영상 커머스 시대 + 1,800만 관광객 목표의 시너지</w:t>
      </w:r>
    </w:p>
    <w:p>
      <w:pPr>
        <w:spacing w:after="80"/>
      </w:pPr>
      <w:r>
        <w:rPr>
          <w:rFonts w:ascii="Arial" w:hAnsi="Arial"/>
          <w:b/>
          <w:color w:val="844F0B"/>
          <w:sz w:val="18"/>
        </w:rPr>
        <w:t>[AI 라이브스트리머]</w:t>
      </w:r>
      <w:r>
        <w:t xml:space="preserve">  </w:t>
      </w:r>
      <w:r>
        <w:rPr>
          <w:rFonts w:ascii="Arial" w:hAnsi="Arial"/>
          <w:b/>
          <w:color w:val="844F0B"/>
          <w:sz w:val="18"/>
        </w:rPr>
        <w:t>[TikTok 커머스]</w:t>
      </w:r>
      <w:r>
        <w:t xml:space="preserve">  </w:t>
      </w:r>
      <w:r>
        <w:rPr>
          <w:rFonts w:ascii="Arial" w:hAnsi="Arial"/>
          <w:b/>
          <w:color w:val="844F0B"/>
          <w:sz w:val="18"/>
        </w:rPr>
        <w:t>[관광 AI 컨시어지]</w:t>
      </w:r>
    </w:p>
    <w:p>
      <w:pPr>
        <w:spacing w:before="40" w:after="120"/>
        <w:jc w:val="left"/>
      </w:pPr>
      <w:r>
        <w:rPr>
          <w:rFonts w:ascii="Arial" w:hAnsi="Arial"/>
          <w:b w:val="0"/>
          <w:sz w:val="21"/>
        </w:rPr>
        <w:t>베트남 소매업체의 58%가 소셜 미디어를 1순위 확장 채널로 선택했으며, TikTok·Shopee 기반 AI 라이브스트리머 플랫폼이 새 블루오션으로 부상 중입니다. 베트남이 연간 1,800~2,000만 관광객 유치를 목표로 하면서 AI 개인화 여행 컨시어지 서비스 수요도 급증하고 있습니다.</w:t>
      </w:r>
    </w:p>
    <w:p>
      <w:pPr>
        <w:spacing w:before="200" w:after="120"/>
      </w:pPr>
      <w:r>
        <w:rPr>
          <w:rFonts w:ascii="Arial" w:hAnsi="Arial"/>
          <w:b/>
          <w:color w:val="844F0B"/>
          <w:sz w:val="24"/>
        </w:rPr>
        <w:t>주요 사업 모델</w:t>
      </w:r>
    </w:p>
    <w:p>
      <w:pPr>
        <w:pStyle w:val="ListBullet"/>
        <w:spacing w:before="20" w:after="40"/>
        <w:ind w:left="432"/>
      </w:pPr>
      <w:r>
        <w:rPr>
          <w:rFonts w:ascii="Arial" w:hAnsi="Arial"/>
          <w:b w:val="0"/>
          <w:sz w:val="21"/>
        </w:rPr>
        <w:t>AI 라이브스트리머(24시간 자동 판매) 플랫폼</w:t>
      </w:r>
    </w:p>
    <w:p>
      <w:pPr>
        <w:pStyle w:val="ListBullet"/>
        <w:spacing w:before="20" w:after="40"/>
        <w:ind w:left="432"/>
      </w:pPr>
      <w:r>
        <w:rPr>
          <w:rFonts w:ascii="Arial" w:hAnsi="Arial"/>
          <w:b w:val="0"/>
          <w:sz w:val="21"/>
        </w:rPr>
        <w:t>Zalo·Shopee 내 미니프로그램 AI 서비스</w:t>
      </w:r>
    </w:p>
    <w:p>
      <w:pPr>
        <w:pStyle w:val="ListBullet"/>
        <w:spacing w:before="20" w:after="40"/>
        <w:ind w:left="432"/>
      </w:pPr>
      <w:r>
        <w:rPr>
          <w:rFonts w:ascii="Arial" w:hAnsi="Arial"/>
          <w:b w:val="0"/>
          <w:sz w:val="21"/>
        </w:rPr>
        <w:t>AI 개인화 여행 컨시어지 앱 (다국어 실시간 번역 포함)</w:t>
      </w:r>
    </w:p>
    <w:p>
      <w:pPr>
        <w:pStyle w:val="ListBullet"/>
        <w:spacing w:before="20" w:after="40"/>
        <w:ind w:left="432"/>
      </w:pPr>
      <w:r>
        <w:rPr>
          <w:rFonts w:ascii="Arial" w:hAnsi="Arial"/>
          <w:b w:val="0"/>
          <w:sz w:val="21"/>
        </w:rPr>
        <w:t>MICE·웰니스·프리미엄 에코투어리즘 서비스</w:t>
      </w:r>
    </w:p>
    <w:p>
      <w:pPr>
        <w:spacing w:before="200" w:after="120"/>
      </w:pPr>
      <w:r>
        <w:rPr>
          <w:rFonts w:ascii="Arial" w:hAnsi="Arial"/>
          <w:b/>
          <w:color w:val="844F0B"/>
          <w:sz w:val="24"/>
        </w:rPr>
        <w:t>핵심 지표</w:t>
      </w: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4" w:space="0" w:color="CCCCCC"/>
              <w:left w:val="single" w:sz="4" w:space="0" w:color="CCCCCC"/>
              <w:bottom w:val="single" w:sz="4" w:space="0" w:color="CCCCCC"/>
              <w:right w:val="single" w:sz="4" w:space="0" w:color="CCCCCC"/>
            </w:tcBorders>
            <w:shd w:val="clear" w:color="auto" w:fill="FAEEDA"/>
          </w:tcPr>
          <w:p>
            <w:pPr>
              <w:spacing w:before="60" w:after="60"/>
            </w:pPr>
            <w:r>
              <w:rPr>
                <w:rFonts w:ascii="Arial" w:hAnsi="Arial"/>
                <w:b w:val="0"/>
                <w:sz w:val="20"/>
              </w:rPr>
              <w:t>소셜미디어 선호 판매자</w:t>
            </w:r>
          </w:p>
        </w:tc>
        <w:tc>
          <w:tcPr>
            <w:tcW w:type="dxa" w:w="4680"/>
            <w:tcBorders>
              <w:top w:val="single" w:sz="4" w:space="0" w:color="CCCCCC"/>
              <w:left w:val="single" w:sz="4" w:space="0" w:color="CCCCCC"/>
              <w:bottom w:val="single" w:sz="4" w:space="0" w:color="CCCCCC"/>
              <w:right w:val="single" w:sz="4" w:space="0" w:color="CCCCCC"/>
            </w:tcBorders>
            <w:shd w:val="clear" w:color="auto" w:fill="FAEEDA"/>
          </w:tcPr>
          <w:p>
            <w:pPr>
              <w:spacing w:before="60" w:after="60"/>
            </w:pPr>
            <w:r>
              <w:rPr>
                <w:rFonts w:ascii="Arial" w:hAnsi="Arial"/>
                <w:b w:val="0"/>
                <w:sz w:val="20"/>
              </w:rPr>
              <w:t>58%</w:t>
            </w:r>
          </w:p>
        </w:tc>
      </w:tr>
      <w:tr>
        <w:tc>
          <w:tcPr>
            <w:tcW w:type="dxa" w:w="4680"/>
            <w:tcBorders>
              <w:top w:val="single" w:sz="4" w:space="0" w:color="CCCCCC"/>
              <w:left w:val="single" w:sz="4" w:space="0" w:color="CCCCCC"/>
              <w:bottom w:val="single" w:sz="4" w:space="0" w:color="CCCCCC"/>
              <w:right w:val="single" w:sz="4" w:space="0" w:color="CCCCCC"/>
            </w:tcBorders>
            <w:shd w:val="clear" w:color="auto" w:fill="FAEEDA"/>
          </w:tcPr>
          <w:p>
            <w:pPr>
              <w:spacing w:before="60" w:after="60"/>
            </w:pPr>
            <w:r>
              <w:rPr>
                <w:rFonts w:ascii="Arial" w:hAnsi="Arial"/>
                <w:b w:val="0"/>
                <w:sz w:val="20"/>
              </w:rPr>
              <w:t>관광객 목표</w:t>
            </w:r>
          </w:p>
        </w:tc>
        <w:tc>
          <w:tcPr>
            <w:tcW w:type="dxa" w:w="4680"/>
            <w:tcBorders>
              <w:top w:val="single" w:sz="4" w:space="0" w:color="CCCCCC"/>
              <w:left w:val="single" w:sz="4" w:space="0" w:color="CCCCCC"/>
              <w:bottom w:val="single" w:sz="4" w:space="0" w:color="CCCCCC"/>
              <w:right w:val="single" w:sz="4" w:space="0" w:color="CCCCCC"/>
            </w:tcBorders>
            <w:shd w:val="clear" w:color="auto" w:fill="FAEEDA"/>
          </w:tcPr>
          <w:p>
            <w:pPr>
              <w:spacing w:before="60" w:after="60"/>
            </w:pPr>
            <w:r>
              <w:rPr>
                <w:rFonts w:ascii="Arial" w:hAnsi="Arial"/>
                <w:b w:val="0"/>
                <w:sz w:val="20"/>
              </w:rPr>
              <w:t>1,800만명</w:t>
            </w:r>
          </w:p>
        </w:tc>
      </w:tr>
    </w:tbl>
    <w:p/>
    <w:p>
      <w:pPr>
        <w:spacing w:before="280" w:after="120"/>
      </w:pPr>
      <w:r>
        <w:rPr>
          <w:rFonts w:ascii="Arial" w:hAnsi="Arial"/>
          <w:b/>
          <w:color w:val="00467F"/>
          <w:sz w:val="36"/>
        </w:rPr>
        <w:t>3. 한국 기업 시장 진입 전략 제언</w:t>
      </w:r>
    </w:p>
    <w:p>
      <w:pPr>
        <w:spacing w:before="120" w:after="40"/>
      </w:pPr>
      <w:r>
        <w:rPr>
          <w:rFonts w:ascii="Arial" w:hAnsi="Arial"/>
          <w:b/>
          <w:color w:val="00467F"/>
          <w:sz w:val="22"/>
        </w:rPr>
        <w:t xml:space="preserve">1. 현지 파트너십 우선  </w:t>
      </w:r>
    </w:p>
    <w:p>
      <w:pPr>
        <w:spacing w:before="0" w:after="120"/>
        <w:jc w:val="left"/>
      </w:pPr>
      <w:r>
        <w:rPr>
          <w:rFonts w:ascii="Arial" w:hAnsi="Arial"/>
          <w:b w:val="0"/>
          <w:sz w:val="21"/>
        </w:rPr>
        <w:t>베트남 법인 설립 시 현지 대기업(FPT, Vingroup 등)과의 JV(합작투자) 또는 MOU를 통해 규제 리스크를 줄이고 시장 접근성을 높이는 전략이 효과적입니다.</w:t>
      </w:r>
    </w:p>
    <w:p>
      <w:pPr>
        <w:spacing w:before="120" w:after="40"/>
      </w:pPr>
      <w:r>
        <w:rPr>
          <w:rFonts w:ascii="Arial" w:hAnsi="Arial"/>
          <w:b/>
          <w:color w:val="00467F"/>
          <w:sz w:val="22"/>
        </w:rPr>
        <w:t xml:space="preserve">2. 기술 우위 분야 집중  </w:t>
      </w:r>
    </w:p>
    <w:p>
      <w:pPr>
        <w:spacing w:before="0" w:after="120"/>
        <w:jc w:val="left"/>
      </w:pPr>
      <w:r>
        <w:rPr>
          <w:rFonts w:ascii="Arial" w:hAnsi="Arial"/>
          <w:b w:val="0"/>
          <w:sz w:val="21"/>
        </w:rPr>
        <w:t>한국 기업은 AI·헬스테크·제조 자동화 등 기술 집약 분야에서 경쟁 우위를 보유합니다. 단순 노동 집약 제조보다 고부가가치 솔루션 수출 전략이 장기적으로 유효합니다.</w:t>
      </w:r>
    </w:p>
    <w:p>
      <w:pPr>
        <w:spacing w:before="120" w:after="40"/>
      </w:pPr>
      <w:r>
        <w:rPr>
          <w:rFonts w:ascii="Arial" w:hAnsi="Arial"/>
          <w:b/>
          <w:color w:val="00467F"/>
          <w:sz w:val="22"/>
        </w:rPr>
        <w:t xml:space="preserve">3. FTSE 편입 시점 선점  </w:t>
      </w:r>
    </w:p>
    <w:p>
      <w:pPr>
        <w:spacing w:before="0" w:after="120"/>
        <w:jc w:val="left"/>
      </w:pPr>
      <w:r>
        <w:rPr>
          <w:rFonts w:ascii="Arial" w:hAnsi="Arial"/>
          <w:b w:val="0"/>
          <w:sz w:val="21"/>
        </w:rPr>
        <w:t>2026년 9월 FTSE 신흥시장 편입 전후 50~60억 달러 외국 자본 유입이 예상됩니다. 이 시점을 기준점으로 삼아 투자 및 진입 전략을 수립하면 선점 효과를 기대할 수 있습니다.</w:t>
      </w:r>
    </w:p>
    <w:p>
      <w:pPr>
        <w:spacing w:before="120" w:after="40"/>
      </w:pPr>
      <w:r>
        <w:rPr>
          <w:rFonts w:ascii="Arial" w:hAnsi="Arial"/>
          <w:b/>
          <w:color w:val="00467F"/>
          <w:sz w:val="22"/>
        </w:rPr>
        <w:t xml:space="preserve">4. ESG·탄소중립 연계  </w:t>
      </w:r>
    </w:p>
    <w:p>
      <w:pPr>
        <w:spacing w:before="0" w:after="120"/>
        <w:jc w:val="left"/>
      </w:pPr>
      <w:r>
        <w:rPr>
          <w:rFonts w:ascii="Arial" w:hAnsi="Arial"/>
          <w:b w:val="0"/>
          <w:sz w:val="21"/>
        </w:rPr>
        <w:t>베트남의 직접전력구매제도(DPPA)와 탄소 크레딧 시장 법제화에 맞춰 ESG 컨설팅·탄소 관리 솔루션을 패키지화하면 차별화된 가치 제안이 가능합니다.</w:t>
      </w:r>
    </w:p>
    <w:p>
      <w:pPr>
        <w:spacing w:before="120" w:after="40"/>
      </w:pPr>
      <w:r>
        <w:rPr>
          <w:rFonts w:ascii="Arial" w:hAnsi="Arial"/>
          <w:b/>
          <w:color w:val="00467F"/>
          <w:sz w:val="22"/>
        </w:rPr>
        <w:t xml:space="preserve">5. 디지털 채널 우선 진출  </w:t>
      </w:r>
    </w:p>
    <w:p>
      <w:pPr>
        <w:spacing w:before="0" w:after="120"/>
        <w:jc w:val="left"/>
      </w:pPr>
      <w:r>
        <w:rPr>
          <w:rFonts w:ascii="Arial" w:hAnsi="Arial"/>
          <w:b w:val="0"/>
          <w:sz w:val="21"/>
        </w:rPr>
        <w:t>소셜 미디어·전자상거래 플랫폼이 베트남 소매의 핵심 채널로 자리 잡은 만큼, 오프라인 투자 전 Zalo·TikTok·Shopee 기반 디지털 마케팅 및 파일럿 테스트를 권장합니다.</w:t>
      </w:r>
    </w:p>
    <w:p/>
    <w:p>
      <w:pPr>
        <w:spacing w:before="200"/>
        <w:jc w:val="center"/>
      </w:pPr>
      <w:r>
        <w:rPr>
          <w:rFonts w:ascii="Arial" w:hAnsi="Arial"/>
          <w:b w:val="0"/>
          <w:color w:val="828282"/>
          <w:sz w:val="18"/>
        </w:rPr>
        <w:t>※ 본 보고서는 2026년 5월 기준 공개 자료(KOTRA, VNDirect, Vietcetera, Freshfields 등)를 바탕으로 작성되었습니다.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