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J.</w:t>
      </w:r>
      <w:r>
        <w:t xml:space="preserve"> </w:t>
      </w:r>
      <w:r>
        <w:t xml:space="preserve">Leeper</w:t>
      </w:r>
    </w:p>
    <w:p>
      <w:pPr>
        <w:pStyle w:val="FirstParagraph"/>
      </w:pPr>
      <w:r>
        <w:t xml:space="preserve">This is a manuscript. Section [sec:table] has a table. Section [sec:figure] has a figure. Section [sec:eq] has an equation. For demonstration purposes, here’s a reference</w:t>
      </w:r>
      <w:r>
        <w:t xml:space="preserve"> </w:t>
      </w:r>
      <w:r>
        <w:t xml:space="preserve">(Groves et al. 2006)</w:t>
      </w:r>
      <w:r>
        <w:t xml:space="preserve">.</w:t>
      </w:r>
      <w:r>
        <w:rPr>
          <w:rStyle w:val="FootnoteReference"/>
        </w:rPr>
        <w:footnoteReference w:id="21"/>
      </w:r>
    </w:p>
    <w:p>
      <w:pPr>
        <w:pStyle w:val="Heading2"/>
      </w:pPr>
      <w:bookmarkStart w:id="22" w:name="sec:table"/>
      <w:bookmarkEnd w:id="22"/>
      <w:r>
        <w:t xml:space="preserve">A Table</w:t>
      </w:r>
    </w:p>
    <w:p>
      <w:pPr>
        <w:pStyle w:val="FirstParagraph"/>
      </w:pPr>
      <w:r>
        <w:t xml:space="preserve">This section has a table. It’s Table [tab:table1].</w:t>
      </w:r>
    </w:p>
    <w:p>
      <w:pPr>
        <w:pStyle w:val="TableCaption"/>
      </w:pPr>
      <w:r>
        <w:t xml:space="preserve">An example table</w:t>
      </w:r>
    </w:p>
    <w:tbl>
      <w:tblPr>
        <w:tblStyle w:val="TableNormal"/>
        <w:tblW w:type="pct" w:w="0.0"/>
        <w:tblLook/>
        <w:tblCaption w:val="An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</w:tbl>
    <w:p>
      <w:pPr>
        <w:pStyle w:val="Heading2"/>
      </w:pPr>
      <w:bookmarkStart w:id="23" w:name="sec:figure"/>
      <w:bookmarkEnd w:id="23"/>
      <w:r>
        <w:t xml:space="preserve">A Figure</w:t>
      </w:r>
    </w:p>
    <w:p>
      <w:pPr>
        <w:pStyle w:val="FirstParagraph"/>
      </w:pPr>
      <w:r>
        <w:t xml:space="preserve">This section has a figure. It’s Figure [fig:fig1].</w:t>
      </w:r>
    </w:p>
    <w:p>
      <w:pPr>
        <w:pStyle w:val="FigureWithCaption"/>
      </w:pPr>
      <w:r>
        <w:drawing>
          <wp:inline>
            <wp:extent cx="2438400" cy="1828800"/>
            <wp:effectExtent b="0" l="0" r="0" t="0"/>
            <wp:docPr descr="An example figure" title="" id="1" name="Picture"/>
            <a:graphic>
              <a:graphicData uri="http://schemas.openxmlformats.org/drawingml/2006/picture">
                <pic:pic>
                  <pic:nvPicPr>
                    <pic:cNvPr descr="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figure</w:t>
      </w:r>
    </w:p>
    <w:p>
      <w:pPr>
        <w:pStyle w:val="Heading2"/>
      </w:pPr>
      <w:bookmarkStart w:id="25" w:name="sec:eq"/>
      <w:bookmarkEnd w:id="25"/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 an equation environment: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That’s it.</w:t>
      </w:r>
    </w:p>
    <w:p>
      <w:pPr>
        <w:pStyle w:val="Bibliography"/>
      </w:pPr>
      <w:r>
        <w:t xml:space="preserve">Groves, Robert M. et al. 2006. “Experiments in Producing Nonresponse Bias.”</w:t>
      </w:r>
      <w:r>
        <w:t xml:space="preserve"> </w:t>
      </w:r>
      <w:r>
        <w:rPr>
          <w:i/>
        </w:rPr>
        <w:t xml:space="preserve">Public Opinion Quarterly</w:t>
      </w:r>
      <w:r>
        <w:t xml:space="preserve"> </w:t>
      </w:r>
      <w:r>
        <w:t xml:space="preserve">70(5): 720–36.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8d50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>Thomas J. Leeper</dc:creator>
  <dcterms:created xsi:type="dcterms:W3CDTF">2019-02-11T13:35:53Z</dcterms:created>
  <dcterms:modified xsi:type="dcterms:W3CDTF">2019-02-11T13:35:53Z</dcterms:modified>
</cp:coreProperties>
</file>