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Customer Self-Service Portal — Requirements Overview</w:t>
      </w:r>
    </w:p>
    <w:p>
      <w:pPr>
        <w:pStyle w:val="Heading1"/>
      </w:pPr>
      <w:r>
        <w:t xml:space="preserve">Overview</w:t>
      </w:r>
    </w:p>
    <w:p>
      <w:r>
        <w:t xml:space="preserve">This document captures the requirements for a new customer self-service portal for a regional insurer client of BISTEC Global.</w:t>
      </w:r>
    </w:p>
    <w:p>
      <w:r>
        <w:t xml:space="preserve">Policyholders will use the portal to view policy documents, file and track claims, and update contact and billing details without calling the contact centre.</w:t>
      </w:r>
    </w:p>
    <w:p>
      <w:pPr>
        <w:pStyle w:val="Heading2"/>
      </w:pPr>
      <w:r>
        <w:t xml:space="preserve">Scope and Users</w:t>
      </w:r>
    </w:p>
    <w:p>
      <w:r>
        <w:t xml:space="preserve">The portal must support approximately 20,000 registered policyholders at launch, with headroom for growth as the insurer migrates further policy lines onto the platform.</w:t>
      </w:r>
    </w:p>
    <w:p>
      <w:r>
        <w:t xml:space="preserve">Peak concurrent usage is expected around monthly billing cycles and renewal periods, so the system should handle bursty traffic without manual intervention.</w:t>
      </w:r>
    </w:p>
    <w:p>
      <w:pPr>
        <w:pStyle w:val="Heading2"/>
      </w:pPr>
      <w:r>
        <w:t xml:space="preserve">Authentication</w:t>
      </w:r>
    </w:p>
    <w:p>
      <w:r>
        <w:t xml:space="preserve">Corporate staff and agents will sign in with the insurer's existing Microsoft 365 tenant via single sign-on (SSO); policyholders will use a separate, portal-specific login.</w:t>
      </w:r>
    </w:p>
    <w:p>
      <w:r>
        <w:t xml:space="preserve">The authentication design should reuse BISTEC's default Microsoft identity platform integration rather than a bespoke identity provider.</w:t>
      </w:r>
    </w:p>
    <w:p>
      <w:pPr>
        <w:pStyle w:val="Heading2"/>
      </w:pPr>
      <w:r>
        <w:t xml:space="preserve">Budget and Timeline</w:t>
      </w:r>
    </w:p>
    <w:p>
      <w:r>
        <w:t xml:space="preserve">The client has stated a tight budget for this engagement and prefers to reuse managed cloud services over self-hosted infrastructure wherever the cost difference is significant.</w:t>
      </w:r>
    </w:p>
    <w:p>
      <w:r>
        <w:t xml:space="preserve">A first release is targeted within one quarter, covering policy viewing and claims status only; billing updates and document uploads can follow in a later phase.</w:t>
      </w:r>
    </w:p>
    <w:p>
      <w:pPr>
        <w:pStyle w:val="Heading2"/>
      </w:pPr>
      <w:r>
        <w:t xml:space="preserve">Team and Delivery</w:t>
      </w:r>
    </w:p>
    <w:p>
      <w:r>
        <w:t xml:space="preserve">The insurer's in-house engineering team is a .NET team with several years of experience running ASP.NET Core services in Azure, and would maintain the solution after handover.</w:t>
      </w:r>
    </w:p>
    <w:p>
      <w:r>
        <w:t xml:space="preserve">BISTEC will pair with the client team during delivery so that ownership can transfer smoothly at the end of the engagement.</w:t>
      </w:r>
    </w:p>
    <w:p>
      <w:pPr>
        <w:pStyle w:val="Heading2"/>
      </w:pPr>
      <w:r>
        <w:t xml:space="preserve">Compliance</w:t>
      </w:r>
    </w:p>
    <w:p>
      <w:r>
        <w:t xml:space="preserve">The portal processes personal and policy data for EU-resident customers, so the solution must meet GDPR requirements for data minimisation, consent, and the right to erasure.</w:t>
      </w:r>
    </w:p>
    <w:p>
      <w:r>
        <w:t xml:space="preserve">Audit logging of access to policy and claims records is required for the insurer's compliance reporting.</w:t>
      </w:r>
    </w:p>
    <w:p>
      <w:pPr>
        <w:pStyle w:val="Heading2"/>
      </w:pPr>
      <w:r>
        <w:t xml:space="preserve">Non-Functional Requirements</w:t>
      </w:r>
    </w:p>
    <w:p>
      <w:r>
        <w:t xml:space="preserve">The portal should remain available during the insurer's business hours with no planned downtime for routine deployments.</w:t>
      </w:r>
    </w:p>
    <w:p>
      <w:r>
        <w:t xml:space="preserve">Response times for common actions such as viewing a policy or checking claim status should stay under two seconds under normal load.</w:t>
      </w:r>
    </w:p>
    <w:sectPr/>
  </w:body>
</w:document>
</file>

<file path=word/_rels/document.xml.rels><?xml version="1.0" encoding="UTF-8" standalone="yes"?>
<Relationships xmlns="http://schemas.openxmlformats.org/package/2006/relationships"/>
</file>