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0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10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07:28 Ore 9748</w:t>
        <w:br/>
        <w:t>category A agents (cholera, plague).</w:t>
        <w:br/>
        <w:t>Patients should be placed in separate</w:t>
        <w:br/>
        <w:t>rooms or cohorted together. Negative</w:t>
        <w:br/>
        <w:t>pressure rooms are not generally</w:t>
        <w:br/>
        <w:t>needed. The rooms and surfaces and</w:t>
        <w:br/>
        <w:t>equipment should undergo regular</w:t>
        <w:br/>
        <w:t>decontamination preferably with</w:t>
        <w:br/>
        <w:t>sodium hypochlorite. Healthcare</w:t>
        <w:br/>
        <w:t>workers should be provided with fit</w:t>
        <w:br/>
        <w:t>tested N95 respirators and protective</w:t>
        <w:br/>
        <w:t>suits and goggles. Airborne</w:t>
        <w:br/>
        <w:t>transmission precautions should be</w:t>
        <w:br/>
        <w:t>taken during aerosol generating</w:t>
        <w:br/>
        <w:t>procedures such as intubation, suction</w:t>
        <w:br/>
        <w:t>and tracheostomies. All contacts</w:t>
        <w:br/>
        <w:t>including healthcare workers should</w:t>
        <w:br/>
        <w:t>be monitored for development of</w:t>
        <w:br/>
        <w:t>symptoms of COVID-19. Patients can be</w:t>
        <w:br/>
        <w:t>discharged from isolation once they</w:t>
        <w:br/>
        <w:t>are afebrile for atleast 3 d and have</w:t>
        <w:br/>
        <w:t>two consecutive negative molecular</w:t>
        <w:br/>
        <w:t>tests at 1 d sampling interval. This</w:t>
        <w:br/>
        <w:t>recommendation is different from</w:t>
        <w:br/>
        <w:br/>
        <w:t>pandemic flu where patients were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01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10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07:29 ~ Oe 948</w:t>
        <w:br/>
        <w:t>e All clinicians should keep</w:t>
        <w:br/>
        <w:t>themselves updated about recent</w:t>
        <w:br/>
        <w:t>developments including global</w:t>
        <w:br/>
        <w:br/>
        <w:t>spread of the disease.</w:t>
        <w:br/>
        <w:br/>
        <w:t>e Non-essential international travel</w:t>
        <w:br/>
        <w:br/>
        <w:t>should be avoided at this time.</w:t>
        <w:br/>
        <w:br/>
        <w:t>¢ People should stop spreading</w:t>
        <w:br/>
        <w:t>myths and false information about</w:t>
        <w:br/>
        <w:t>the disease and try to allay panic</w:t>
        <w:br/>
        <w:br/>
        <w:t>and anxiety of the public.</w:t>
        <w:br/>
        <w:br/>
        <w:t>Conclusions</w:t>
        <w:br/>
        <w:br/>
        <w:t>This new virus outbreak has</w:t>
        <w:br/>
        <w:t>challenged the economic, medical and</w:t>
        <w:br/>
        <w:t>public health infrastructure of China</w:t>
        <w:br/>
        <w:t>and to some extent, of other countries</w:t>
        <w:br/>
        <w:t>especially, its neighbours. Time alone</w:t>
        <w:br/>
        <w:t>will tell how the virus will impact our</w:t>
        <w:br/>
        <w:t>lives here in India. More so, future</w:t>
        <w:br/>
        <w:t>outbreaks of viruses and pathogens of</w:t>
        <w:br/>
        <w:t>zoonotic origin are likely to continue.</w:t>
        <w:br/>
        <w:t>Therefore, apart from curbing this</w:t>
        <w:br/>
        <w:br/>
        <w:t>outbreak. efforts should be made to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70651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1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65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CoV lethal challenge. Such antibodies may play a</w:t>
        <w:br/>
        <w:t>crucial role in enhancing protective humoral</w:t>
        <w:br/>
        <w:t>responses against the emerging CoVs by aiming</w:t>
        <w:br/>
        <w:t>appropriate epitopes and functions of the S protein.</w:t>
        <w:br/>
        <w:t>The cross-neutralization ability of SARS-CoV RBD-</w:t>
        <w:br/>
        <w:t>specific neutralizing MAbs considerably relies on</w:t>
        <w:br/>
        <w:t>the resemblance between their RBDs; therefore,</w:t>
        <w:br/>
        <w:t>SARS-CoV RBD-specific antibodies could cross-</w:t>
        <w:br/>
        <w:t>neutralized SL CoVs, 1.e., bat-SL-CoV strain WIV1</w:t>
        <w:br/>
        <w:t>(RBD with eight amino acid differences from SARS-</w:t>
        <w:br/>
        <w:t>CoV) but not bat-SL-CoV strain SHC014 (24 amino</w:t>
        <w:br/>
        <w:t>acid differences) (200).</w:t>
        <w:br/>
        <w:br/>
        <w:t>Appropriate RBD-specific MAbs can be</w:t>
        <w:br/>
        <w:t>recognized by a relative analysis of RBD of SARS-</w:t>
        <w:br/>
        <w:t>CoV-2 to that of SARS-CoV, and cross-neutralizing</w:t>
        <w:br/>
        <w:t>SARS-CoV RBD-specific MAbs could be explored</w:t>
        <w:br/>
        <w:t>for their effectiveness against COVID-19 and further</w:t>
        <w:br/>
        <w:t>need to be assessed clinically. The USS.</w:t>
        <w:br/>
        <w:t>biotechnology company Regeneron is attempting to</w:t>
        <w:br/>
        <w:t>recognize potent and specific MAbs to combat</w:t>
        <w:br/>
        <w:t>COVID-19. An ideal therapeutic option suggested</w:t>
        <w:br/>
        <w:t>for SARS-CoV-2 (COVID-19) is the combination</w:t>
        <w:br/>
        <w:t>therapy comprised of MAbs and the drug remdesivir</w:t>
        <w:br/>
        <w:t>(COVID-19) (201). The SARS-CoV-specific human</w:t>
        <w:br/>
        <w:t>MAb CR3022 is found to bind with SARS-CoV-2</w:t>
        <w:br/>
        <w:t>RBD, indicating its potential as a therapeutic agent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