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100"/>
      </w:pPr>
      <w:r>
        <w:rPr>
          <w:rFonts w:ascii="Calibri" w:cs="Calibri" w:eastAsia="Calibri" w:hAnsi="Calibri"/>
          <w:b/>
          <w:bCs/>
          <w:color w:val="A44A2A"/>
          <w:spacing w:val="44"/>
          <w:sz w:val="22"/>
          <w:szCs w:val="22"/>
        </w:rPr>
        <w:t xml:space="preserve">ECM PARTNER ENABLEMENT</w:t>
      </w:r>
    </w:p>
    <w:p>
      <w:pPr>
        <w:spacing w:after="0" w:before="220"/>
      </w:pPr>
      <w:r>
        <w:rPr>
          <w:rFonts w:ascii="Cambria" w:cs="Cambria" w:eastAsia="Cambria" w:hAnsi="Cambria"/>
          <w:b/>
          <w:bCs/>
          <w:color w:val="15304F"/>
          <w:sz w:val="58"/>
          <w:szCs w:val="58"/>
        </w:rPr>
        <w:t xml:space="preserve">A Tiered Enablement Model</w:t>
      </w:r>
    </w:p>
    <w:p>
      <w:pPr>
        <w:spacing w:after="260" w:before="70"/>
      </w:pPr>
      <w:r>
        <w:rPr>
          <w:rFonts w:ascii="Cambria" w:cs="Cambria" w:eastAsia="Cambria" w:hAnsi="Cambria"/>
          <w:color w:val="1B2432"/>
          <w:sz w:val="26"/>
          <w:szCs w:val="26"/>
        </w:rPr>
        <w:t xml:space="preserve">Lean, Lean+ and Dedicated — design and architecture for the partner enablement platform and the team structure that operates it</w:t>
      </w:r>
    </w:p>
    <w:p>
      <w:pPr>
        <w:pBdr>
          <w:top w:val="single" w:color="15304F" w:sz="8"/>
        </w:pBdr>
        <w:spacing w:after="380" w:before="200"/>
      </w:pPr>
      <w:r>
        <w:t xml:space="preserve"/>
      </w:r>
    </w:p>
    <w:p>
      <w:pPr>
        <w:spacing w:after="140"/>
      </w:pPr>
      <w:r>
        <w:rPr>
          <w:rFonts w:ascii="Calibri" w:cs="Calibri" w:eastAsia="Calibri" w:hAnsi="Calibri"/>
          <w:b/>
          <w:bCs/>
          <w:color w:val="1B2432"/>
          <w:sz w:val="22"/>
          <w:szCs w:val="22"/>
        </w:rPr>
        <w:t xml:space="preserve">The problem. </w:t>
      </w:r>
      <w:r>
        <w:rPr>
          <w:rFonts w:ascii="Calibri" w:cs="Calibri" w:eastAsia="Calibri" w:hAnsi="Calibri"/>
          <w:color w:val="1B2432"/>
          <w:sz w:val="22"/>
          <w:szCs w:val="22"/>
        </w:rPr>
        <w:t xml:space="preserve">ECM delivers every partner intake through a dedicated capacity model, from inception to release, regardless of how much novel design that intake actually requires. Labour requirements therefore scale directly with intake volume, and the only available lever is headcount.</w:t>
      </w:r>
    </w:p>
    <w:p>
      <w:pPr>
        <w:spacing w:after="140"/>
      </w:pPr>
      <w:r>
        <w:rPr>
          <w:rFonts w:ascii="Calibri" w:cs="Calibri" w:eastAsia="Calibri" w:hAnsi="Calibri"/>
          <w:b/>
          <w:bCs/>
          <w:color w:val="1B2432"/>
          <w:sz w:val="22"/>
          <w:szCs w:val="22"/>
        </w:rPr>
        <w:t xml:space="preserve">The proposal. </w:t>
      </w:r>
      <w:r>
        <w:rPr>
          <w:rFonts w:ascii="Calibri" w:cs="Calibri" w:eastAsia="Calibri" w:hAnsi="Calibri"/>
          <w:color w:val="1B2432"/>
          <w:sz w:val="22"/>
          <w:szCs w:val="22"/>
        </w:rPr>
        <w:t xml:space="preserve">Tier the engagement, not the partner. Assign each intake to one of three enablement models against a published rubric, build the platform capability that makes the lighter tiers safe, and restructure the team around five functions — one of which exists to build capability rather than deliver intakes.</w:t>
      </w:r>
    </w:p>
    <w:p>
      <w:pPr>
        <w:spacing w:after="140"/>
      </w:pPr>
      <w:r>
        <w:rPr>
          <w:rFonts w:ascii="Calibri" w:cs="Calibri" w:eastAsia="Calibri" w:hAnsi="Calibri"/>
          <w:b/>
          <w:bCs/>
          <w:color w:val="1B2432"/>
          <w:sz w:val="22"/>
          <w:szCs w:val="22"/>
        </w:rPr>
        <w:t xml:space="preserve">What is new here. </w:t>
      </w:r>
      <w:r>
        <w:rPr>
          <w:rFonts w:ascii="Calibri" w:cs="Calibri" w:eastAsia="Calibri" w:hAnsi="Calibri"/>
          <w:color w:val="1B2432"/>
          <w:sz w:val="22"/>
          <w:szCs w:val="22"/>
        </w:rPr>
        <w:t xml:space="preserve">An objective tiering rubric applied to all thirty-eight onboarding scenarios ECM supports; a pattern catalogue whose maturity gates which tiers are available; a two-phase approach that proves the model manually before anything is built; an intake completeness intervention that targets the dominant cause of delay and pays in all three models; an automation and AI enablement architecture that separates proposal from decision from action; migration separated from onboarding into a campaign-based factory; and a four-sprint plan that proves the model with five people before any structural commitment is made.</w:t>
      </w:r>
    </w:p>
    <w:p>
      <w:pPr>
        <w:spacing w:after="320"/>
      </w:pPr>
      <w:r>
        <w:t xml:space="preserve"/>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600"/>
        <w:gridCol w:w="6760"/>
      </w:tblGrid>
      <w:tr>
        <w:trPr>
          <w:tblHeader/>
        </w:trPr>
        <w:tc>
          <w:tcPr>
            <w:tcW w:type="dxa" w:w="26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Field</w:t>
            </w:r>
          </w:p>
        </w:tc>
        <w:tc>
          <w:tcPr>
            <w:tcW w:type="dxa" w:w="67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Value</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Document</w:t>
            </w:r>
          </w:p>
        </w:tc>
        <w:tc>
          <w:tcPr>
            <w:tcW w:type="dxa" w:w="6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ECM Partner Enablement — A Tiered Enablement Model</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Scope</w:t>
            </w:r>
          </w:p>
        </w:tc>
        <w:tc>
          <w:tcPr>
            <w:tcW w:type="dxa" w:w="6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 onboarding, API enablement and migration pipeline establishment</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Models defined</w:t>
            </w:r>
          </w:p>
        </w:tc>
        <w:tc>
          <w:tcPr>
            <w:tcW w:type="dxa" w:w="6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Lean  ·  Lean+  ·  Dedicated  ·  (plus Migration Factory for remediation)</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Scenarios assessed</w:t>
            </w:r>
          </w:p>
        </w:tc>
        <w:tc>
          <w:tcPr>
            <w:tcW w:type="dxa" w:w="6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38, covering new onboarding, channel migration, classification change and remediation</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Current structure</w:t>
            </w:r>
          </w:p>
        </w:tc>
        <w:tc>
          <w:tcPr>
            <w:tcW w:type="dxa" w:w="6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Three scrum teams, 30+ engineers, dedicated capacity model only</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Proposed structure</w:t>
            </w:r>
          </w:p>
        </w:tc>
        <w:tc>
          <w:tcPr>
            <w:tcW w:type="dxa" w:w="6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Five functions: Platform Engineering, Enablement Pods, Enablement Clinic, Migration Factory, Governance and Compliance Desk</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Phase 1 — Day 1</w:t>
            </w:r>
          </w:p>
        </w:tc>
        <w:tc>
          <w:tcPr>
            <w:tcW w:type="dxa" w:w="6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Manual. No build. Written guidance, a deeper triage conversation, triage leads assigning tier and guardrails, and a shared pool drawn from existing squads</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Phase 2 — on evidence</w:t>
            </w:r>
          </w:p>
        </w:tc>
        <w:tc>
          <w:tcPr>
            <w:tcW w:type="dxa" w:w="6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Automated and AI-assisted. Approved on what Phase 1 demonstrates, not on this document</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First intervention</w:t>
            </w:r>
          </w:p>
        </w:tc>
        <w:tc>
          <w:tcPr>
            <w:tcW w:type="dxa" w:w="6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Complete the intake. Capture every required data point at intake, with the reason explained, and register every remaining unknown as a dated, owned gap</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Automation approach</w:t>
            </w:r>
          </w:p>
        </w:tc>
        <w:tc>
          <w:tcPr>
            <w:tcW w:type="dxa" w:w="6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Decisions before systems; generation before integration; AI proposes, deterministic rules decide, humans authorise</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Initial commitment</w:t>
            </w:r>
          </w:p>
        </w:tc>
        <w:tc>
          <w:tcPr>
            <w:tcW w:type="dxa" w:w="6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Phase 1: ~2 weeks of preparation, no build, no new headcount · Phase 2: four sprints, 5–6 people</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Status</w:t>
            </w:r>
          </w:p>
        </w:tc>
        <w:tc>
          <w:tcPr>
            <w:tcW w:type="dxa" w:w="6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Draft for leadership review</w:t>
            </w:r>
          </w:p>
        </w:tc>
      </w:tr>
    </w:tbl>
    <w:p>
      <w:r>
        <w:br w:type="page"/>
      </w:r>
    </w:p>
    <w:p>
      <w:pPr>
        <w:spacing w:after="260"/>
      </w:pPr>
      <w:r>
        <w:rPr>
          <w:rFonts w:ascii="Cambria" w:cs="Cambria" w:eastAsia="Cambria" w:hAnsi="Cambria"/>
          <w:b/>
          <w:bCs/>
          <w:color w:val="15304F"/>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20" w:before="400"/>
      </w:pPr>
      <w:r>
        <w:rPr>
          <w:rFonts w:ascii="Cambria" w:cs="Cambria" w:eastAsia="Cambria" w:hAnsi="Cambria"/>
          <w:b/>
          <w:bCs/>
          <w:color w:val="15304F"/>
          <w:sz w:val="34"/>
          <w:szCs w:val="34"/>
        </w:rPr>
        <w:t xml:space="preserve">Executive Summary</w:t>
      </w:r>
    </w:p>
    <w:p>
      <w:pPr>
        <w:spacing w:after="130" w:before="0"/>
      </w:pPr>
      <w:r>
        <w:rPr>
          <w:rFonts w:ascii="Calibri" w:cs="Calibri" w:eastAsia="Calibri" w:hAnsi="Calibri"/>
          <w:b w:val="false"/>
          <w:bCs w:val="false"/>
          <w:i w:val="false"/>
          <w:iCs w:val="false"/>
          <w:color w:val="1B2432"/>
          <w:sz w:val="21"/>
          <w:szCs w:val="21"/>
        </w:rPr>
        <w:t xml:space="preserve">ECM provides repository services to partners for storage, archival and records management, with metadata compliance and document classification applied on arrival. Two streams of demand arrive: planned partner onboarding, and migration of content off non-compliant and legacy repositories. Both are delivered the same way — a development team in a dedicated capacity arrangement with the partner, from inception through to release.</w:t>
      </w:r>
    </w:p>
    <w:p>
      <w:pPr>
        <w:spacing w:after="130" w:before="0"/>
      </w:pPr>
      <w:r>
        <w:rPr>
          <w:rFonts w:ascii="Calibri" w:cs="Calibri" w:eastAsia="Calibri" w:hAnsi="Calibri"/>
          <w:b w:val="false"/>
          <w:bCs w:val="false"/>
          <w:i w:val="false"/>
          <w:iCs w:val="false"/>
          <w:color w:val="1B2432"/>
          <w:sz w:val="21"/>
          <w:szCs w:val="21"/>
        </w:rPr>
        <w:t xml:space="preserve">That model has one structural property that explains the capacity pressure entirely: it spends the same engineering depth on an intake that repeats a pattern already built ten times as it does on one requiring genuinely new design. Capacity required is therefore intake count multiplied by a constant depth, partner demand sets the intake count, and the only remaining lever is headcount. This is an allocation problem, not a throughput problem, and adding engineers does not change the equation that produced it.</w:t>
      </w:r>
    </w:p>
    <w:p>
      <w:pPr>
        <w:pStyle w:val="Heading2"/>
        <w:spacing w:after="170" w:before="320"/>
      </w:pPr>
      <w:r>
        <w:rPr>
          <w:rFonts w:ascii="Cambria" w:cs="Cambria" w:eastAsia="Cambria" w:hAnsi="Cambria"/>
          <w:b/>
          <w:bCs/>
          <w:color w:val="15304F"/>
          <w:sz w:val="27"/>
          <w:szCs w:val="27"/>
        </w:rPr>
        <w:t xml:space="preserve">The proposal in one page</w:t>
      </w:r>
    </w:p>
    <w:p>
      <w:pPr>
        <w:spacing w:after="130" w:before="0"/>
      </w:pPr>
      <w:r>
        <w:rPr>
          <w:rFonts w:ascii="Calibri" w:cs="Calibri" w:eastAsia="Calibri" w:hAnsi="Calibri"/>
          <w:b/>
          <w:bCs/>
          <w:i w:val="false"/>
          <w:iCs w:val="false"/>
          <w:color w:val="15304F"/>
          <w:sz w:val="23"/>
          <w:szCs w:val="23"/>
        </w:rPr>
        <w:t xml:space="preserve">Tier the engagement, not the partner. </w:t>
      </w:r>
    </w:p>
    <w:p>
      <w:pPr>
        <w:spacing w:after="130" w:before="0"/>
      </w:pPr>
      <w:r>
        <w:rPr>
          <w:rFonts w:ascii="Calibri" w:cs="Calibri" w:eastAsia="Calibri" w:hAnsi="Calibri"/>
          <w:b w:val="false"/>
          <w:bCs w:val="false"/>
          <w:i w:val="false"/>
          <w:iCs w:val="false"/>
          <w:color w:val="1B2432"/>
          <w:sz w:val="21"/>
          <w:szCs w:val="21"/>
        </w:rPr>
        <w:t xml:space="preserve">Each intake — not each partner — is assigned an enablement model based on what that specific piece of work requires. The same partner may run three intakes concurrently in three different tiers.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1700"/>
        <w:gridCol w:w="2550"/>
        <w:gridCol w:w="2550"/>
        <w:gridCol w:w="2560"/>
      </w:tblGrid>
      <w:tr>
        <w:trPr>
          <w:tblHeader/>
        </w:trPr>
        <w:tc>
          <w:tcPr>
            <w:tcW w:type="dxa" w:w="17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
            </w:r>
          </w:p>
        </w:tc>
        <w:tc>
          <w:tcPr>
            <w:tcW w:type="dxa" w:w="255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Lean</w:t>
            </w:r>
          </w:p>
        </w:tc>
        <w:tc>
          <w:tcPr>
            <w:tcW w:type="dxa" w:w="255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Lean+</w:t>
            </w:r>
          </w:p>
        </w:tc>
        <w:tc>
          <w:tcPr>
            <w:tcW w:type="dxa" w:w="25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Dedicated</w:t>
            </w:r>
          </w:p>
        </w:tc>
      </w:tr>
      <w:tr>
        <w:tc>
          <w:tcPr>
            <w:tcW w:type="dxa" w:w="1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Capacity</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None allocated</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Shared pool access</w:t>
            </w:r>
          </w:p>
        </w:tc>
        <w:tc>
          <w:tcPr>
            <w:tcW w:type="dxa" w:w="2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Dedicated pod</w:t>
            </w:r>
          </w:p>
        </w:tc>
      </w:tr>
      <w:tr>
        <w:tc>
          <w:tcPr>
            <w:tcW w:type="dxa" w:w="1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ECM role</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Platform only; humans on gate failure</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Two mandatory design checkpoints plus a named guide</w:t>
            </w:r>
          </w:p>
        </w:tc>
        <w:tc>
          <w:tcPr>
            <w:tcW w:type="dxa" w:w="2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End-to-end delivery</w:t>
            </w:r>
          </w:p>
        </w:tc>
      </w:tr>
      <w:tr>
        <w:tc>
          <w:tcPr>
            <w:tcW w:type="dxa" w:w="1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Partner role</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Executes, self-serves within policy bounds</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Executes, drafts design for review</w:t>
            </w:r>
          </w:p>
        </w:tc>
        <w:tc>
          <w:tcPr>
            <w:tcW w:type="dxa" w:w="2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Supplies requirements and acceptance</w:t>
            </w:r>
          </w:p>
        </w:tc>
      </w:tr>
      <w:tr>
        <w:tc>
          <w:tcPr>
            <w:tcW w:type="dxa" w:w="1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Start latency</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Days</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Weeks</w:t>
            </w:r>
          </w:p>
        </w:tc>
        <w:tc>
          <w:tcPr>
            <w:tcW w:type="dxa" w:w="2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Planning increment</w:t>
            </w:r>
          </w:p>
        </w:tc>
      </w:tr>
      <w:tr>
        <w:tc>
          <w:tcPr>
            <w:tcW w:type="dxa" w:w="1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Scaling</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Flat — marginal cost near zero</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Sub-linear</w:t>
            </w:r>
          </w:p>
        </w:tc>
        <w:tc>
          <w:tcPr>
            <w:tcW w:type="dxa" w:w="2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Linear</w:t>
            </w:r>
          </w:p>
        </w:tc>
      </w:tr>
      <w:tr>
        <w:tc>
          <w:tcPr>
            <w:tcW w:type="dxa" w:w="1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Prerequisite</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M3 pattern and partner certification</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M1 pattern</w:t>
            </w:r>
          </w:p>
        </w:tc>
        <w:tc>
          <w:tcPr>
            <w:tcW w:type="dxa" w:w="2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None</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Three design decisions make this work, and each is load-bearing.</w:t>
      </w:r>
    </w:p>
    <w:p>
      <w:pPr>
        <w:spacing w:after="110" w:before="0"/>
      </w:pPr>
      <w:r>
        <w:rPr>
          <w:rFonts w:ascii="Calibri" w:cs="Calibri" w:eastAsia="Calibri" w:hAnsi="Calibri"/>
          <w:b/>
          <w:bCs/>
          <w:i w:val="false"/>
          <w:iCs w:val="false"/>
          <w:color w:val="1B2432"/>
          <w:sz w:val="21"/>
          <w:szCs w:val="21"/>
        </w:rPr>
        <w:t xml:space="preserve">1.  Tier is assigned by ECM, not chosen by the partner. </w:t>
      </w:r>
      <w:r>
        <w:rPr>
          <w:rFonts w:ascii="Calibri" w:cs="Calibri" w:eastAsia="Calibri" w:hAnsi="Calibri"/>
          <w:b w:val="false"/>
          <w:bCs w:val="false"/>
          <w:i w:val="false"/>
          <w:iCs w:val="false"/>
          <w:color w:val="1B2432"/>
          <w:sz w:val="21"/>
          <w:szCs w:val="21"/>
        </w:rPr>
        <w:t xml:space="preserve">Against a published seven-dimension rubric, with recorded justification and a one-step appeal. If partners self-select, every partner selects Dedicated and the model collapses to what exists today.</w:t>
      </w:r>
    </w:p>
    <w:p>
      <w:pPr>
        <w:spacing w:after="110" w:before="0"/>
      </w:pPr>
      <w:r>
        <w:rPr>
          <w:rFonts w:ascii="Calibri" w:cs="Calibri" w:eastAsia="Calibri" w:hAnsi="Calibri"/>
          <w:b/>
          <w:bCs/>
          <w:i w:val="false"/>
          <w:iCs w:val="false"/>
          <w:color w:val="1B2432"/>
          <w:sz w:val="21"/>
          <w:szCs w:val="21"/>
        </w:rPr>
        <w:t xml:space="preserve">2.  Lean is a function of the platform, not a staffing decision. </w:t>
      </w:r>
      <w:r>
        <w:rPr>
          <w:rFonts w:ascii="Calibri" w:cs="Calibri" w:eastAsia="Calibri" w:hAnsi="Calibri"/>
          <w:b w:val="false"/>
          <w:bCs w:val="false"/>
          <w:i w:val="false"/>
          <w:iCs w:val="false"/>
          <w:color w:val="1B2432"/>
          <w:sz w:val="21"/>
          <w:szCs w:val="21"/>
        </w:rPr>
        <w:t xml:space="preserve">Removing the engineer without replacing their knowledge, provisioning authority and judgement is not a model — it is a service withdrawal. A tier opens for a pattern only when that pattern's maturity supports it.</w:t>
      </w:r>
    </w:p>
    <w:p>
      <w:pPr>
        <w:spacing w:after="150" w:before="0"/>
      </w:pPr>
      <w:r>
        <w:rPr>
          <w:rFonts w:ascii="Calibri" w:cs="Calibri" w:eastAsia="Calibri" w:hAnsi="Calibri"/>
          <w:b/>
          <w:bCs/>
          <w:i w:val="false"/>
          <w:iCs w:val="false"/>
          <w:color w:val="1B2432"/>
          <w:sz w:val="21"/>
          <w:szCs w:val="21"/>
        </w:rPr>
        <w:t xml:space="preserve">3.  Dedicated work is pattern acquisition. </w:t>
      </w:r>
      <w:r>
        <w:rPr>
          <w:rFonts w:ascii="Calibri" w:cs="Calibri" w:eastAsia="Calibri" w:hAnsi="Calibri"/>
          <w:b w:val="false"/>
          <w:bCs w:val="false"/>
          <w:i w:val="false"/>
          <w:iCs w:val="false"/>
          <w:color w:val="1B2432"/>
          <w:sz w:val="21"/>
          <w:szCs w:val="21"/>
        </w:rPr>
        <w:t xml:space="preserve">Every Dedicated intake must leave behind a reusable pattern as a closure condition. This is the mechanism by which the distribution shifts over time: today's Dedicated delivery is tomorrow's Lean eligibility.</w:t>
      </w:r>
    </w:p>
    <w:p>
      <w:pPr>
        <w:pStyle w:val="Heading2"/>
        <w:spacing w:after="170" w:before="320"/>
      </w:pPr>
      <w:r>
        <w:rPr>
          <w:rFonts w:ascii="Cambria" w:cs="Cambria" w:eastAsia="Cambria" w:hAnsi="Cambria"/>
          <w:b/>
          <w:bCs/>
          <w:color w:val="15304F"/>
          <w:sz w:val="27"/>
          <w:szCs w:val="27"/>
        </w:rPr>
        <w:t xml:space="preserve">What the scenario assessment shows</w:t>
      </w:r>
    </w:p>
    <w:p>
      <w:pPr>
        <w:spacing w:after="130" w:before="0"/>
      </w:pPr>
      <w:r>
        <w:rPr>
          <w:rFonts w:ascii="Calibri" w:cs="Calibri" w:eastAsia="Calibri" w:hAnsi="Calibri"/>
          <w:b w:val="false"/>
          <w:bCs w:val="false"/>
          <w:i w:val="false"/>
          <w:iCs w:val="false"/>
          <w:color w:val="1B2432"/>
          <w:sz w:val="21"/>
          <w:szCs w:val="21"/>
        </w:rPr>
        <w:t xml:space="preserve">Applying the rubric to all thirty-eight onboarding scenarios ECM supports produces a distribution that is deliberately unflattering at entry and materially different at steady state.</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100"/>
        <w:gridCol w:w="1700"/>
        <w:gridCol w:w="1700"/>
        <w:gridCol w:w="3860"/>
      </w:tblGrid>
      <w:tr>
        <w:trPr>
          <w:tblHeader/>
        </w:trPr>
        <w:tc>
          <w:tcPr>
            <w:tcW w:type="dxa" w:w="21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Tier</w:t>
            </w:r>
          </w:p>
        </w:tc>
        <w:tc>
          <w:tcPr>
            <w:tcW w:type="dxa" w:w="17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At entry</w:t>
            </w:r>
          </w:p>
        </w:tc>
        <w:tc>
          <w:tcPr>
            <w:tcW w:type="dxa" w:w="17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Steady state</w:t>
            </w:r>
          </w:p>
        </w:tc>
        <w:tc>
          <w:tcPr>
            <w:tcW w:type="dxa" w:w="38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Reading</w:t>
            </w:r>
          </w:p>
        </w:tc>
      </w:tr>
      <w:tr>
        <w:tc>
          <w:tcPr>
            <w:tcW w:type="dxa" w:w="2100"/>
            <w:shd w:fill="E6F2F1"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0B6E6E"/>
                <w:sz w:val="18"/>
                <w:szCs w:val="18"/>
              </w:rPr>
              <w:t xml:space="preserve">Lean</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21%</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40–45%</w:t>
            </w:r>
          </w:p>
        </w:tc>
        <w:tc>
          <w:tcPr>
            <w:tcW w:type="dxa" w:w="38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Subscription and entitlement change, new content on existing flows, access grants</w:t>
            </w:r>
          </w:p>
        </w:tc>
      </w:tr>
      <w:tr>
        <w:tc>
          <w:tcPr>
            <w:tcW w:type="dxa" w:w="2100"/>
            <w:shd w:fill="FAF1DF"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9A6410"/>
                <w:sz w:val="18"/>
                <w:szCs w:val="18"/>
              </w:rPr>
              <w:t xml:space="preserve">Lean+</w:t>
            </w:r>
          </w:p>
        </w:tc>
        <w:tc>
          <w:tcPr>
            <w:tcW w:type="dxa" w:w="1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37%</w:t>
            </w:r>
          </w:p>
        </w:tc>
        <w:tc>
          <w:tcPr>
            <w:tcW w:type="dxa" w:w="1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32–34%</w:t>
            </w:r>
          </w:p>
        </w:tc>
        <w:tc>
          <w:tcPr>
            <w:tcW w:type="dxa" w:w="38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Channel migrations, new flows on known patterns, non-regulated new ingestion, dry runs</w:t>
            </w:r>
          </w:p>
        </w:tc>
      </w:tr>
      <w:tr>
        <w:tc>
          <w:tcPr>
            <w:tcW w:type="dxa" w:w="2100"/>
            <w:shd w:fill="E8EDF4"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15304F"/>
                <w:sz w:val="18"/>
                <w:szCs w:val="18"/>
              </w:rPr>
              <w:t xml:space="preserve">Dedicated</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37%</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18–21%</w:t>
            </w:r>
          </w:p>
        </w:tc>
        <w:tc>
          <w:tcPr>
            <w:tcW w:type="dxa" w:w="38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Regulated ingestion, classification cutovers, multi-LOB change, compliance remediation</w:t>
            </w:r>
          </w:p>
        </w:tc>
      </w:tr>
      <w:tr>
        <w:tc>
          <w:tcPr>
            <w:tcW w:type="dxa" w:w="2100"/>
            <w:shd w:fill="F1EEF6"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5B4A72"/>
                <w:sz w:val="18"/>
                <w:szCs w:val="18"/>
              </w:rPr>
              <w:t xml:space="preserve">Factory</w:t>
            </w:r>
          </w:p>
        </w:tc>
        <w:tc>
          <w:tcPr>
            <w:tcW w:type="dxa" w:w="1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5%</w:t>
            </w:r>
          </w:p>
        </w:tc>
        <w:tc>
          <w:tcPr>
            <w:tcW w:type="dxa" w:w="1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5%</w:t>
            </w:r>
          </w:p>
        </w:tc>
        <w:tc>
          <w:tcPr>
            <w:tcW w:type="dxa" w:w="38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Records remediation and historical metadata — campaigns, not onboardings</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Only a fifth of scenarios qualify for Lean on day one. That is the honest starting point, and the trajectory — not the entry figure — is the case being made. Every scenario that migrates to a lighter tier does so because a pod delivered it once and the pattern was harvested and hardened.</w:t>
      </w:r>
    </w:p>
    <w:p>
      <w:pPr>
        <w:pStyle w:val="Heading2"/>
        <w:spacing w:after="170" w:before="320"/>
      </w:pPr>
      <w:r>
        <w:rPr>
          <w:rFonts w:ascii="Cambria" w:cs="Cambria" w:eastAsia="Cambria" w:hAnsi="Cambria"/>
          <w:b/>
          <w:bCs/>
          <w:color w:val="15304F"/>
          <w:sz w:val="27"/>
          <w:szCs w:val="27"/>
        </w:rPr>
        <w:t xml:space="preserve">Team structure</w:t>
      </w:r>
    </w:p>
    <w:p>
      <w:pPr>
        <w:spacing w:after="130" w:before="0"/>
      </w:pPr>
      <w:r>
        <w:rPr>
          <w:rFonts w:ascii="Calibri" w:cs="Calibri" w:eastAsia="Calibri" w:hAnsi="Calibri"/>
          <w:b w:val="false"/>
          <w:bCs w:val="false"/>
          <w:i w:val="false"/>
          <w:iCs w:val="false"/>
          <w:color w:val="1B2432"/>
          <w:sz w:val="21"/>
          <w:szCs w:val="21"/>
        </w:rPr>
        <w:t xml:space="preserve">Three undifferentiated scrum teams cannot deliver this model, for three reasons: routine work fragments complex work when both sit in the same backlog; no function owns reusable capability, which is why patterns are not harvested today; and specialist governance knowledge is spread thinly across all three. The proposal replaces them with five functions.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600"/>
        <w:gridCol w:w="6760"/>
      </w:tblGrid>
      <w:tr>
        <w:trPr>
          <w:tblHeader/>
        </w:trPr>
        <w:tc>
          <w:tcPr>
            <w:tcW w:type="dxa" w:w="26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Function</w:t>
            </w:r>
          </w:p>
        </w:tc>
        <w:tc>
          <w:tcPr>
            <w:tcW w:type="dxa" w:w="67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Purpose</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Platform Engineering</w:t>
            </w:r>
          </w:p>
        </w:tc>
        <w:tc>
          <w:tcPr>
            <w:tcW w:type="dxa" w:w="6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Build the enablement platform and move patterns up the maturity ladder. Takes no intakes. Must be explicitly protected from delivery pressure.</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Enablement Pods</w:t>
            </w:r>
          </w:p>
        </w:tc>
        <w:tc>
          <w:tcPr>
            <w:tcW w:type="dxa" w:w="6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Deliver Dedicated intakes end to end and harvest a pattern at closure.</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Enablement Clinic</w:t>
            </w:r>
          </w:p>
        </w:tc>
        <w:tc>
          <w:tcPr>
            <w:tcW w:type="dxa" w:w="6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Scheduled design assurance for Lean+ and on-demand unblocking for Lean, from a shared pool sized against checkpoint load.</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Migration Factory</w:t>
            </w:r>
          </w:p>
        </w:tc>
        <w:tc>
          <w:tcPr>
            <w:tcW w:type="dxa" w:w="6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Run legacy and non-compliant remediation as campaigns measured in content remediated, not partners onboarded.</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Governance and Compliance Desk</w:t>
            </w:r>
          </w:p>
        </w:tc>
        <w:tc>
          <w:tcPr>
            <w:tcW w:type="dxa" w:w="6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Hold the determinations every tier depends on, with a published turnaround service level.</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Headcount is redistributed, not reduced. The benefit is absorbing materially more intake volume with the same people. Platform Engineering is funded from delivery capacity, which means throughput dips before it rises — a fact the business case should state rather than let appear in month four.</w:t>
      </w:r>
    </w:p>
    <w:p>
      <w:pPr>
        <w:pStyle w:val="Heading2"/>
        <w:spacing w:after="170" w:before="320"/>
      </w:pPr>
      <w:r>
        <w:rPr>
          <w:rFonts w:ascii="Cambria" w:cs="Cambria" w:eastAsia="Cambria" w:hAnsi="Cambria"/>
          <w:b/>
          <w:bCs/>
          <w:color w:val="15304F"/>
          <w:sz w:val="27"/>
          <w:szCs w:val="27"/>
        </w:rPr>
        <w:t xml:space="preserve">Why the lighter tiers are safe</w:t>
      </w:r>
    </w:p>
    <w:p>
      <w:pPr>
        <w:spacing w:after="130" w:before="0"/>
      </w:pPr>
      <w:r>
        <w:rPr>
          <w:rFonts w:ascii="Calibri" w:cs="Calibri" w:eastAsia="Calibri" w:hAnsi="Calibri"/>
          <w:b w:val="false"/>
          <w:bCs w:val="false"/>
          <w:i w:val="false"/>
          <w:iCs w:val="false"/>
          <w:color w:val="1B2432"/>
          <w:sz w:val="21"/>
          <w:szCs w:val="21"/>
        </w:rPr>
        <w:t xml:space="preserve">The gates that protect records compliance, content classification, security, volume certification, environment promotion and production supportability are identical in all three tiers. No tier confers an exemption. The difference is that in Lean they are enforced by the platform rather than by an engineer's attention — which is more consistent, not less. A sampled proportion of completed Lean intakes is audited after go-live, which is the assurance mechanism that lets compliance functions accept the tier at all.</w:t>
      </w:r>
    </w:p>
    <w:p>
      <w:pPr>
        <w:pStyle w:val="Heading2"/>
        <w:spacing w:after="170" w:before="320"/>
      </w:pPr>
      <w:r>
        <w:rPr>
          <w:rFonts w:ascii="Cambria" w:cs="Cambria" w:eastAsia="Cambria" w:hAnsi="Cambria"/>
          <w:b/>
          <w:bCs/>
          <w:color w:val="15304F"/>
          <w:sz w:val="27"/>
          <w:szCs w:val="27"/>
        </w:rPr>
        <w:t xml:space="preserve">Two phases — prove it manually, then build it</w:t>
      </w:r>
    </w:p>
    <w:p>
      <w:pPr>
        <w:spacing w:after="130" w:before="0"/>
      </w:pPr>
      <w:r>
        <w:rPr>
          <w:rFonts w:ascii="Calibri" w:cs="Calibri" w:eastAsia="Calibri" w:hAnsi="Calibri"/>
          <w:b w:val="false"/>
          <w:bCs w:val="false"/>
          <w:i w:val="false"/>
          <w:iCs w:val="false"/>
          <w:color w:val="1B2432"/>
          <w:sz w:val="21"/>
          <w:szCs w:val="21"/>
        </w:rPr>
        <w:t xml:space="preserve">This design can be adopted in two phases, and the order matters. Phase 1 changes how the model is run without building anything at all. Phase 2 builds the platform that makes it scale, and is approved on what Phase 1 demonstrates rather than on the argument in this document.</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1500"/>
        <w:gridCol w:w="3800"/>
        <w:gridCol w:w="4060"/>
      </w:tblGrid>
      <w:tr>
        <w:trPr>
          <w:tblHeader/>
        </w:trPr>
        <w:tc>
          <w:tcPr>
            <w:tcW w:type="dxa" w:w="1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
            </w:r>
          </w:p>
        </w:tc>
        <w:tc>
          <w:tcPr>
            <w:tcW w:type="dxa" w:w="38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Phase 1 — Manual</w:t>
            </w:r>
          </w:p>
        </w:tc>
        <w:tc>
          <w:tcPr>
            <w:tcW w:type="dxa" w:w="40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Phase 2 — Automated and AI-assisted</w:t>
            </w:r>
          </w:p>
        </w:tc>
      </w:tr>
      <w:tr>
        <w:tc>
          <w:tcPr>
            <w:tcW w:type="dxa" w:w="1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What changes</w:t>
            </w:r>
          </w:p>
        </w:tc>
        <w:tc>
          <w:tcPr>
            <w:tcW w:type="dxa" w:w="38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triage conversation, who assigns the tier, how capacity is organised</w:t>
            </w:r>
          </w:p>
        </w:tc>
        <w:tc>
          <w:tcPr>
            <w:tcW w:type="dxa" w:w="40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platform that makes the lighter tiers scale and removes the clerical load</w:t>
            </w:r>
          </w:p>
        </w:tc>
      </w:tr>
      <w:tr>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What is built</w:t>
            </w:r>
          </w:p>
        </w:tc>
        <w:tc>
          <w:tcPr>
            <w:tcW w:type="dxa" w:w="38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Nothing. Written guidance only.</w:t>
            </w:r>
          </w:p>
        </w:tc>
        <w:tc>
          <w:tcPr>
            <w:tcW w:type="dxa" w:w="40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Enablement record, patterns, provisioning, gates, cockpit, AI assistance</w:t>
            </w:r>
          </w:p>
        </w:tc>
      </w:tr>
      <w:tr>
        <w:tc>
          <w:tcPr>
            <w:tcW w:type="dxa" w:w="1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Investment</w:t>
            </w:r>
          </w:p>
        </w:tc>
        <w:tc>
          <w:tcPr>
            <w:tcW w:type="dxa" w:w="38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 weeks of preparation by people who already hold the knowledge</w:t>
            </w:r>
          </w:p>
        </w:tc>
        <w:tc>
          <w:tcPr>
            <w:tcW w:type="dxa" w:w="40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Four sprints, 5–6 people protected from delivery</w:t>
            </w:r>
          </w:p>
        </w:tc>
      </w:tr>
      <w:tr>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Duration</w:t>
            </w:r>
          </w:p>
        </w:tc>
        <w:tc>
          <w:tcPr>
            <w:tcW w:type="dxa" w:w="38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One quarter</w:t>
            </w:r>
          </w:p>
        </w:tc>
        <w:tc>
          <w:tcPr>
            <w:tcW w:type="dxa" w:w="40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Eight weeks to first proof, then wave-based</w:t>
            </w:r>
          </w:p>
        </w:tc>
      </w:tr>
      <w:tr>
        <w:tc>
          <w:tcPr>
            <w:tcW w:type="dxa" w:w="1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Risk if it fails</w:t>
            </w:r>
          </w:p>
        </w:tc>
        <w:tc>
          <w:tcPr>
            <w:tcW w:type="dxa" w:w="38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quarter of process change. Nothing stranded.</w:t>
            </w:r>
          </w:p>
        </w:tc>
        <w:tc>
          <w:tcPr>
            <w:tcW w:type="dxa" w:w="40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Engineering capacity committed against an unproven model</w:t>
            </w:r>
          </w:p>
        </w:tc>
      </w:tr>
      <w:tr>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What it produces</w:t>
            </w:r>
          </w:p>
        </w:tc>
        <w:tc>
          <w:tcPr>
            <w:tcW w:type="dxa" w:w="38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Evidence: the real distribution, the real baseline, the real bottleneck</w:t>
            </w:r>
          </w:p>
        </w:tc>
        <w:tc>
          <w:tcPr>
            <w:tcW w:type="dxa" w:w="40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Capacity decoupled from demand</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Phase 1 substitutes a person and a written guide for each platform mechanism: a structured ninety-minute triage conversation in place of the intake copilot, a scoring sheet in place of the tiering assistant, a gaps table in place of the gap register, a shared pool drawn from existing squads in place of the clinic, and one hand-maintained tracker in place of the cockpit. Triage leads assign the tier and select the guardrails outright.</w:t>
      </w:r>
    </w:p>
    <w:p>
      <w:pPr>
        <w:spacing w:after="130" w:before="0"/>
      </w:pPr>
      <w:r>
        <w:rPr>
          <w:rFonts w:ascii="Calibri" w:cs="Calibri" w:eastAsia="Calibri" w:hAnsi="Calibri"/>
          <w:b w:val="false"/>
          <w:bCs w:val="false"/>
          <w:i w:val="false"/>
          <w:iCs w:val="false"/>
          <w:color w:val="1B2432"/>
          <w:sz w:val="21"/>
          <w:szCs w:val="21"/>
        </w:rPr>
        <w:t xml:space="preserve">Being accurate about the ceiling is what makes the two-phase proposal credible. Lean+ is a human process by design and works well manually — seventeen scenarios can move from continuous allocation to scheduled assurance with no tooling at all. Lean assumes the partner can self-serve, and without a platform they cannot; manual Lean reaches five scenarios against sixteen at platform steady state. That gap of eleven scenarios is the clearest single statement of what Phase 2 actually buys.</w:t>
      </w:r>
    </w:p>
    <w:p>
      <w:pPr>
        <w:spacing w:after="150" w:before="0"/>
      </w:pPr>
      <w:r>
        <w:rPr>
          <w:rFonts w:ascii="Calibri" w:cs="Calibri" w:eastAsia="Calibri" w:hAnsi="Calibri"/>
          <w:b/>
          <w:bCs/>
          <w:i w:val="false"/>
          <w:iCs w:val="false"/>
          <w:color w:val="1B2432"/>
          <w:sz w:val="21"/>
          <w:szCs w:val="21"/>
        </w:rPr>
        <w:t xml:space="preserve">Phase 1 is also how the Phase 2 backlog stops being a design guess. </w:t>
      </w:r>
      <w:r>
        <w:rPr>
          <w:rFonts w:ascii="Calibri" w:cs="Calibri" w:eastAsia="Calibri" w:hAnsi="Calibri"/>
          <w:b w:val="false"/>
          <w:bCs w:val="false"/>
          <w:i w:val="false"/>
          <w:iCs w:val="false"/>
          <w:color w:val="1B2432"/>
          <w:sz w:val="21"/>
          <w:szCs w:val="21"/>
        </w:rPr>
        <w:t xml:space="preserve">After a quarter of running the model by hand, the team knows precisely which questions partners stumble on, which rules get applied wrong, which gates get waived and where the hours actually go — which is a materially stronger basis for committing engineering capacity than any design document.</w:t>
      </w:r>
    </w:p>
    <w:p>
      <w:pPr>
        <w:pStyle w:val="Heading2"/>
        <w:spacing w:after="170" w:before="320"/>
      </w:pPr>
      <w:r>
        <w:rPr>
          <w:rFonts w:ascii="Cambria" w:cs="Cambria" w:eastAsia="Cambria" w:hAnsi="Cambria"/>
          <w:b/>
          <w:bCs/>
          <w:color w:val="15304F"/>
          <w:sz w:val="27"/>
          <w:szCs w:val="27"/>
        </w:rPr>
        <w:t xml:space="preserve">The first intervention: complete the intake</w:t>
      </w:r>
    </w:p>
    <w:p>
      <w:pPr>
        <w:spacing w:after="130" w:before="0"/>
      </w:pPr>
      <w:r>
        <w:rPr>
          <w:rFonts w:ascii="Calibri" w:cs="Calibri" w:eastAsia="Calibri" w:hAnsi="Calibri"/>
          <w:b w:val="false"/>
          <w:bCs w:val="false"/>
          <w:i w:val="false"/>
          <w:iCs w:val="false"/>
          <w:color w:val="1B2432"/>
          <w:sz w:val="21"/>
          <w:szCs w:val="21"/>
        </w:rPr>
        <w:t xml:space="preserve">Before any of the structural change, there is a single intervention that pays immediately and benefits all three models equally — including the one operating today.</w:t>
      </w:r>
    </w:p>
    <w:p>
      <w:pPr>
        <w:spacing w:after="110" w:before="0"/>
      </w:pPr>
      <w:r>
        <w:rPr>
          <w:rFonts w:ascii="Calibri" w:cs="Calibri" w:eastAsia="Calibri" w:hAnsi="Calibri"/>
          <w:b/>
          <w:bCs/>
          <w:i w:val="false"/>
          <w:iCs w:val="false"/>
          <w:color w:val="15304F"/>
          <w:sz w:val="23"/>
          <w:szCs w:val="23"/>
        </w:rPr>
        <w:t xml:space="preserve">The majority of onboarding delay is caused by missing data, discovered late. </w:t>
      </w:r>
    </w:p>
    <w:p>
      <w:pPr>
        <w:spacing w:after="130" w:before="0"/>
      </w:pPr>
      <w:r>
        <w:rPr>
          <w:rFonts w:ascii="Calibri" w:cs="Calibri" w:eastAsia="Calibri" w:hAnsi="Calibri"/>
          <w:b w:val="false"/>
          <w:bCs w:val="false"/>
          <w:i w:val="false"/>
          <w:iCs w:val="false"/>
          <w:color w:val="1B2432"/>
          <w:sz w:val="21"/>
          <w:szCs w:val="21"/>
        </w:rPr>
        <w:t xml:space="preserve">Not by engineering complexity or capacity shortage, but by the fact that the requirement for a piece of information is discovered incrementally, by a person, after the intake has landed. Each discovery starts a cycle: an engineer realises something is needed, works out who would know, explains why it matters, waits days for a response, clarifies an imprecise answer, and resumes — until the next step reaches the next missing item. The enabling squads' working estimate is that these cycles consume thirty to forty per cent of total elapsed time, and they are, by consistent account, the most draining work the squads perform.</w:t>
      </w:r>
    </w:p>
    <w:p>
      <w:pPr>
        <w:spacing w:after="130" w:before="0"/>
      </w:pPr>
      <w:r>
        <w:rPr>
          <w:rFonts w:ascii="Calibri" w:cs="Calibri" w:eastAsia="Calibri" w:hAnsi="Calibri"/>
          <w:b w:val="false"/>
          <w:bCs w:val="false"/>
          <w:i w:val="false"/>
          <w:iCs w:val="false"/>
          <w:color w:val="1B2432"/>
          <w:sz w:val="21"/>
          <w:szCs w:val="21"/>
        </w:rPr>
        <w:t xml:space="preserve">The intervention is to capture everything at intake — with the reason for each requirement explained at the point of asking, and with assistance for the partner who does not know the answer. Where something genuinely is not knowable yet, it is registered as a dated, owned gap tied to the gate it blocks. The design goal is precise:</w:t>
      </w:r>
    </w:p>
    <w:p>
      <w:pPr>
        <w:spacing w:after="110" w:before="90"/>
      </w:pPr>
      <w:r>
        <w:rPr>
          <w:rFonts w:ascii="Calibri" w:cs="Calibri" w:eastAsia="Calibri" w:hAnsi="Calibri"/>
          <w:b/>
          <w:bCs/>
          <w:i w:val="false"/>
          <w:iCs w:val="false"/>
          <w:color w:val="15304F"/>
          <w:sz w:val="22"/>
          <w:szCs w:val="22"/>
        </w:rPr>
        <w:t xml:space="preserve">Capture everything knowable now, and convert everything else from an unknown-unknown into a scheduled-known.</w:t>
      </w:r>
    </w:p>
    <w:p>
      <w:pPr>
        <w:spacing w:after="130" w:before="0"/>
      </w:pPr>
      <w:r>
        <w:rPr>
          <w:rFonts w:ascii="Calibri" w:cs="Calibri" w:eastAsia="Calibri" w:hAnsi="Calibri"/>
          <w:b w:val="false"/>
          <w:bCs w:val="false"/>
          <w:i w:val="false"/>
          <w:iCs w:val="false"/>
          <w:color w:val="1B2432"/>
          <w:sz w:val="21"/>
          <w:szCs w:val="21"/>
        </w:rPr>
        <w:t xml:space="preserve">Nothing is then discovered late. An engineer picking up an intake begins by reading a list of what is missing, who owns each item and when it is due — produced at intake, by the partner, with the reasons already explained — rather than spending hours working that out and starting the first clarification cycle themselves.</w:t>
      </w:r>
    </w:p>
    <w:p>
      <w:pPr>
        <w:spacing w:after="130" w:before="0"/>
      </w:pPr>
      <w:r>
        <w:rPr>
          <w:rFonts w:ascii="Calibri" w:cs="Calibri" w:eastAsia="Calibri" w:hAnsi="Calibri"/>
          <w:b w:val="false"/>
          <w:bCs w:val="false"/>
          <w:i w:val="false"/>
          <w:iCs w:val="false"/>
          <w:color w:val="1B2432"/>
          <w:sz w:val="21"/>
          <w:szCs w:val="21"/>
        </w:rPr>
        <w:t xml:space="preserve">This is targeted from day one of Sprint 1, ahead of any structural change, for four reasons: it is tier-independent, so it improves the current model as much as the target one; it needs no re-organisation, no headcount movement and no systems integration; the saving is countable within one or two intakes rather than one or two quarters; and every other capability in this design consumes intake content, so it sets the ceiling on everything built after it.</w:t>
      </w:r>
    </w:p>
    <w:p>
      <w:pPr>
        <w:spacing w:after="130" w:before="60"/>
      </w:pPr>
      <w:r>
        <w:rPr>
          <w:rFonts w:ascii="Calibri" w:cs="Calibri" w:eastAsia="Calibri" w:hAnsi="Calibri"/>
          <w:b w:val="false"/>
          <w:bCs w:val="false"/>
          <w:i w:val="false"/>
          <w:iCs w:val="false"/>
          <w:color w:val="1B2432"/>
          <w:sz w:val="21"/>
          <w:szCs w:val="21"/>
        </w:rPr>
        <w:t xml:space="preserve">The asset it rests on is not the chatbot. It is a catalogue of all fifty-four data points the lifecycle requires, each with why it is needed and what it blocks — roughly two weeks of two experienced engineers and a governance analyst, and the highest-leverage fortnight in the programme. The full catalogue is at Appendix D.</w:t>
      </w:r>
    </w:p>
    <w:p>
      <w:pPr>
        <w:pStyle w:val="Heading2"/>
        <w:spacing w:after="170" w:before="320"/>
      </w:pPr>
      <w:r>
        <w:rPr>
          <w:rFonts w:ascii="Cambria" w:cs="Cambria" w:eastAsia="Cambria" w:hAnsi="Cambria"/>
          <w:b/>
          <w:bCs/>
          <w:color w:val="15304F"/>
          <w:sz w:val="27"/>
          <w:szCs w:val="27"/>
        </w:rPr>
        <w:t xml:space="preserve">How the rest gets built — and why it is cheaper than it looks</w:t>
      </w:r>
    </w:p>
    <w:p>
      <w:pPr>
        <w:spacing w:after="130" w:before="0"/>
      </w:pPr>
      <w:r>
        <w:rPr>
          <w:rFonts w:ascii="Calibri" w:cs="Calibri" w:eastAsia="Calibri" w:hAnsi="Calibri"/>
          <w:b w:val="false"/>
          <w:bCs w:val="false"/>
          <w:i w:val="false"/>
          <w:iCs w:val="false"/>
          <w:color w:val="1B2432"/>
          <w:sz w:val="21"/>
          <w:szCs w:val="21"/>
        </w:rPr>
        <w:t xml:space="preserve">The instinct is to build a platform: a portal, a workflow engine, deep integration into every downstream tool. That path is eighteen months long and delivers nothing usable until most of it exists. There is a materially cheaper route, and it rests on one observation — most of the cost of onboarding today is not systems integration. It is knowing what is required, producing a correct artefact, and finding out early that something is wrong.</w:t>
      </w:r>
    </w:p>
    <w:p>
      <w:pPr>
        <w:spacing w:after="110" w:before="0"/>
      </w:pPr>
      <w:r>
        <w:rPr>
          <w:rFonts w:ascii="Calibri" w:cs="Calibri" w:eastAsia="Calibri" w:hAnsi="Calibri"/>
          <w:b/>
          <w:bCs/>
          <w:i w:val="false"/>
          <w:iCs w:val="false"/>
          <w:color w:val="1B2432"/>
          <w:sz w:val="21"/>
          <w:szCs w:val="21"/>
        </w:rPr>
        <w:t xml:space="preserve">Automate the decisions before automating the systems. </w:t>
      </w:r>
      <w:r>
        <w:rPr>
          <w:rFonts w:ascii="Calibri" w:cs="Calibri" w:eastAsia="Calibri" w:hAnsi="Calibri"/>
          <w:b w:val="false"/>
          <w:bCs w:val="false"/>
          <w:i w:val="false"/>
          <w:iCs w:val="false"/>
          <w:color w:val="1B2432"/>
          <w:sz w:val="21"/>
          <w:szCs w:val="21"/>
        </w:rPr>
        <w:t xml:space="preserve">A rule that returns the correct answer — which project, which access path, whether this is complete, whether this may promote — delivers most of the value of an integration at a fraction of the cost, because the expensive part of integration is the connection, not the logic.</w:t>
      </w:r>
    </w:p>
    <w:p>
      <w:pPr>
        <w:spacing w:after="150" w:before="0"/>
      </w:pPr>
      <w:r>
        <w:rPr>
          <w:rFonts w:ascii="Calibri" w:cs="Calibri" w:eastAsia="Calibri" w:hAnsi="Calibri"/>
          <w:b/>
          <w:bCs/>
          <w:i w:val="false"/>
          <w:iCs w:val="false"/>
          <w:color w:val="1B2432"/>
          <w:sz w:val="21"/>
          <w:szCs w:val="21"/>
        </w:rPr>
        <w:t xml:space="preserve">Generation beats integration. </w:t>
      </w:r>
      <w:r>
        <w:rPr>
          <w:rFonts w:ascii="Calibri" w:cs="Calibri" w:eastAsia="Calibri" w:hAnsi="Calibri"/>
          <w:b w:val="false"/>
          <w:bCs w:val="false"/>
          <w:i w:val="false"/>
          <w:iCs w:val="false"/>
          <w:color w:val="1B2432"/>
          <w:sz w:val="21"/>
          <w:szCs w:val="21"/>
        </w:rPr>
        <w:t xml:space="preserve">Producing a complete, correct draft of the records questionnaire removes almost all the effort of authoring it. Integrating to submit it automatically removes the remaining tenth, at ten times the cost.</w:t>
      </w:r>
    </w:p>
    <w:p>
      <w:pPr>
        <w:spacing w:after="130" w:before="0"/>
      </w:pPr>
      <w:r>
        <w:rPr>
          <w:rFonts w:ascii="Calibri" w:cs="Calibri" w:eastAsia="Calibri" w:hAnsi="Calibri"/>
          <w:b w:val="false"/>
          <w:bCs w:val="false"/>
          <w:i w:val="false"/>
          <w:iCs w:val="false"/>
          <w:color w:val="1B2432"/>
          <w:sz w:val="21"/>
          <w:szCs w:val="21"/>
        </w:rPr>
        <w:t xml:space="preserve">AI enablement sits inside a three-layer separation that makes it acceptable to risk and compliance: AI proposes — a tier, a pattern, a scope, a draft, an answer to a partner question. Deterministic rules decide — eligibility, completeness, routing, gate satisfaction. Humans authorise — governance determinations, records approvals, go-live. The platform acts only on decisions, never on proposals. No AI output is ever a gate decision, and nothing in this architecture determines content classification, retention or security posture.</w:t>
      </w:r>
    </w:p>
    <w:p>
      <w:pPr>
        <w:pStyle w:val="Heading2"/>
        <w:spacing w:after="170" w:before="320"/>
      </w:pPr>
      <w:r>
        <w:rPr>
          <w:rFonts w:ascii="Cambria" w:cs="Cambria" w:eastAsia="Cambria" w:hAnsi="Cambria"/>
          <w:b/>
          <w:bCs/>
          <w:color w:val="15304F"/>
          <w:sz w:val="27"/>
          <w:szCs w:val="27"/>
        </w:rPr>
        <w:t xml:space="preserve">Four sprints to a working framework</w:t>
      </w:r>
    </w:p>
    <w:p>
      <w:pPr>
        <w:spacing w:after="130" w:before="0"/>
      </w:pPr>
      <w:r>
        <w:rPr>
          <w:rFonts w:ascii="Calibri" w:cs="Calibri" w:eastAsia="Calibri" w:hAnsi="Calibri"/>
          <w:b w:val="false"/>
          <w:bCs w:val="false"/>
          <w:i w:val="false"/>
          <w:iCs w:val="false"/>
          <w:color w:val="1B2432"/>
          <w:sz w:val="21"/>
          <w:szCs w:val="21"/>
        </w:rPr>
        <w:t xml:space="preserve">Eight weeks with five to six people delivers a working framework, real tiering data, two tiers operating, one pattern fully self-service, and three partners plus the enabling squads actively using the new model. No structural change, no headcount commitment, and no partner forced to do anything differently until they choose to.</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1500"/>
        <w:gridCol w:w="2500"/>
        <w:gridCol w:w="2680"/>
        <w:gridCol w:w="2680"/>
      </w:tblGrid>
      <w:tr>
        <w:trPr>
          <w:tblHeader/>
        </w:trPr>
        <w:tc>
          <w:tcPr>
            <w:tcW w:type="dxa" w:w="1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Sprint</w:t>
            </w:r>
          </w:p>
        </w:tc>
        <w:tc>
          <w:tcPr>
            <w:tcW w:type="dxa" w:w="2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Theme</w:t>
            </w:r>
          </w:p>
        </w:tc>
        <w:tc>
          <w:tcPr>
            <w:tcW w:type="dxa" w:w="268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Key deliverable</w:t>
            </w:r>
          </w:p>
        </w:tc>
        <w:tc>
          <w:tcPr>
            <w:tcW w:type="dxa" w:w="268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Proof point</w:t>
            </w:r>
          </w:p>
        </w:tc>
      </w:tr>
      <w:tr>
        <w:tc>
          <w:tcPr>
            <w:tcW w:type="dxa" w:w="1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1</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Complete the intake</w:t>
            </w:r>
          </w:p>
        </w:tc>
        <w:tc>
          <w:tcPr>
            <w:tcW w:type="dxa" w:w="26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Data catalogue and why-register; intake copilot; gap register; handoff contract</w:t>
            </w:r>
          </w:p>
        </w:tc>
        <w:tc>
          <w:tcPr>
            <w:tcW w:type="dxa" w:w="26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Clarification cycles measurably down; the 30–40% estimate measured</w:t>
            </w:r>
          </w:p>
        </w:tc>
      </w:tr>
      <w:tr>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2</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Make intake drive delivery</w:t>
            </w:r>
          </w:p>
        </w:tc>
        <w:tc>
          <w:tcPr>
            <w:tcW w:type="dxa" w:w="26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Scope derivation; tiering assistant; pattern matcher; precedent; patterns to M1</w:t>
            </w:r>
          </w:p>
        </w:tc>
        <w:tc>
          <w:tcPr>
            <w:tcW w:type="dxa" w:w="26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Scope and tier derived automatically; real tier distribution known</w:t>
            </w:r>
          </w:p>
        </w:tc>
      </w:tr>
      <w:tr>
        <w:tc>
          <w:tcPr>
            <w:tcW w:type="dxa" w:w="1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3</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Guardrails and the Clinic</w:t>
            </w:r>
          </w:p>
        </w:tc>
        <w:tc>
          <w:tcPr>
            <w:tcW w:type="dxa" w:w="26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Gate engine; routing rules codified; artefact generation; clinic rhythm</w:t>
            </w:r>
          </w:p>
        </w:tc>
        <w:tc>
          <w:tcPr>
            <w:tcW w:type="dxa" w:w="26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Lean+ running with real checkpoints</w:t>
            </w:r>
          </w:p>
        </w:tc>
      </w:tr>
      <w:tr>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4</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Prove Lean</w:t>
            </w:r>
          </w:p>
        </w:tc>
        <w:tc>
          <w:tcPr>
            <w:tcW w:type="dxa" w:w="26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Self-service provisioning on one pattern; certification; cockpit</w:t>
            </w:r>
          </w:p>
        </w:tc>
        <w:tc>
          <w:tcPr>
            <w:tcW w:type="dxa" w:w="26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One partner live with no allocated capacity</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Sprint 1 carries two things worth separating. The intake catalogue and copilot are the largest single time saving available and require no decision beyond building them. Alongside them, at two days of analyst effort, sits the retrospective scoring of twelve months of intakes against the tiering rubric — which either validates the central assumption of the structural design or disproves it, before anyone is moved and before anything is committed.</w:t>
      </w:r>
    </w:p>
    <w:p>
      <w:pPr>
        <w:pStyle w:val="Heading2"/>
        <w:spacing w:after="170" w:before="320"/>
      </w:pPr>
      <w:r>
        <w:rPr>
          <w:rFonts w:ascii="Cambria" w:cs="Cambria" w:eastAsia="Cambria" w:hAnsi="Cambria"/>
          <w:b/>
          <w:bCs/>
          <w:color w:val="15304F"/>
          <w:sz w:val="27"/>
          <w:szCs w:val="27"/>
        </w:rPr>
        <w:t xml:space="preserve">What leadership is buying</w:t>
      </w:r>
    </w:p>
    <w:p>
      <w:pPr>
        <w:spacing w:after="130" w:before="0"/>
      </w:pPr>
      <w:r>
        <w:rPr>
          <w:rFonts w:ascii="Calibri" w:cs="Calibri" w:eastAsia="Calibri" w:hAnsi="Calibri"/>
          <w:b w:val="false"/>
          <w:bCs w:val="false"/>
          <w:i w:val="false"/>
          <w:iCs w:val="false"/>
          <w:color w:val="1B2432"/>
          <w:sz w:val="21"/>
          <w:szCs w:val="21"/>
        </w:rPr>
        <w:t xml:space="preserve">Not an efficiency percentage. A change in how capacity behaves as demand grows. Today the capacity requirement is a direct function of partner demand and the only lever is headcount. The tiered model breaks that relationship for the majority of intakes, so growth in demand no longer translates directly into growth in labour — and the work that still requires people is the work that genuinely needs them.</w:t>
      </w:r>
    </w:p>
    <w:p>
      <w:pPr>
        <w:pStyle w:val="Heading2"/>
        <w:spacing w:after="170" w:before="320"/>
      </w:pPr>
      <w:r>
        <w:rPr>
          <w:rFonts w:ascii="Cambria" w:cs="Cambria" w:eastAsia="Cambria" w:hAnsi="Cambria"/>
          <w:b/>
          <w:bCs/>
          <w:color w:val="15304F"/>
          <w:sz w:val="27"/>
          <w:szCs w:val="27"/>
        </w:rPr>
        <w:t xml:space="preserve">What leadership is being asked to decide</w:t>
      </w:r>
    </w:p>
    <w:p>
      <w:pPr>
        <w:spacing w:after="130" w:before="0"/>
      </w:pPr>
      <w:r>
        <w:rPr>
          <w:rFonts w:ascii="Calibri" w:cs="Calibri" w:eastAsia="Calibri" w:hAnsi="Calibri"/>
          <w:b/>
          <w:bCs/>
          <w:i w:val="false"/>
          <w:iCs w:val="false"/>
          <w:color w:val="1B2432"/>
          <w:sz w:val="21"/>
          <w:szCs w:val="21"/>
        </w:rPr>
        <w:t xml:space="preserve">Six decisions are required, set out in Part 10.5 — but under the two-phase approach only the first is needed now: approve Phase 1. </w:t>
      </w:r>
      <w:r>
        <w:rPr>
          <w:rFonts w:ascii="Calibri" w:cs="Calibri" w:eastAsia="Calibri" w:hAnsi="Calibri"/>
          <w:b w:val="false"/>
          <w:bCs w:val="false"/>
          <w:i w:val="false"/>
          <w:iCs w:val="false"/>
          <w:color w:val="1B2432"/>
          <w:sz w:val="21"/>
          <w:szCs w:val="21"/>
        </w:rPr>
        <w:t xml:space="preserve">Alongside it, commission a retrospective scoring of the past twelve months of intakes against the tiering rubric. It costs a few days of analyst effort and answers the only question that really matters — how much of ECM's actual demand could run in a lighter tier if the platform existed. If the answer approximates the distribution above, the rest of this design is worth building. If it does not, far better to know before nine engineers are moved.</w:t>
      </w:r>
    </w:p>
    <w:p>
      <w:pPr>
        <w:spacing w:after="140"/>
      </w:pPr>
      <w:r>
        <w:t xml:space="preserve"/>
      </w:r>
    </w:p>
    <w:tbl>
      <w:tblPr>
        <w:tblW w:type="dxa" w:w="9360"/>
        <w:tblBorders>
          <w:top w:val="single" w:color="A44A2A" w:sz="6"/>
          <w:left w:val="single" w:color="A44A2A" w:sz="6"/>
          <w:bottom w:val="single" w:color="A44A2A" w:sz="6"/>
          <w:right w:val="single" w:color="A44A2A" w:sz="6"/>
          <w:insideH w:val="none"/>
          <w:insideV w:val="none"/>
        </w:tblBorders>
      </w:tblPr>
      <w:tblGrid>
        <w:gridCol w:w="9360"/>
      </w:tblGrid>
      <w:tr>
        <w:tc>
          <w:tcPr>
            <w:tcW w:type="dxa" w:w="9360"/>
            <w:shd w:fill="FDF5F1" w:color="auto" w:val="clear"/>
            <w:tcMar>
              <w:top w:type="dxa" w:w="140"/>
              <w:left w:type="dxa" w:w="165"/>
              <w:bottom w:type="dxa" w:w="140"/>
              <w:right w:type="dxa" w:w="165"/>
            </w:tcMar>
          </w:tcPr>
          <w:p>
            <w:pPr>
              <w:spacing w:after="85"/>
            </w:pPr>
            <w:r>
              <w:rPr>
                <w:rFonts w:ascii="Calibri" w:cs="Calibri" w:eastAsia="Calibri" w:hAnsi="Calibri"/>
                <w:b/>
                <w:bCs/>
                <w:color w:val="A44A2A"/>
                <w:sz w:val="20"/>
                <w:szCs w:val="20"/>
              </w:rPr>
              <w:t xml:space="preserve">A NOTE ON THE NUMBERS IN THIS DOCUMENT</w:t>
            </w:r>
          </w:p>
          <w:p>
            <w:pPr>
              <w:spacing w:after="65"/>
            </w:pPr>
            <w:r>
              <w:rPr>
                <w:rFonts w:ascii="Calibri" w:cs="Calibri" w:eastAsia="Calibri" w:hAnsi="Calibri"/>
                <w:color w:val="1B2432"/>
                <w:sz w:val="20"/>
                <w:szCs w:val="20"/>
              </w:rPr>
              <w:t xml:space="preserve">Distributions and trajectories are derived from the scenario assessment in Appendix A and are structurally sound.</w:t>
            </w:r>
          </w:p>
          <w:p>
            <w:pPr>
              <w:spacing w:after="65"/>
            </w:pPr>
            <w:r>
              <w:rPr>
                <w:rFonts w:ascii="Calibri" w:cs="Calibri" w:eastAsia="Calibri" w:hAnsi="Calibri"/>
                <w:color w:val="1B2432"/>
                <w:sz w:val="20"/>
                <w:szCs w:val="20"/>
              </w:rPr>
              <w:t xml:space="preserve">Capacity figures, elapsed-time claims and headcount splits are illustrative. They depend on a baseline that does not currently exist: effort per intake per stage, and elapsed time per stage, drawn from completed intakes.</w:t>
            </w:r>
          </w:p>
          <w:p>
            <w:pPr>
              <w:spacing w:after="65"/>
            </w:pPr>
            <w:r>
              <w:rPr>
                <w:rFonts w:ascii="Calibri" w:cs="Calibri" w:eastAsia="Calibri" w:hAnsi="Calibri"/>
                <w:color w:val="1B2432"/>
                <w:sz w:val="20"/>
                <w:szCs w:val="20"/>
              </w:rPr>
              <w:t xml:space="preserve">Part 10.2 names the three measurements required. All three are obtainable within a quarter, and all three are worth commissioning regardless of what is decided about this design.</w:t>
            </w:r>
          </w:p>
        </w:tc>
      </w:tr>
    </w:tbl>
    <w:p>
      <w:r>
        <w:br w:type="page"/>
      </w:r>
    </w:p>
    <w:p>
      <w:pPr>
        <w:pStyle w:val="Heading1"/>
        <w:spacing w:after="220" w:before="400"/>
      </w:pPr>
      <w:r>
        <w:rPr>
          <w:rFonts w:ascii="Cambria" w:cs="Cambria" w:eastAsia="Cambria" w:hAnsi="Cambria"/>
          <w:b/>
          <w:bCs/>
          <w:color w:val="15304F"/>
          <w:sz w:val="34"/>
          <w:szCs w:val="34"/>
        </w:rPr>
        <w:t xml:space="preserve">Part 1 — The Problem We Are Solving</w:t>
      </w:r>
    </w:p>
    <w:p>
      <w:pPr>
        <w:pStyle w:val="Heading2"/>
        <w:spacing w:after="170" w:before="320"/>
      </w:pPr>
      <w:r>
        <w:rPr>
          <w:rFonts w:ascii="Cambria" w:cs="Cambria" w:eastAsia="Cambria" w:hAnsi="Cambria"/>
          <w:b/>
          <w:bCs/>
          <w:color w:val="15304F"/>
          <w:sz w:val="27"/>
          <w:szCs w:val="27"/>
        </w:rPr>
        <w:t xml:space="preserve">1.1 What ECM provides today</w:t>
      </w:r>
    </w:p>
    <w:p>
      <w:pPr>
        <w:spacing w:after="130" w:before="0"/>
      </w:pPr>
      <w:r>
        <w:rPr>
          <w:rFonts w:ascii="Calibri" w:cs="Calibri" w:eastAsia="Calibri" w:hAnsi="Calibri"/>
          <w:b w:val="false"/>
          <w:bCs w:val="false"/>
          <w:i w:val="false"/>
          <w:iCs w:val="false"/>
          <w:color w:val="1B2432"/>
          <w:sz w:val="21"/>
          <w:szCs w:val="21"/>
        </w:rPr>
        <w:t xml:space="preserve">ECM operates as a product platform. It provides repository services to partner applications so they can bring content in through a range of channels for storage, archival and records management, with metadata compliance and document classification applied on arrival. Around that core, the team provides three services to partners: content onboarding, API enablement, and the establishment of migration pipelines.</w:t>
      </w:r>
    </w:p>
    <w:p>
      <w:pPr>
        <w:spacing w:after="130" w:before="0"/>
      </w:pPr>
      <w:r>
        <w:rPr>
          <w:rFonts w:ascii="Calibri" w:cs="Calibri" w:eastAsia="Calibri" w:hAnsi="Calibri"/>
          <w:b w:val="false"/>
          <w:bCs w:val="false"/>
          <w:i w:val="false"/>
          <w:iCs w:val="false"/>
          <w:color w:val="1B2432"/>
          <w:sz w:val="21"/>
          <w:szCs w:val="21"/>
        </w:rPr>
        <w:t xml:space="preserve">The way those services are delivered today is uniform. A development team enters a dedicated capacity arrangement with the partner and stays with them from inception through to release — analysing the requirement, designing the solution, establishing metadata mappings, onboarding to the API gateway, configuring notification topics, and seeing the partner through testing and go-live. Three scrum teams, with thirty-plus engineers between them, operate this way for every intake that arrives.</w:t>
      </w:r>
    </w:p>
    <w:p>
      <w:pPr>
        <w:pStyle w:val="Heading2"/>
        <w:spacing w:after="170" w:before="320"/>
      </w:pPr>
      <w:r>
        <w:rPr>
          <w:rFonts w:ascii="Cambria" w:cs="Cambria" w:eastAsia="Cambria" w:hAnsi="Cambria"/>
          <w:b/>
          <w:bCs/>
          <w:color w:val="15304F"/>
          <w:sz w:val="27"/>
          <w:szCs w:val="27"/>
        </w:rPr>
        <w:t xml:space="preserve">1.2 Two intake streams, one delivery model</w:t>
      </w:r>
    </w:p>
    <w:p>
      <w:pPr>
        <w:spacing w:after="130" w:before="0"/>
      </w:pPr>
      <w:r>
        <w:rPr>
          <w:rFonts w:ascii="Calibri" w:cs="Calibri" w:eastAsia="Calibri" w:hAnsi="Calibri"/>
          <w:b w:val="false"/>
          <w:bCs w:val="false"/>
          <w:i w:val="false"/>
          <w:iCs w:val="false"/>
          <w:color w:val="1B2432"/>
          <w:sz w:val="21"/>
          <w:szCs w:val="21"/>
        </w:rPr>
        <w:t xml:space="preserve">Two distinct streams of demand converge on the same teams.</w:t>
      </w:r>
    </w:p>
    <w:p>
      <w:pPr>
        <w:spacing w:after="130" w:before="0"/>
      </w:pPr>
      <w:r>
        <w:rPr>
          <w:rFonts w:ascii="Calibri" w:cs="Calibri" w:eastAsia="Calibri" w:hAnsi="Calibri"/>
          <w:b w:val="false"/>
          <w:bCs w:val="false"/>
          <w:i w:val="false"/>
          <w:iCs w:val="false"/>
          <w:color w:val="1B2432"/>
          <w:sz w:val="21"/>
          <w:szCs w:val="21"/>
        </w:rPr>
        <w:t xml:space="preserve">The first is planned partner onboarding — new partners arriving, and existing partners extending what they do. This stream is driven by partner business cycles and arrives unevenly.</w:t>
      </w:r>
    </w:p>
    <w:p>
      <w:pPr>
        <w:spacing w:after="130" w:before="0"/>
      </w:pPr>
      <w:r>
        <w:rPr>
          <w:rFonts w:ascii="Calibri" w:cs="Calibri" w:eastAsia="Calibri" w:hAnsi="Calibri"/>
          <w:b w:val="false"/>
          <w:bCs w:val="false"/>
          <w:i w:val="false"/>
          <w:iCs w:val="false"/>
          <w:color w:val="1B2432"/>
          <w:sz w:val="21"/>
          <w:szCs w:val="21"/>
        </w:rPr>
        <w:t xml:space="preserve">The second is migration of content off non-compliant and legacy repositories. This stream is driven by enterprise risk reduction rather than partner demand, it is largely known in advance, and it repeats a small number of patterns across many partners.</w:t>
      </w:r>
    </w:p>
    <w:p>
      <w:pPr>
        <w:spacing w:after="130" w:before="0"/>
      </w:pPr>
      <w:r>
        <w:rPr>
          <w:rFonts w:ascii="Calibri" w:cs="Calibri" w:eastAsia="Calibri" w:hAnsi="Calibri"/>
          <w:b w:val="false"/>
          <w:bCs w:val="false"/>
          <w:i w:val="false"/>
          <w:iCs w:val="false"/>
          <w:color w:val="1B2432"/>
          <w:sz w:val="21"/>
          <w:szCs w:val="21"/>
        </w:rPr>
        <w:t xml:space="preserve">These two streams have almost nothing in common operationally. One is partner-led, variable and relationship-heavy. The other is enterprise-led, repetitive and campaign-shaped. Running both through a single dedicated-capacity model means the repetitive stream consumes the same scarce design capacity as the novel one, and the novel stream is interrupted by the repetitive one. Neither is served well.</w:t>
      </w:r>
    </w:p>
    <w:p>
      <w:pPr>
        <w:pStyle w:val="Heading2"/>
        <w:spacing w:after="170" w:before="320"/>
      </w:pPr>
      <w:r>
        <w:rPr>
          <w:rFonts w:ascii="Cambria" w:cs="Cambria" w:eastAsia="Cambria" w:hAnsi="Cambria"/>
          <w:b/>
          <w:bCs/>
          <w:color w:val="15304F"/>
          <w:sz w:val="27"/>
          <w:szCs w:val="27"/>
        </w:rPr>
        <w:t xml:space="preserve">1.3 The capacity equation, and why it breaks</w:t>
      </w:r>
    </w:p>
    <w:p>
      <w:pPr>
        <w:spacing w:after="130" w:before="0"/>
      </w:pPr>
      <w:r>
        <w:rPr>
          <w:rFonts w:ascii="Calibri" w:cs="Calibri" w:eastAsia="Calibri" w:hAnsi="Calibri"/>
          <w:b w:val="false"/>
          <w:bCs w:val="false"/>
          <w:i w:val="false"/>
          <w:iCs w:val="false"/>
          <w:color w:val="1B2432"/>
          <w:sz w:val="21"/>
          <w:szCs w:val="21"/>
        </w:rPr>
        <w:t xml:space="preserve">In a fully dedicated model, the capacity required is a direct function of the number of concurrent intakes:</w:t>
      </w:r>
    </w:p>
    <w:p>
      <w:pPr>
        <w:spacing w:after="100" w:before="100"/>
        <w:jc w:val="center"/>
      </w:pPr>
      <w:r>
        <w:rPr>
          <w:rFonts w:ascii="Calibri" w:cs="Calibri" w:eastAsia="Calibri" w:hAnsi="Calibri"/>
          <w:b/>
          <w:bCs/>
          <w:i w:val="false"/>
          <w:iCs w:val="false"/>
          <w:color w:val="15304F"/>
          <w:sz w:val="21"/>
          <w:szCs w:val="21"/>
        </w:rPr>
        <w:t xml:space="preserve">Capacity required  =  Number of concurrent intakes  ×  Average engineering depth per intake</w:t>
      </w:r>
    </w:p>
    <w:p>
      <w:pPr>
        <w:spacing w:after="130" w:before="0"/>
      </w:pPr>
      <w:r>
        <w:rPr>
          <w:rFonts w:ascii="Calibri" w:cs="Calibri" w:eastAsia="Calibri" w:hAnsi="Calibri"/>
          <w:b w:val="false"/>
          <w:bCs w:val="false"/>
          <w:i w:val="false"/>
          <w:iCs w:val="false"/>
          <w:color w:val="1B2432"/>
          <w:sz w:val="21"/>
          <w:szCs w:val="21"/>
        </w:rPr>
        <w:t xml:space="preserve">Partner demand sets the first term, and ECM does not control it. The second term is fixed by the delivery model: every intake receives the same depth of engagement, from inception to release, regardless of how much of that intake is genuinely new work.</w:t>
      </w:r>
    </w:p>
    <w:p>
      <w:pPr>
        <w:spacing w:after="130" w:before="0"/>
      </w:pPr>
      <w:r>
        <w:rPr>
          <w:rFonts w:ascii="Calibri" w:cs="Calibri" w:eastAsia="Calibri" w:hAnsi="Calibri"/>
          <w:b w:val="false"/>
          <w:bCs w:val="false"/>
          <w:i w:val="false"/>
          <w:iCs w:val="false"/>
          <w:color w:val="1B2432"/>
          <w:sz w:val="21"/>
          <w:szCs w:val="21"/>
        </w:rPr>
        <w:t xml:space="preserve">With both terms effectively outside ECM's control, the only lever left is headcount. That is why labour requirements bloat as intake volume rises, and it is why the problem recurs every time demand grows. Adding engineers restores throughput temporarily without changing the equation that produced the shortfall.</w:t>
      </w:r>
    </w:p>
    <w:tbl>
      <w:tblPr>
        <w:tblW w:type="dxa" w:w="9360"/>
        <w:tblBorders>
          <w:top w:val="single" w:color="15304F" w:sz="6"/>
          <w:left w:val="single" w:color="15304F" w:sz="6"/>
          <w:bottom w:val="single" w:color="15304F" w:sz="6"/>
          <w:right w:val="single" w:color="15304F" w:sz="6"/>
          <w:insideH w:val="none"/>
          <w:insideV w:val="none"/>
        </w:tblBorders>
      </w:tblPr>
      <w:tblGrid>
        <w:gridCol w:w="9360"/>
      </w:tblGrid>
      <w:tr>
        <w:tc>
          <w:tcPr>
            <w:tcW w:type="dxa" w:w="9360"/>
            <w:shd w:fill="EEF2F7" w:color="auto" w:val="clear"/>
            <w:tcMar>
              <w:top w:type="dxa" w:w="140"/>
              <w:left w:type="dxa" w:w="165"/>
              <w:bottom w:type="dxa" w:w="140"/>
              <w:right w:type="dxa" w:w="165"/>
            </w:tcMar>
          </w:tcPr>
          <w:p>
            <w:pPr>
              <w:spacing w:after="85"/>
            </w:pPr>
            <w:r>
              <w:rPr>
                <w:rFonts w:ascii="Calibri" w:cs="Calibri" w:eastAsia="Calibri" w:hAnsi="Calibri"/>
                <w:b/>
                <w:bCs/>
                <w:color w:val="15304F"/>
                <w:sz w:val="20"/>
                <w:szCs w:val="20"/>
              </w:rPr>
              <w:t xml:space="preserve">THE DIAGNOSIS THAT MATTERS</w:t>
            </w:r>
          </w:p>
          <w:p>
            <w:pPr>
              <w:spacing w:after="65"/>
            </w:pPr>
            <w:r>
              <w:rPr>
                <w:rFonts w:ascii="Calibri" w:cs="Calibri" w:eastAsia="Calibri" w:hAnsi="Calibri"/>
                <w:color w:val="1B2432"/>
                <w:sz w:val="20"/>
                <w:szCs w:val="20"/>
              </w:rPr>
              <w:t xml:space="preserve">This is not a throughput problem. The teams are not slow, and the process is not badly run.</w:t>
            </w:r>
          </w:p>
          <w:p>
            <w:pPr>
              <w:spacing w:after="65"/>
            </w:pPr>
            <w:r>
              <w:rPr>
                <w:rFonts w:ascii="Calibri" w:cs="Calibri" w:eastAsia="Calibri" w:hAnsi="Calibri"/>
                <w:color w:val="1B2432"/>
                <w:sz w:val="20"/>
                <w:szCs w:val="20"/>
              </w:rPr>
              <w:t xml:space="preserve">It is an allocation problem. The model spends the same engineering depth on an intake that repeats a pattern already built ten times as it does on one that requires genuinely new design.</w:t>
            </w:r>
          </w:p>
          <w:p>
            <w:pPr>
              <w:spacing w:after="65"/>
            </w:pPr>
            <w:r>
              <w:rPr>
                <w:rFonts w:ascii="Calibri" w:cs="Calibri" w:eastAsia="Calibri" w:hAnsi="Calibri"/>
                <w:color w:val="1B2432"/>
                <w:sz w:val="20"/>
                <w:szCs w:val="20"/>
              </w:rPr>
              <w:t xml:space="preserve">The fix is therefore not more capacity. It is to stop spending scarce design capacity on work that does not require design.</w:t>
            </w:r>
          </w:p>
        </w:tc>
      </w:tr>
    </w:tbl>
    <w:p>
      <w:pPr>
        <w:pStyle w:val="Heading2"/>
        <w:spacing w:after="170" w:before="320"/>
      </w:pPr>
      <w:r>
        <w:rPr>
          <w:rFonts w:ascii="Cambria" w:cs="Cambria" w:eastAsia="Cambria" w:hAnsi="Cambria"/>
          <w:b/>
          <w:bCs/>
          <w:color w:val="15304F"/>
          <w:sz w:val="27"/>
          <w:szCs w:val="27"/>
        </w:rPr>
        <w:t xml:space="preserve">1.4 The variable the current model ignores</w:t>
      </w:r>
    </w:p>
    <w:p>
      <w:pPr>
        <w:spacing w:after="130" w:before="0"/>
      </w:pPr>
      <w:r>
        <w:rPr>
          <w:rFonts w:ascii="Calibri" w:cs="Calibri" w:eastAsia="Calibri" w:hAnsi="Calibri"/>
          <w:b w:val="false"/>
          <w:bCs w:val="false"/>
          <w:i w:val="false"/>
          <w:iCs w:val="false"/>
          <w:color w:val="1B2432"/>
          <w:sz w:val="21"/>
          <w:szCs w:val="21"/>
        </w:rPr>
        <w:t xml:space="preserve">Look across the onboarding scenarios ECM actually supports and one thing is immediately apparent: they differ enormously in how much novel design they require, and that variation has no relationship to the size or importance of the partner.</w:t>
      </w:r>
    </w:p>
    <w:p>
      <w:pPr>
        <w:spacing w:after="130" w:before="0"/>
      </w:pPr>
      <w:r>
        <w:rPr>
          <w:rFonts w:ascii="Calibri" w:cs="Calibri" w:eastAsia="Calibri" w:hAnsi="Calibri"/>
          <w:b w:val="false"/>
          <w:bCs w:val="false"/>
          <w:i w:val="false"/>
          <w:iCs w:val="false"/>
          <w:color w:val="1B2432"/>
          <w:sz w:val="21"/>
          <w:szCs w:val="21"/>
        </w:rPr>
        <w:t xml:space="preserve">A partner adding a gateway subscription to call a service they already have access to, using a pattern the platform has delivered many times, needs almost no design. A partner moving untrusted content from a legacy classification engine to AI classification, where the knowledge base may not yet represent their document types, needs a great deal of it. Today both receive a dedicated pod from inception to release.</w:t>
      </w:r>
    </w:p>
    <w:p>
      <w:pPr>
        <w:spacing w:after="130" w:before="0"/>
      </w:pPr>
      <w:r>
        <w:rPr>
          <w:rFonts w:ascii="Calibri" w:cs="Calibri" w:eastAsia="Calibri" w:hAnsi="Calibri"/>
          <w:b w:val="false"/>
          <w:bCs w:val="false"/>
          <w:i w:val="false"/>
          <w:iCs w:val="false"/>
          <w:color w:val="1B2432"/>
          <w:sz w:val="21"/>
          <w:szCs w:val="21"/>
        </w:rPr>
        <w:t xml:space="preserve">The variable that should drive engagement depth is pattern novelty — whether the platform has built this shape of thing before, and whether the specific variation in front of it requires a judgement that has not already been made.</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300"/>
        <w:gridCol w:w="2300"/>
        <w:gridCol w:w="2380"/>
        <w:gridCol w:w="2380"/>
      </w:tblGrid>
      <w:tr>
        <w:trPr>
          <w:tblHeader/>
        </w:trPr>
        <w:tc>
          <w:tcPr>
            <w:tcW w:type="dxa" w:w="23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Dimension</w:t>
            </w:r>
          </w:p>
        </w:tc>
        <w:tc>
          <w:tcPr>
            <w:tcW w:type="dxa" w:w="23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Varies across intakes?</w:t>
            </w:r>
          </w:p>
        </w:tc>
        <w:tc>
          <w:tcPr>
            <w:tcW w:type="dxa" w:w="238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Currently drives engagement depth?</w:t>
            </w:r>
          </w:p>
        </w:tc>
        <w:tc>
          <w:tcPr>
            <w:tcW w:type="dxa" w:w="238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Should it?</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Pattern novelty</w:t>
            </w:r>
          </w:p>
        </w:tc>
        <w:tc>
          <w:tcPr>
            <w:tcW w:type="dxa" w:w="2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Enormously</w:t>
            </w:r>
          </w:p>
        </w:tc>
        <w:tc>
          <w:tcPr>
            <w:tcW w:type="dxa" w:w="23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w:t>
            </w:r>
          </w:p>
        </w:tc>
        <w:tc>
          <w:tcPr>
            <w:tcW w:type="dxa" w:w="23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Yes — this is the primary determinant</w:t>
            </w:r>
          </w:p>
        </w:tc>
      </w:tr>
      <w:tr>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Regulatory and compliance posture</w:t>
            </w:r>
          </w:p>
        </w:tc>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Yes</w:t>
            </w:r>
          </w:p>
        </w:tc>
        <w:tc>
          <w:tcPr>
            <w:tcW w:type="dxa" w:w="23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w:t>
            </w:r>
          </w:p>
        </w:tc>
        <w:tc>
          <w:tcPr>
            <w:tcW w:type="dxa" w:w="23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Yes — as a floor on assurance, not on hand-holding</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Volume and performance risk</w:t>
            </w:r>
          </w:p>
        </w:tc>
        <w:tc>
          <w:tcPr>
            <w:tcW w:type="dxa" w:w="2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Yes</w:t>
            </w:r>
          </w:p>
        </w:tc>
        <w:tc>
          <w:tcPr>
            <w:tcW w:type="dxa" w:w="23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Partially</w:t>
            </w:r>
          </w:p>
        </w:tc>
        <w:tc>
          <w:tcPr>
            <w:tcW w:type="dxa" w:w="23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Yes — as a conditional escalation</w:t>
            </w:r>
          </w:p>
        </w:tc>
      </w:tr>
      <w:tr>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Breadth of impact (LOBs, partners)</w:t>
            </w:r>
          </w:p>
        </w:tc>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Yes</w:t>
            </w:r>
          </w:p>
        </w:tc>
        <w:tc>
          <w:tcPr>
            <w:tcW w:type="dxa" w:w="23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w:t>
            </w:r>
          </w:p>
        </w:tc>
        <w:tc>
          <w:tcPr>
            <w:tcW w:type="dxa" w:w="23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Yes — coordination cost scales with breadth</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Partner size or seniority</w:t>
            </w:r>
          </w:p>
        </w:tc>
        <w:tc>
          <w:tcPr>
            <w:tcW w:type="dxa" w:w="2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Yes</w:t>
            </w:r>
          </w:p>
        </w:tc>
        <w:tc>
          <w:tcPr>
            <w:tcW w:type="dxa" w:w="23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Informally, yes</w:t>
            </w:r>
          </w:p>
        </w:tc>
        <w:tc>
          <w:tcPr>
            <w:tcW w:type="dxa" w:w="23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 — it is not a measure of work required</w:t>
            </w:r>
          </w:p>
        </w:tc>
      </w:tr>
      <w:tr>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Who asked loudest</w:t>
            </w:r>
          </w:p>
        </w:tc>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Yes</w:t>
            </w:r>
          </w:p>
        </w:tc>
        <w:tc>
          <w:tcPr>
            <w:tcW w:type="dxa" w:w="23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In practice, yes</w:t>
            </w:r>
          </w:p>
        </w:tc>
        <w:tc>
          <w:tcPr>
            <w:tcW w:type="dxa" w:w="23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The last two rows are uncomfortable but worth stating plainly to leadership. In the absence of an objective routing rule, engagement depth gets allocated by influence. Any new model must replace that with something defensible.</w:t>
      </w:r>
    </w:p>
    <w:p>
      <w:pPr>
        <w:pStyle w:val="Heading2"/>
        <w:spacing w:after="170" w:before="320"/>
      </w:pPr>
      <w:r>
        <w:rPr>
          <w:rFonts w:ascii="Cambria" w:cs="Cambria" w:eastAsia="Cambria" w:hAnsi="Cambria"/>
          <w:b/>
          <w:bCs/>
          <w:color w:val="15304F"/>
          <w:sz w:val="27"/>
          <w:szCs w:val="27"/>
        </w:rPr>
        <w:t xml:space="preserve">1.6 What must be true for a new model to work</w:t>
      </w:r>
    </w:p>
    <w:p>
      <w:pPr>
        <w:spacing w:after="130" w:before="0"/>
      </w:pPr>
      <w:r>
        <w:rPr>
          <w:rFonts w:ascii="Calibri" w:cs="Calibri" w:eastAsia="Calibri" w:hAnsi="Calibri"/>
          <w:b w:val="false"/>
          <w:bCs w:val="false"/>
          <w:i w:val="false"/>
          <w:iCs w:val="false"/>
          <w:color w:val="1B2432"/>
          <w:sz w:val="21"/>
          <w:szCs w:val="21"/>
        </w:rPr>
        <w:t xml:space="preserve">Before describing the models, it is worth being explicit about the conditions on which the whole design depends. If any of these fails, the model will not deliver what it promises.</w:t>
      </w:r>
    </w:p>
    <w:p>
      <w:pPr>
        <w:pStyle w:val="ListParagraph"/>
        <w:numPr>
          <w:ilvl w:val="0"/>
          <w:numId w:val="2"/>
        </w:numPr>
        <w:spacing w:after="75"/>
      </w:pPr>
      <w:r>
        <w:rPr>
          <w:rFonts w:ascii="Calibri" w:cs="Calibri" w:eastAsia="Calibri" w:hAnsi="Calibri"/>
          <w:color w:val="1B2432"/>
          <w:sz w:val="21"/>
          <w:szCs w:val="21"/>
        </w:rPr>
        <w:t xml:space="preserve">Engagement depth must be assigned by ECM against published criteria, not chosen by the partner. If partners self-select, every partner will select the deepest tier, and the model collapses back to what exists today.</w:t>
      </w:r>
    </w:p>
    <w:p>
      <w:pPr>
        <w:pStyle w:val="ListParagraph"/>
        <w:numPr>
          <w:ilvl w:val="0"/>
          <w:numId w:val="2"/>
        </w:numPr>
        <w:spacing w:after="75"/>
      </w:pPr>
      <w:r>
        <w:rPr>
          <w:rFonts w:ascii="Calibri" w:cs="Calibri" w:eastAsia="Calibri" w:hAnsi="Calibri"/>
          <w:color w:val="1B2432"/>
          <w:sz w:val="21"/>
          <w:szCs w:val="21"/>
        </w:rPr>
        <w:t xml:space="preserve">A partner operating in a lighter tier must have somewhere to go that is not a person. Lighter engagement only works if the knowledge, the templates, the configuration and the validation are available on a platform. Removing the engineer without replacing them with something is not a model, it is a service reduction.</w:t>
      </w:r>
    </w:p>
    <w:p>
      <w:pPr>
        <w:pStyle w:val="ListParagraph"/>
        <w:numPr>
          <w:ilvl w:val="0"/>
          <w:numId w:val="2"/>
        </w:numPr>
        <w:spacing w:after="75"/>
      </w:pPr>
      <w:r>
        <w:rPr>
          <w:rFonts w:ascii="Calibri" w:cs="Calibri" w:eastAsia="Calibri" w:hAnsi="Calibri"/>
          <w:color w:val="1B2432"/>
          <w:sz w:val="21"/>
          <w:szCs w:val="21"/>
        </w:rPr>
        <w:t xml:space="preserve">Compliance assurance must be independent of tier. A lighter engagement model cannot mean lighter governance. The gates that protect records compliance, content classification, security and production supportability apply identically in every tier.</w:t>
      </w:r>
    </w:p>
    <w:p>
      <w:pPr>
        <w:pStyle w:val="ListParagraph"/>
        <w:numPr>
          <w:ilvl w:val="0"/>
          <w:numId w:val="2"/>
        </w:numPr>
        <w:spacing w:after="75"/>
      </w:pPr>
      <w:r>
        <w:rPr>
          <w:rFonts w:ascii="Calibri" w:cs="Calibri" w:eastAsia="Calibri" w:hAnsi="Calibri"/>
          <w:color w:val="1B2432"/>
          <w:sz w:val="21"/>
          <w:szCs w:val="21"/>
        </w:rPr>
        <w:t xml:space="preserve">An intake must be able to change tier mid-flight. Novelty is not always visible at intake. If an intake that started light turns out to need design, the model must escalate it without the partner starting over.</w:t>
      </w:r>
    </w:p>
    <w:p>
      <w:pPr>
        <w:pStyle w:val="ListParagraph"/>
        <w:numPr>
          <w:ilvl w:val="0"/>
          <w:numId w:val="2"/>
        </w:numPr>
        <w:spacing w:after="75"/>
      </w:pPr>
      <w:r>
        <w:rPr>
          <w:rFonts w:ascii="Calibri" w:cs="Calibri" w:eastAsia="Calibri" w:hAnsi="Calibri"/>
          <w:color w:val="1B2432"/>
          <w:sz w:val="21"/>
          <w:szCs w:val="21"/>
        </w:rPr>
        <w:t xml:space="preserve">The platform investment must be funded deliberately and up front. The capacity released by lighter engagement arrives after the platform exists, not before. Year one is a net cost.</w:t>
      </w:r>
    </w:p>
    <w:p>
      <w:r>
        <w:br w:type="page"/>
      </w:r>
    </w:p>
    <w:p>
      <w:pPr>
        <w:pStyle w:val="Heading1"/>
        <w:spacing w:after="220" w:before="400"/>
      </w:pPr>
      <w:r>
        <w:rPr>
          <w:rFonts w:ascii="Cambria" w:cs="Cambria" w:eastAsia="Cambria" w:hAnsi="Cambria"/>
          <w:b/>
          <w:bCs/>
          <w:color w:val="15304F"/>
          <w:sz w:val="34"/>
          <w:szCs w:val="34"/>
        </w:rPr>
        <w:t xml:space="preserve">Part 2 — The Three Enablement Models</w:t>
      </w:r>
    </w:p>
    <w:p>
      <w:pPr>
        <w:pStyle w:val="Heading2"/>
        <w:spacing w:after="170" w:before="320"/>
      </w:pPr>
      <w:r>
        <w:rPr>
          <w:rFonts w:ascii="Cambria" w:cs="Cambria" w:eastAsia="Cambria" w:hAnsi="Cambria"/>
          <w:b/>
          <w:bCs/>
          <w:color w:val="15304F"/>
          <w:sz w:val="27"/>
          <w:szCs w:val="27"/>
        </w:rPr>
        <w:t xml:space="preserve">2.1 The organising principle</w:t>
      </w:r>
    </w:p>
    <w:p>
      <w:pPr>
        <w:spacing w:after="110" w:before="0"/>
      </w:pPr>
      <w:r>
        <w:rPr>
          <w:rFonts w:ascii="Calibri" w:cs="Calibri" w:eastAsia="Calibri" w:hAnsi="Calibri"/>
          <w:b/>
          <w:bCs/>
          <w:i w:val="false"/>
          <w:iCs w:val="false"/>
          <w:color w:val="15304F"/>
          <w:sz w:val="24"/>
          <w:szCs w:val="24"/>
        </w:rPr>
        <w:t xml:space="preserve">Tier the engagement, not the partner.</w:t>
      </w:r>
    </w:p>
    <w:p>
      <w:pPr>
        <w:spacing w:after="130" w:before="0"/>
      </w:pPr>
      <w:r>
        <w:rPr>
          <w:rFonts w:ascii="Calibri" w:cs="Calibri" w:eastAsia="Calibri" w:hAnsi="Calibri"/>
          <w:b w:val="false"/>
          <w:bCs w:val="false"/>
          <w:i w:val="false"/>
          <w:iCs w:val="false"/>
          <w:color w:val="1B2432"/>
          <w:sz w:val="21"/>
          <w:szCs w:val="21"/>
        </w:rPr>
        <w:t xml:space="preserve">Each intake — not each partner — is assigned an enablement model based on what that specific piece of work actually requires. The same partner may run three intakes concurrently in three different tiers: a routine subscription extension in Lean, a new content flow in Lean+, and a classification migration in Dedicated. This is a feature of the design, not an edge case, because it keeps scarce capacity attached to the work that needs it rather than to the relationship that requested it.</w:t>
      </w:r>
    </w:p>
    <w:p>
      <w:pPr>
        <w:pStyle w:val="Heading2"/>
        <w:spacing w:after="170" w:before="320"/>
      </w:pPr>
      <w:r>
        <w:rPr>
          <w:rFonts w:ascii="Cambria" w:cs="Cambria" w:eastAsia="Cambria" w:hAnsi="Cambria"/>
          <w:b/>
          <w:bCs/>
          <w:color w:val="15304F"/>
          <w:sz w:val="27"/>
          <w:szCs w:val="27"/>
        </w:rPr>
        <w:t xml:space="preserve">2.2 Lean</w:t>
      </w:r>
    </w:p>
    <w:p>
      <w:pPr>
        <w:spacing w:after="130" w:before="0"/>
      </w:pPr>
      <w:r>
        <w:rPr>
          <w:rFonts w:ascii="Calibri" w:cs="Calibri" w:eastAsia="Calibri" w:hAnsi="Calibri"/>
          <w:b/>
          <w:bCs/>
          <w:i w:val="false"/>
          <w:iCs w:val="false"/>
          <w:color w:val="1B2432"/>
          <w:sz w:val="21"/>
          <w:szCs w:val="21"/>
        </w:rPr>
        <w:t xml:space="preserve">Self-service enablement on a proven pattern. </w:t>
      </w:r>
      <w:r>
        <w:rPr>
          <w:rFonts w:ascii="Calibri" w:cs="Calibri" w:eastAsia="Calibri" w:hAnsi="Calibri"/>
          <w:b w:val="false"/>
          <w:bCs w:val="false"/>
          <w:i w:val="false"/>
          <w:iCs w:val="false"/>
          <w:color w:val="1B2432"/>
          <w:sz w:val="21"/>
          <w:szCs w:val="21"/>
        </w:rPr>
        <w:t xml:space="preserve">The partner executes the onboarding themselves using platform tooling, published patterns and automated validation. ECM provides no allocated capacity. Engineers are drawn in only when a gate fails or the partner raises a specific blocking question.</w:t>
      </w:r>
    </w:p>
    <w:p>
      <w:pPr>
        <w:pStyle w:val="Heading4"/>
        <w:spacing w:after="105" w:before="210"/>
      </w:pPr>
      <w:r>
        <w:rPr>
          <w:rFonts w:ascii="Calibri" w:cs="Calibri" w:eastAsia="Calibri" w:hAnsi="Calibri"/>
          <w:b/>
          <w:bCs/>
          <w:color w:val="0B6E6E"/>
          <w:sz w:val="21"/>
          <w:szCs w:val="21"/>
        </w:rPr>
        <w:t xml:space="preserve">What ECM provides</w:t>
      </w:r>
    </w:p>
    <w:p>
      <w:pPr>
        <w:pStyle w:val="ListParagraph"/>
        <w:numPr>
          <w:ilvl w:val="0"/>
          <w:numId w:val="3"/>
        </w:numPr>
        <w:spacing w:after="75"/>
      </w:pPr>
      <w:r>
        <w:rPr>
          <w:rFonts w:ascii="Calibri" w:cs="Calibri" w:eastAsia="Calibri" w:hAnsi="Calibri"/>
          <w:color w:val="1B2432"/>
          <w:sz w:val="21"/>
          <w:szCs w:val="21"/>
        </w:rPr>
        <w:t xml:space="preserve">A published, versioned pattern the partner selects and instantiates</w:t>
      </w:r>
    </w:p>
    <w:p>
      <w:pPr>
        <w:pStyle w:val="ListParagraph"/>
        <w:numPr>
          <w:ilvl w:val="0"/>
          <w:numId w:val="3"/>
        </w:numPr>
        <w:spacing w:after="75"/>
      </w:pPr>
      <w:r>
        <w:rPr>
          <w:rFonts w:ascii="Calibri" w:cs="Calibri" w:eastAsia="Calibri" w:hAnsi="Calibri"/>
          <w:color w:val="1B2432"/>
          <w:sz w:val="21"/>
          <w:szCs w:val="21"/>
        </w:rPr>
        <w:t xml:space="preserve">Self-service provisioning for subscriptions, topics, profiles and credentials within pre-approved bounds</w:t>
      </w:r>
    </w:p>
    <w:p>
      <w:pPr>
        <w:pStyle w:val="ListParagraph"/>
        <w:numPr>
          <w:ilvl w:val="0"/>
          <w:numId w:val="3"/>
        </w:numPr>
        <w:spacing w:after="75"/>
      </w:pPr>
      <w:r>
        <w:rPr>
          <w:rFonts w:ascii="Calibri" w:cs="Calibri" w:eastAsia="Calibri" w:hAnsi="Calibri"/>
          <w:color w:val="1B2432"/>
          <w:sz w:val="21"/>
          <w:szCs w:val="21"/>
        </w:rPr>
        <w:t xml:space="preserve">Automated validation at every gate, with machine-readable failure reasons</w:t>
      </w:r>
    </w:p>
    <w:p>
      <w:pPr>
        <w:pStyle w:val="ListParagraph"/>
        <w:numPr>
          <w:ilvl w:val="0"/>
          <w:numId w:val="3"/>
        </w:numPr>
        <w:spacing w:after="75"/>
      </w:pPr>
      <w:r>
        <w:rPr>
          <w:rFonts w:ascii="Calibri" w:cs="Calibri" w:eastAsia="Calibri" w:hAnsi="Calibri"/>
          <w:color w:val="1B2432"/>
          <w:sz w:val="21"/>
          <w:szCs w:val="21"/>
        </w:rPr>
        <w:t xml:space="preserve">Generated configuration artefacts, test collections and documentation</w:t>
      </w:r>
    </w:p>
    <w:p>
      <w:pPr>
        <w:pStyle w:val="ListParagraph"/>
        <w:numPr>
          <w:ilvl w:val="0"/>
          <w:numId w:val="3"/>
        </w:numPr>
        <w:spacing w:after="75"/>
      </w:pPr>
      <w:r>
        <w:rPr>
          <w:rFonts w:ascii="Calibri" w:cs="Calibri" w:eastAsia="Calibri" w:hAnsi="Calibri"/>
          <w:color w:val="1B2432"/>
          <w:sz w:val="21"/>
          <w:szCs w:val="21"/>
        </w:rPr>
        <w:t xml:space="preserve">Scheduled open clinic slots that any Lean partner may book, first come first served</w:t>
      </w:r>
    </w:p>
    <w:p>
      <w:pPr>
        <w:pStyle w:val="ListParagraph"/>
        <w:numPr>
          <w:ilvl w:val="0"/>
          <w:numId w:val="3"/>
        </w:numPr>
        <w:spacing w:after="75"/>
      </w:pPr>
      <w:r>
        <w:rPr>
          <w:rFonts w:ascii="Calibri" w:cs="Calibri" w:eastAsia="Calibri" w:hAnsi="Calibri"/>
          <w:color w:val="1B2432"/>
          <w:sz w:val="21"/>
          <w:szCs w:val="21"/>
        </w:rPr>
        <w:t xml:space="preserve">Automatic escalation to Lean+ if a drift trigger fires</w:t>
      </w:r>
    </w:p>
    <w:p>
      <w:pPr>
        <w:pStyle w:val="Heading4"/>
        <w:spacing w:after="105" w:before="210"/>
      </w:pPr>
      <w:r>
        <w:rPr>
          <w:rFonts w:ascii="Calibri" w:cs="Calibri" w:eastAsia="Calibri" w:hAnsi="Calibri"/>
          <w:b/>
          <w:bCs/>
          <w:color w:val="0B6E6E"/>
          <w:sz w:val="21"/>
          <w:szCs w:val="21"/>
        </w:rPr>
        <w:t xml:space="preserve">What the partner owns</w:t>
      </w:r>
    </w:p>
    <w:p>
      <w:pPr>
        <w:pStyle w:val="ListParagraph"/>
        <w:numPr>
          <w:ilvl w:val="0"/>
          <w:numId w:val="3"/>
        </w:numPr>
        <w:spacing w:after="75"/>
      </w:pPr>
      <w:r>
        <w:rPr>
          <w:rFonts w:ascii="Calibri" w:cs="Calibri" w:eastAsia="Calibri" w:hAnsi="Calibri"/>
          <w:color w:val="1B2432"/>
          <w:sz w:val="21"/>
          <w:szCs w:val="21"/>
        </w:rPr>
        <w:t xml:space="preserve">Completing the intake package to the published standard</w:t>
      </w:r>
    </w:p>
    <w:p>
      <w:pPr>
        <w:pStyle w:val="ListParagraph"/>
        <w:numPr>
          <w:ilvl w:val="0"/>
          <w:numId w:val="3"/>
        </w:numPr>
        <w:spacing w:after="75"/>
      </w:pPr>
      <w:r>
        <w:rPr>
          <w:rFonts w:ascii="Calibri" w:cs="Calibri" w:eastAsia="Calibri" w:hAnsi="Calibri"/>
          <w:color w:val="1B2432"/>
          <w:sz w:val="21"/>
          <w:szCs w:val="21"/>
        </w:rPr>
        <w:t xml:space="preserve">Implementing their side of the integration</w:t>
      </w:r>
    </w:p>
    <w:p>
      <w:pPr>
        <w:pStyle w:val="ListParagraph"/>
        <w:numPr>
          <w:ilvl w:val="0"/>
          <w:numId w:val="3"/>
        </w:numPr>
        <w:spacing w:after="75"/>
      </w:pPr>
      <w:r>
        <w:rPr>
          <w:rFonts w:ascii="Calibri" w:cs="Calibri" w:eastAsia="Calibri" w:hAnsi="Calibri"/>
          <w:color w:val="1B2432"/>
          <w:sz w:val="21"/>
          <w:szCs w:val="21"/>
        </w:rPr>
        <w:t xml:space="preserve">Running their own functional testing against the provided collections</w:t>
      </w:r>
    </w:p>
    <w:p>
      <w:pPr>
        <w:pStyle w:val="ListParagraph"/>
        <w:numPr>
          <w:ilvl w:val="0"/>
          <w:numId w:val="3"/>
        </w:numPr>
        <w:spacing w:after="75"/>
      </w:pPr>
      <w:r>
        <w:rPr>
          <w:rFonts w:ascii="Calibri" w:cs="Calibri" w:eastAsia="Calibri" w:hAnsi="Calibri"/>
          <w:color w:val="1B2432"/>
          <w:sz w:val="21"/>
          <w:szCs w:val="21"/>
        </w:rPr>
        <w:t xml:space="preserve">Clearing every automated gate before requesting promotion</w:t>
      </w:r>
    </w:p>
    <w:p>
      <w:pPr>
        <w:pStyle w:val="ListParagraph"/>
        <w:numPr>
          <w:ilvl w:val="0"/>
          <w:numId w:val="3"/>
        </w:numPr>
        <w:spacing w:after="75"/>
      </w:pPr>
      <w:r>
        <w:rPr>
          <w:rFonts w:ascii="Calibri" w:cs="Calibri" w:eastAsia="Calibri" w:hAnsi="Calibri"/>
          <w:color w:val="1B2432"/>
          <w:sz w:val="21"/>
          <w:szCs w:val="21"/>
        </w:rPr>
        <w:t xml:space="preserve">Holding certification on the platform before the intake is accepted into Lean</w:t>
      </w:r>
    </w:p>
    <w:p>
      <w:pPr>
        <w:pStyle w:val="Heading4"/>
        <w:spacing w:after="105" w:before="210"/>
      </w:pPr>
      <w:r>
        <w:rPr>
          <w:rFonts w:ascii="Calibri" w:cs="Calibri" w:eastAsia="Calibri" w:hAnsi="Calibri"/>
          <w:b/>
          <w:bCs/>
          <w:color w:val="0B6E6E"/>
          <w:sz w:val="21"/>
          <w:szCs w:val="21"/>
        </w:rPr>
        <w:t xml:space="preserve">Engagement shape</w:t>
      </w:r>
    </w:p>
    <w:p>
      <w:pPr>
        <w:spacing w:after="130" w:before="0"/>
      </w:pPr>
      <w:r>
        <w:rPr>
          <w:rFonts w:ascii="Calibri" w:cs="Calibri" w:eastAsia="Calibri" w:hAnsi="Calibri"/>
          <w:b w:val="false"/>
          <w:bCs w:val="false"/>
          <w:i w:val="false"/>
          <w:iCs w:val="false"/>
          <w:color w:val="1B2432"/>
          <w:sz w:val="21"/>
          <w:szCs w:val="21"/>
        </w:rPr>
        <w:t xml:space="preserve">No standing meetings. No allocated engineer. No named delivery team. Interaction is event-driven: the partner works, the platform validates, and a human appears only at a failed gate or a booked clinic. The partner's timeline is bounded by their own capacity, not by the ECM queue.</w:t>
      </w:r>
    </w:p>
    <w:p>
      <w:pPr>
        <w:pStyle w:val="Heading2"/>
        <w:spacing w:after="170" w:before="320"/>
      </w:pPr>
      <w:r>
        <w:rPr>
          <w:rFonts w:ascii="Cambria" w:cs="Cambria" w:eastAsia="Cambria" w:hAnsi="Cambria"/>
          <w:b/>
          <w:bCs/>
          <w:color w:val="15304F"/>
          <w:sz w:val="27"/>
          <w:szCs w:val="27"/>
        </w:rPr>
        <w:t xml:space="preserve">2.3 Lean+</w:t>
      </w:r>
    </w:p>
    <w:p>
      <w:pPr>
        <w:spacing w:after="130" w:before="0"/>
      </w:pPr>
      <w:r>
        <w:rPr>
          <w:rFonts w:ascii="Calibri" w:cs="Calibri" w:eastAsia="Calibri" w:hAnsi="Calibri"/>
          <w:b/>
          <w:bCs/>
          <w:i w:val="false"/>
          <w:iCs w:val="false"/>
          <w:color w:val="1B2432"/>
          <w:sz w:val="21"/>
          <w:szCs w:val="21"/>
        </w:rPr>
        <w:t xml:space="preserve">Shared-pool enablement with scheduled design assurance. </w:t>
      </w:r>
      <w:r>
        <w:rPr>
          <w:rFonts w:ascii="Calibri" w:cs="Calibri" w:eastAsia="Calibri" w:hAnsi="Calibri"/>
          <w:b w:val="false"/>
          <w:bCs w:val="false"/>
          <w:i w:val="false"/>
          <w:iCs w:val="false"/>
          <w:color w:val="1B2432"/>
          <w:sz w:val="21"/>
          <w:szCs w:val="21"/>
        </w:rPr>
        <w:t xml:space="preserve">The partner still executes, but a shared pool of ECM engineers provides design review at defined checkpoints and is available for booked working sessions. There is no capacity dedicated to the partner; there is guaranteed access to capacity at the moments that matter.</w:t>
      </w:r>
    </w:p>
    <w:p>
      <w:pPr>
        <w:pStyle w:val="Heading4"/>
        <w:spacing w:after="105" w:before="210"/>
      </w:pPr>
      <w:r>
        <w:rPr>
          <w:rFonts w:ascii="Calibri" w:cs="Calibri" w:eastAsia="Calibri" w:hAnsi="Calibri"/>
          <w:b/>
          <w:bCs/>
          <w:color w:val="9A6410"/>
          <w:sz w:val="21"/>
          <w:szCs w:val="21"/>
        </w:rPr>
        <w:t xml:space="preserve">What ECM provides</w:t>
      </w:r>
    </w:p>
    <w:p>
      <w:pPr>
        <w:pStyle w:val="ListParagraph"/>
        <w:numPr>
          <w:ilvl w:val="0"/>
          <w:numId w:val="3"/>
        </w:numPr>
        <w:spacing w:after="75"/>
      </w:pPr>
      <w:r>
        <w:rPr>
          <w:rFonts w:ascii="Calibri" w:cs="Calibri" w:eastAsia="Calibri" w:hAnsi="Calibri"/>
          <w:color w:val="1B2432"/>
          <w:sz w:val="21"/>
          <w:szCs w:val="21"/>
        </w:rPr>
        <w:t xml:space="preserve">Everything in Lean, plus:</w:t>
      </w:r>
    </w:p>
    <w:p>
      <w:pPr>
        <w:pStyle w:val="ListParagraph"/>
        <w:numPr>
          <w:ilvl w:val="0"/>
          <w:numId w:val="3"/>
        </w:numPr>
        <w:spacing w:after="75"/>
      </w:pPr>
      <w:r>
        <w:rPr>
          <w:rFonts w:ascii="Calibri" w:cs="Calibri" w:eastAsia="Calibri" w:hAnsi="Calibri"/>
          <w:color w:val="1B2432"/>
          <w:sz w:val="21"/>
          <w:szCs w:val="21"/>
        </w:rPr>
        <w:t xml:space="preserve">A named enablement guide for the life of the intake — a single point of contact, not a delivery team</w:t>
      </w:r>
    </w:p>
    <w:p>
      <w:pPr>
        <w:pStyle w:val="ListParagraph"/>
        <w:numPr>
          <w:ilvl w:val="0"/>
          <w:numId w:val="3"/>
        </w:numPr>
        <w:spacing w:after="75"/>
      </w:pPr>
      <w:r>
        <w:rPr>
          <w:rFonts w:ascii="Calibri" w:cs="Calibri" w:eastAsia="Calibri" w:hAnsi="Calibri"/>
          <w:color w:val="1B2432"/>
          <w:sz w:val="21"/>
          <w:szCs w:val="21"/>
        </w:rPr>
        <w:t xml:space="preserve">Mandatory design review at two checkpoints: solution shape, and pre-promotion readiness</w:t>
      </w:r>
    </w:p>
    <w:p>
      <w:pPr>
        <w:pStyle w:val="ListParagraph"/>
        <w:numPr>
          <w:ilvl w:val="0"/>
          <w:numId w:val="3"/>
        </w:numPr>
        <w:spacing w:after="75"/>
      </w:pPr>
      <w:r>
        <w:rPr>
          <w:rFonts w:ascii="Calibri" w:cs="Calibri" w:eastAsia="Calibri" w:hAnsi="Calibri"/>
          <w:color w:val="1B2432"/>
          <w:sz w:val="21"/>
          <w:szCs w:val="21"/>
        </w:rPr>
        <w:t xml:space="preserve">A standing weekly working session the partner may use or decline</w:t>
      </w:r>
    </w:p>
    <w:p>
      <w:pPr>
        <w:pStyle w:val="ListParagraph"/>
        <w:numPr>
          <w:ilvl w:val="0"/>
          <w:numId w:val="3"/>
        </w:numPr>
        <w:spacing w:after="75"/>
      </w:pPr>
      <w:r>
        <w:rPr>
          <w:rFonts w:ascii="Calibri" w:cs="Calibri" w:eastAsia="Calibri" w:hAnsi="Calibri"/>
          <w:color w:val="1B2432"/>
          <w:sz w:val="21"/>
          <w:szCs w:val="21"/>
        </w:rPr>
        <w:t xml:space="preserve">Shared-pool engineering support for the one or two genuinely novel elements in an otherwise known pattern</w:t>
      </w:r>
    </w:p>
    <w:p>
      <w:pPr>
        <w:pStyle w:val="ListParagraph"/>
        <w:numPr>
          <w:ilvl w:val="0"/>
          <w:numId w:val="3"/>
        </w:numPr>
        <w:spacing w:after="75"/>
      </w:pPr>
      <w:r>
        <w:rPr>
          <w:rFonts w:ascii="Calibri" w:cs="Calibri" w:eastAsia="Calibri" w:hAnsi="Calibri"/>
          <w:color w:val="1B2432"/>
          <w:sz w:val="21"/>
          <w:szCs w:val="21"/>
        </w:rPr>
        <w:t xml:space="preserve">Metadata mapping review rather than metadata mapping delivery</w:t>
      </w:r>
    </w:p>
    <w:p>
      <w:pPr>
        <w:pStyle w:val="Heading4"/>
        <w:spacing w:after="105" w:before="210"/>
      </w:pPr>
      <w:r>
        <w:rPr>
          <w:rFonts w:ascii="Calibri" w:cs="Calibri" w:eastAsia="Calibri" w:hAnsi="Calibri"/>
          <w:b/>
          <w:bCs/>
          <w:color w:val="9A6410"/>
          <w:sz w:val="21"/>
          <w:szCs w:val="21"/>
        </w:rPr>
        <w:t xml:space="preserve">What the partner owns</w:t>
      </w:r>
    </w:p>
    <w:p>
      <w:pPr>
        <w:pStyle w:val="ListParagraph"/>
        <w:numPr>
          <w:ilvl w:val="0"/>
          <w:numId w:val="3"/>
        </w:numPr>
        <w:spacing w:after="75"/>
      </w:pPr>
      <w:r>
        <w:rPr>
          <w:rFonts w:ascii="Calibri" w:cs="Calibri" w:eastAsia="Calibri" w:hAnsi="Calibri"/>
          <w:color w:val="1B2432"/>
          <w:sz w:val="21"/>
          <w:szCs w:val="21"/>
        </w:rPr>
        <w:t xml:space="preserve">All Lean responsibilities</w:t>
      </w:r>
    </w:p>
    <w:p>
      <w:pPr>
        <w:pStyle w:val="ListParagraph"/>
        <w:numPr>
          <w:ilvl w:val="0"/>
          <w:numId w:val="3"/>
        </w:numPr>
        <w:spacing w:after="75"/>
      </w:pPr>
      <w:r>
        <w:rPr>
          <w:rFonts w:ascii="Calibri" w:cs="Calibri" w:eastAsia="Calibri" w:hAnsi="Calibri"/>
          <w:color w:val="1B2432"/>
          <w:sz w:val="21"/>
          <w:szCs w:val="21"/>
        </w:rPr>
        <w:t xml:space="preserve">Producing the first draft of design artefacts, which ECM reviews rather than authors</w:t>
      </w:r>
    </w:p>
    <w:p>
      <w:pPr>
        <w:pStyle w:val="ListParagraph"/>
        <w:numPr>
          <w:ilvl w:val="0"/>
          <w:numId w:val="3"/>
        </w:numPr>
        <w:spacing w:after="75"/>
      </w:pPr>
      <w:r>
        <w:rPr>
          <w:rFonts w:ascii="Calibri" w:cs="Calibri" w:eastAsia="Calibri" w:hAnsi="Calibri"/>
          <w:color w:val="1B2432"/>
          <w:sz w:val="21"/>
          <w:szCs w:val="21"/>
        </w:rPr>
        <w:t xml:space="preserve">Driving their own implementation between checkpoints</w:t>
      </w:r>
    </w:p>
    <w:p>
      <w:pPr>
        <w:pStyle w:val="Heading4"/>
        <w:spacing w:after="105" w:before="210"/>
      </w:pPr>
      <w:r>
        <w:rPr>
          <w:rFonts w:ascii="Calibri" w:cs="Calibri" w:eastAsia="Calibri" w:hAnsi="Calibri"/>
          <w:b/>
          <w:bCs/>
          <w:color w:val="9A6410"/>
          <w:sz w:val="21"/>
          <w:szCs w:val="21"/>
        </w:rPr>
        <w:t xml:space="preserve">Engagement shape</w:t>
      </w:r>
    </w:p>
    <w:p>
      <w:pPr>
        <w:spacing w:after="130" w:before="0"/>
      </w:pPr>
      <w:r>
        <w:rPr>
          <w:rFonts w:ascii="Calibri" w:cs="Calibri" w:eastAsia="Calibri" w:hAnsi="Calibri"/>
          <w:b w:val="false"/>
          <w:bCs w:val="false"/>
          <w:i w:val="false"/>
          <w:iCs w:val="false"/>
          <w:color w:val="1B2432"/>
          <w:sz w:val="21"/>
          <w:szCs w:val="21"/>
        </w:rPr>
        <w:t xml:space="preserve">Scheduled rather than continuous. The partner knows exactly when they will have ECM attention and what they must bring to each session. The pool is sized against the aggregate checkpoint load across all active Lean+ intakes, not against the number of partners — which is what makes it affordable.</w:t>
      </w:r>
    </w:p>
    <w:p>
      <w:pPr>
        <w:pStyle w:val="Heading2"/>
        <w:spacing w:after="170" w:before="320"/>
      </w:pPr>
      <w:r>
        <w:rPr>
          <w:rFonts w:ascii="Cambria" w:cs="Cambria" w:eastAsia="Cambria" w:hAnsi="Cambria"/>
          <w:b/>
          <w:bCs/>
          <w:color w:val="15304F"/>
          <w:sz w:val="27"/>
          <w:szCs w:val="27"/>
        </w:rPr>
        <w:t xml:space="preserve">2.4 Dedicated</w:t>
      </w:r>
    </w:p>
    <w:p>
      <w:pPr>
        <w:spacing w:after="130" w:before="0"/>
      </w:pPr>
      <w:r>
        <w:rPr>
          <w:rFonts w:ascii="Calibri" w:cs="Calibri" w:eastAsia="Calibri" w:hAnsi="Calibri"/>
          <w:b/>
          <w:bCs/>
          <w:i w:val="false"/>
          <w:iCs w:val="false"/>
          <w:color w:val="1B2432"/>
          <w:sz w:val="21"/>
          <w:szCs w:val="21"/>
        </w:rPr>
        <w:t xml:space="preserve">Allocated cross-functional capacity from inception to release. </w:t>
      </w:r>
      <w:r>
        <w:rPr>
          <w:rFonts w:ascii="Calibri" w:cs="Calibri" w:eastAsia="Calibri" w:hAnsi="Calibri"/>
          <w:b w:val="false"/>
          <w:bCs w:val="false"/>
          <w:i w:val="false"/>
          <w:iCs w:val="false"/>
          <w:color w:val="1B2432"/>
          <w:sz w:val="21"/>
          <w:szCs w:val="21"/>
        </w:rPr>
        <w:t xml:space="preserve">An enablement pod is assigned to the intake and stays with it end to end. This is the model that exists today, retained deliberately and applied selectively.</w:t>
      </w:r>
    </w:p>
    <w:p>
      <w:pPr>
        <w:pStyle w:val="Heading4"/>
        <w:spacing w:after="105" w:before="210"/>
      </w:pPr>
      <w:r>
        <w:rPr>
          <w:rFonts w:ascii="Calibri" w:cs="Calibri" w:eastAsia="Calibri" w:hAnsi="Calibri"/>
          <w:b/>
          <w:bCs/>
          <w:color w:val="15304F"/>
          <w:sz w:val="21"/>
          <w:szCs w:val="21"/>
        </w:rPr>
        <w:t xml:space="preserve">What ECM provides</w:t>
      </w:r>
    </w:p>
    <w:p>
      <w:pPr>
        <w:pStyle w:val="ListParagraph"/>
        <w:numPr>
          <w:ilvl w:val="0"/>
          <w:numId w:val="3"/>
        </w:numPr>
        <w:spacing w:after="75"/>
      </w:pPr>
      <w:r>
        <w:rPr>
          <w:rFonts w:ascii="Calibri" w:cs="Calibri" w:eastAsia="Calibri" w:hAnsi="Calibri"/>
          <w:color w:val="1B2432"/>
          <w:sz w:val="21"/>
          <w:szCs w:val="21"/>
        </w:rPr>
        <w:t xml:space="preserve">An allocated pod: enablement lead, platform engineer, integration engineer, with governance and records management on call</w:t>
      </w:r>
    </w:p>
    <w:p>
      <w:pPr>
        <w:pStyle w:val="ListParagraph"/>
        <w:numPr>
          <w:ilvl w:val="0"/>
          <w:numId w:val="3"/>
        </w:numPr>
        <w:spacing w:after="75"/>
      </w:pPr>
      <w:r>
        <w:rPr>
          <w:rFonts w:ascii="Calibri" w:cs="Calibri" w:eastAsia="Calibri" w:hAnsi="Calibri"/>
          <w:color w:val="1B2432"/>
          <w:sz w:val="21"/>
          <w:szCs w:val="21"/>
        </w:rPr>
        <w:t xml:space="preserve">End-to-end ownership from analysis through to post-live stabilisation</w:t>
      </w:r>
    </w:p>
    <w:p>
      <w:pPr>
        <w:pStyle w:val="ListParagraph"/>
        <w:numPr>
          <w:ilvl w:val="0"/>
          <w:numId w:val="3"/>
        </w:numPr>
        <w:spacing w:after="75"/>
      </w:pPr>
      <w:r>
        <w:rPr>
          <w:rFonts w:ascii="Calibri" w:cs="Calibri" w:eastAsia="Calibri" w:hAnsi="Calibri"/>
          <w:color w:val="1B2432"/>
          <w:sz w:val="21"/>
          <w:szCs w:val="21"/>
        </w:rPr>
        <w:t xml:space="preserve">Authoring — not merely reviewing — of design, metadata mappings and configuration</w:t>
      </w:r>
    </w:p>
    <w:p>
      <w:pPr>
        <w:pStyle w:val="ListParagraph"/>
        <w:numPr>
          <w:ilvl w:val="0"/>
          <w:numId w:val="3"/>
        </w:numPr>
        <w:spacing w:after="75"/>
      </w:pPr>
      <w:r>
        <w:rPr>
          <w:rFonts w:ascii="Calibri" w:cs="Calibri" w:eastAsia="Calibri" w:hAnsi="Calibri"/>
          <w:color w:val="1B2432"/>
          <w:sz w:val="21"/>
          <w:szCs w:val="21"/>
        </w:rPr>
        <w:t xml:space="preserve">Continuous availability for the duration of the intake</w:t>
      </w:r>
    </w:p>
    <w:p>
      <w:pPr>
        <w:pStyle w:val="ListParagraph"/>
        <w:numPr>
          <w:ilvl w:val="0"/>
          <w:numId w:val="3"/>
        </w:numPr>
        <w:spacing w:after="75"/>
      </w:pPr>
      <w:r>
        <w:rPr>
          <w:rFonts w:ascii="Calibri" w:cs="Calibri" w:eastAsia="Calibri" w:hAnsi="Calibri"/>
          <w:color w:val="1B2432"/>
          <w:sz w:val="21"/>
          <w:szCs w:val="21"/>
        </w:rPr>
        <w:t xml:space="preserve">Direct coordination with specialist teams on the partner's behalf</w:t>
      </w:r>
    </w:p>
    <w:p>
      <w:pPr>
        <w:pStyle w:val="Heading4"/>
        <w:spacing w:after="105" w:before="210"/>
      </w:pPr>
      <w:r>
        <w:rPr>
          <w:rFonts w:ascii="Calibri" w:cs="Calibri" w:eastAsia="Calibri" w:hAnsi="Calibri"/>
          <w:b/>
          <w:bCs/>
          <w:color w:val="15304F"/>
          <w:sz w:val="21"/>
          <w:szCs w:val="21"/>
        </w:rPr>
        <w:t xml:space="preserve">When it is justified</w:t>
      </w:r>
    </w:p>
    <w:p>
      <w:pPr>
        <w:pStyle w:val="ListParagraph"/>
        <w:numPr>
          <w:ilvl w:val="0"/>
          <w:numId w:val="3"/>
        </w:numPr>
        <w:spacing w:after="75"/>
      </w:pPr>
      <w:r>
        <w:rPr>
          <w:rFonts w:ascii="Calibri" w:cs="Calibri" w:eastAsia="Calibri" w:hAnsi="Calibri"/>
          <w:color w:val="1B2432"/>
          <w:sz w:val="21"/>
          <w:szCs w:val="21"/>
        </w:rPr>
        <w:t xml:space="preserve">The pattern does not yet exist and must be designed</w:t>
      </w:r>
    </w:p>
    <w:p>
      <w:pPr>
        <w:pStyle w:val="ListParagraph"/>
        <w:numPr>
          <w:ilvl w:val="0"/>
          <w:numId w:val="3"/>
        </w:numPr>
        <w:spacing w:after="75"/>
      </w:pPr>
      <w:r>
        <w:rPr>
          <w:rFonts w:ascii="Calibri" w:cs="Calibri" w:eastAsia="Calibri" w:hAnsi="Calibri"/>
          <w:color w:val="1B2432"/>
          <w:sz w:val="21"/>
          <w:szCs w:val="21"/>
        </w:rPr>
        <w:t xml:space="preserve">Regulated content is in scope and the retention or classification position is new</w:t>
      </w:r>
    </w:p>
    <w:p>
      <w:pPr>
        <w:pStyle w:val="ListParagraph"/>
        <w:numPr>
          <w:ilvl w:val="0"/>
          <w:numId w:val="3"/>
        </w:numPr>
        <w:spacing w:after="75"/>
      </w:pPr>
      <w:r>
        <w:rPr>
          <w:rFonts w:ascii="Calibri" w:cs="Calibri" w:eastAsia="Calibri" w:hAnsi="Calibri"/>
          <w:color w:val="1B2432"/>
          <w:sz w:val="21"/>
          <w:szCs w:val="21"/>
        </w:rPr>
        <w:t xml:space="preserve">Content classification posture is changing on live content</w:t>
      </w:r>
    </w:p>
    <w:p>
      <w:pPr>
        <w:pStyle w:val="ListParagraph"/>
        <w:numPr>
          <w:ilvl w:val="0"/>
          <w:numId w:val="3"/>
        </w:numPr>
        <w:spacing w:after="75"/>
      </w:pPr>
      <w:r>
        <w:rPr>
          <w:rFonts w:ascii="Calibri" w:cs="Calibri" w:eastAsia="Calibri" w:hAnsi="Calibri"/>
          <w:color w:val="1B2432"/>
          <w:sz w:val="21"/>
          <w:szCs w:val="21"/>
        </w:rPr>
        <w:t xml:space="preserve">The change affects multiple lines of business or multiple partners simultaneously</w:t>
      </w:r>
    </w:p>
    <w:p>
      <w:pPr>
        <w:pStyle w:val="ListParagraph"/>
        <w:numPr>
          <w:ilvl w:val="0"/>
          <w:numId w:val="3"/>
        </w:numPr>
        <w:spacing w:after="75"/>
      </w:pPr>
      <w:r>
        <w:rPr>
          <w:rFonts w:ascii="Calibri" w:cs="Calibri" w:eastAsia="Calibri" w:hAnsi="Calibri"/>
          <w:color w:val="1B2432"/>
          <w:sz w:val="21"/>
          <w:szCs w:val="21"/>
        </w:rPr>
        <w:t xml:space="preserve">Existing content or metadata must be remediated, not merely added to</w:t>
      </w:r>
    </w:p>
    <w:p>
      <w:pPr>
        <w:pStyle w:val="Heading4"/>
        <w:spacing w:after="105" w:before="210"/>
      </w:pPr>
      <w:r>
        <w:rPr>
          <w:rFonts w:ascii="Calibri" w:cs="Calibri" w:eastAsia="Calibri" w:hAnsi="Calibri"/>
          <w:b/>
          <w:bCs/>
          <w:color w:val="15304F"/>
          <w:sz w:val="21"/>
          <w:szCs w:val="21"/>
        </w:rPr>
        <w:t xml:space="preserve">Engagement shape</w:t>
      </w:r>
    </w:p>
    <w:p>
      <w:pPr>
        <w:spacing w:after="130" w:before="0"/>
      </w:pPr>
      <w:r>
        <w:rPr>
          <w:rFonts w:ascii="Calibri" w:cs="Calibri" w:eastAsia="Calibri" w:hAnsi="Calibri"/>
          <w:b w:val="false"/>
          <w:bCs w:val="false"/>
          <w:i w:val="false"/>
          <w:iCs w:val="false"/>
          <w:color w:val="1B2432"/>
          <w:sz w:val="21"/>
          <w:szCs w:val="21"/>
        </w:rPr>
        <w:t xml:space="preserve">Continuous. The pod is the partner's delivery team for the duration. The cost is that Dedicated capacity is finite and queued — which is precisely why it must be reserved for intakes that genuinely require it.</w:t>
      </w:r>
    </w:p>
    <w:p>
      <w:r>
        <w:br w:type="page"/>
      </w:r>
    </w:p>
    <w:p>
      <w:pPr>
        <w:pStyle w:val="Heading2"/>
        <w:spacing w:after="170" w:before="320"/>
      </w:pPr>
      <w:r>
        <w:rPr>
          <w:rFonts w:ascii="Cambria" w:cs="Cambria" w:eastAsia="Cambria" w:hAnsi="Cambria"/>
          <w:b/>
          <w:bCs/>
          <w:color w:val="15304F"/>
          <w:sz w:val="27"/>
          <w:szCs w:val="27"/>
        </w:rPr>
        <w:t xml:space="preserve">2.5 The three models side by side</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1860"/>
        <w:gridCol w:w="2500"/>
        <w:gridCol w:w="2500"/>
        <w:gridCol w:w="2500"/>
      </w:tblGrid>
      <w:tr>
        <w:trPr>
          <w:tblHeader/>
        </w:trPr>
        <w:tc>
          <w:tcPr>
            <w:tcW w:type="dxa" w:w="18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
            </w:r>
          </w:p>
        </w:tc>
        <w:tc>
          <w:tcPr>
            <w:tcW w:type="dxa" w:w="2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Lean</w:t>
            </w:r>
          </w:p>
        </w:tc>
        <w:tc>
          <w:tcPr>
            <w:tcW w:type="dxa" w:w="2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Lean+</w:t>
            </w:r>
          </w:p>
        </w:tc>
        <w:tc>
          <w:tcPr>
            <w:tcW w:type="dxa" w:w="2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Dedicated</w:t>
            </w:r>
          </w:p>
        </w:tc>
      </w:tr>
      <w:tr>
        <w:tc>
          <w:tcPr>
            <w:tcW w:type="dxa" w:w="186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Allocated capacity</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None</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None — shared pool access</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Dedicated pod</w:t>
            </w:r>
          </w:p>
        </w:tc>
      </w:tr>
      <w:tr>
        <w:tc>
          <w:tcPr>
            <w:tcW w:type="dxa" w:w="186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Named contact</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Yes — enablement guide</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Yes — full pod</w:t>
            </w:r>
          </w:p>
        </w:tc>
      </w:tr>
      <w:tr>
        <w:tc>
          <w:tcPr>
            <w:tcW w:type="dxa" w:w="186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Who designs</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Platform pattern decides</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 drafts, ECM reviews</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ECM authors with partner</w:t>
            </w:r>
          </w:p>
        </w:tc>
      </w:tr>
      <w:tr>
        <w:tc>
          <w:tcPr>
            <w:tcW w:type="dxa" w:w="186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Who implements</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ECM and partner jointly</w:t>
            </w:r>
          </w:p>
        </w:tc>
      </w:tr>
      <w:tr>
        <w:tc>
          <w:tcPr>
            <w:tcW w:type="dxa" w:w="186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Who maps metadata</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Pattern template</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 maps, ECM reviews</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ECM maps</w:t>
            </w:r>
          </w:p>
        </w:tc>
      </w:tr>
      <w:tr>
        <w:tc>
          <w:tcPr>
            <w:tcW w:type="dxa" w:w="186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ECM touchpoints</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On gate failure only</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Two mandatory reviews plus weekly optional</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Continuous</w:t>
            </w:r>
          </w:p>
        </w:tc>
      </w:tr>
      <w:tr>
        <w:tc>
          <w:tcPr>
            <w:tcW w:type="dxa" w:w="186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Queue exposure</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None — start immediately</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Low — checkpoint scheduling only</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High — waits for pod availability</w:t>
            </w:r>
          </w:p>
        </w:tc>
      </w:tr>
      <w:tr>
        <w:tc>
          <w:tcPr>
            <w:tcW w:type="dxa" w:w="186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Typical start latency</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Days</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Weeks</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Planning increment</w:t>
            </w:r>
          </w:p>
        </w:tc>
      </w:tr>
      <w:tr>
        <w:tc>
          <w:tcPr>
            <w:tcW w:type="dxa" w:w="186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Compliance gates</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Identical</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Identical</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Identical</w:t>
            </w:r>
          </w:p>
        </w:tc>
      </w:tr>
      <w:tr>
        <w:tc>
          <w:tcPr>
            <w:tcW w:type="dxa" w:w="186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Escalation path</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Auto-escalate to Lean+</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Auto-escalate to Dedicated</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Already at ceiling</w:t>
            </w:r>
          </w:p>
        </w:tc>
      </w:tr>
      <w:tr>
        <w:tc>
          <w:tcPr>
            <w:tcW w:type="dxa" w:w="186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Partner prerequisite</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Platform certification</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Prior successful intake or certification</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None</w:t>
            </w:r>
          </w:p>
        </w:tc>
      </w:tr>
      <w:tr>
        <w:tc>
          <w:tcPr>
            <w:tcW w:type="dxa" w:w="186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ECM cost profile</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Marginal</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Shared and amortised</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Full allocation</w:t>
            </w:r>
          </w:p>
        </w:tc>
      </w:tr>
    </w:tbl>
    <w:p>
      <w:pPr>
        <w:spacing w:after="140"/>
      </w:pPr>
      <w:r>
        <w:t xml:space="preserve"/>
      </w:r>
    </w:p>
    <w:tbl>
      <w:tblPr>
        <w:tblW w:type="dxa" w:w="9360"/>
        <w:tblBorders>
          <w:top w:val="single" w:color="0B6E6E" w:sz="6"/>
          <w:left w:val="single" w:color="0B6E6E" w:sz="6"/>
          <w:bottom w:val="single" w:color="0B6E6E" w:sz="6"/>
          <w:right w:val="single" w:color="0B6E6E" w:sz="6"/>
          <w:insideH w:val="none"/>
          <w:insideV w:val="none"/>
        </w:tblBorders>
      </w:tblPr>
      <w:tblGrid>
        <w:gridCol w:w="9360"/>
      </w:tblGrid>
      <w:tr>
        <w:tc>
          <w:tcPr>
            <w:tcW w:type="dxa" w:w="9360"/>
            <w:shd w:fill="E6F2F1" w:color="auto" w:val="clear"/>
            <w:tcMar>
              <w:top w:type="dxa" w:w="140"/>
              <w:left w:type="dxa" w:w="165"/>
              <w:bottom w:type="dxa" w:w="140"/>
              <w:right w:type="dxa" w:w="165"/>
            </w:tcMar>
          </w:tcPr>
          <w:p>
            <w:pPr>
              <w:spacing w:after="85"/>
            </w:pPr>
            <w:r>
              <w:rPr>
                <w:rFonts w:ascii="Calibri" w:cs="Calibri" w:eastAsia="Calibri" w:hAnsi="Calibri"/>
                <w:b/>
                <w:bCs/>
                <w:color w:val="0B6E6E"/>
                <w:sz w:val="20"/>
                <w:szCs w:val="20"/>
              </w:rPr>
              <w:t xml:space="preserve">THE COUNTERINTUITIVE POINT TO MAKE TO PARTNERS</w:t>
            </w:r>
          </w:p>
          <w:p>
            <w:pPr>
              <w:spacing w:after="65"/>
            </w:pPr>
            <w:r>
              <w:rPr>
                <w:rFonts w:ascii="Calibri" w:cs="Calibri" w:eastAsia="Calibri" w:hAnsi="Calibri"/>
                <w:color w:val="1B2432"/>
                <w:sz w:val="20"/>
                <w:szCs w:val="20"/>
              </w:rPr>
              <w:t xml:space="preserve">Dedicated is not the premium service. It is the slowest one.</w:t>
            </w:r>
          </w:p>
          <w:p>
            <w:pPr>
              <w:spacing w:after="65"/>
            </w:pPr>
            <w:r>
              <w:rPr>
                <w:rFonts w:ascii="Calibri" w:cs="Calibri" w:eastAsia="Calibri" w:hAnsi="Calibri"/>
                <w:color w:val="1B2432"/>
                <w:sz w:val="20"/>
                <w:szCs w:val="20"/>
              </w:rPr>
              <w:t xml:space="preserve">A Lean intake starts the day it is tiered, because nothing has to become free first. A Dedicated intake waits for a pod, and pods are scarce by definition.</w:t>
            </w:r>
          </w:p>
          <w:p>
            <w:pPr>
              <w:spacing w:after="65"/>
            </w:pPr>
            <w:r>
              <w:rPr>
                <w:rFonts w:ascii="Calibri" w:cs="Calibri" w:eastAsia="Calibri" w:hAnsi="Calibri"/>
                <w:color w:val="1B2432"/>
                <w:sz w:val="20"/>
                <w:szCs w:val="20"/>
              </w:rPr>
              <w:t xml:space="preserve">Partners whose work fits a proven pattern go live sooner in Lean than they would have in Dedicated — not despite the lighter engagement, but because of it.</w:t>
            </w:r>
          </w:p>
          <w:p>
            <w:pPr>
              <w:spacing w:after="65"/>
            </w:pPr>
            <w:r>
              <w:rPr>
                <w:rFonts w:ascii="Calibri" w:cs="Calibri" w:eastAsia="Calibri" w:hAnsi="Calibri"/>
                <w:color w:val="1B2432"/>
                <w:sz w:val="20"/>
                <w:szCs w:val="20"/>
              </w:rPr>
              <w:t xml:space="preserve">This reframing matters commercially. Without it, every partner negotiates for Dedicated and the model fails on day one.</w:t>
            </w:r>
          </w:p>
        </w:tc>
      </w:tr>
    </w:tbl>
    <w:p>
      <w:pPr>
        <w:pStyle w:val="Heading2"/>
        <w:spacing w:after="170" w:before="320"/>
      </w:pPr>
      <w:r>
        <w:rPr>
          <w:rFonts w:ascii="Cambria" w:cs="Cambria" w:eastAsia="Cambria" w:hAnsi="Cambria"/>
          <w:b/>
          <w:bCs/>
          <w:color w:val="15304F"/>
          <w:sz w:val="27"/>
          <w:szCs w:val="27"/>
        </w:rPr>
        <w:t xml:space="preserve">2.6 What does not change across the three models</w:t>
      </w:r>
    </w:p>
    <w:p>
      <w:pPr>
        <w:spacing w:after="130" w:before="0"/>
      </w:pPr>
      <w:r>
        <w:rPr>
          <w:rFonts w:ascii="Calibri" w:cs="Calibri" w:eastAsia="Calibri" w:hAnsi="Calibri"/>
          <w:b w:val="false"/>
          <w:bCs w:val="false"/>
          <w:i w:val="false"/>
          <w:iCs w:val="false"/>
          <w:color w:val="1B2432"/>
          <w:sz w:val="21"/>
          <w:szCs w:val="21"/>
        </w:rPr>
        <w:t xml:space="preserve">A smaller engagement is not a smaller standard. The following apply identically in all three tiers, and no tier confers an exemption.</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600"/>
        <w:gridCol w:w="6760"/>
      </w:tblGrid>
      <w:tr>
        <w:trPr>
          <w:tblHeader/>
        </w:trPr>
        <w:tc>
          <w:tcPr>
            <w:tcW w:type="dxa" w:w="26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Invariant</w:t>
            </w:r>
          </w:p>
        </w:tc>
        <w:tc>
          <w:tcPr>
            <w:tcW w:type="dxa" w:w="67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Applies in every tier</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Content classification determination</w:t>
            </w:r>
          </w:p>
        </w:tc>
        <w:tc>
          <w:tcPr>
            <w:tcW w:type="dxa" w:w="6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Whether content is trusted or untrusted, and the document category, type and subtype applied to it, is determined by imaging governance. No tier allows a partner or an engineer to assert it.</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Records management approval</w:t>
            </w:r>
          </w:p>
        </w:tc>
        <w:tc>
          <w:tcPr>
            <w:tcW w:type="dxa" w:w="6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Retention requirements are gathered, the questionnaire is completed, and records management reviews and approves before retention is configured.</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Security and access review</w:t>
            </w:r>
          </w:p>
        </w:tc>
        <w:tc>
          <w:tcPr>
            <w:tcW w:type="dxa" w:w="6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System and user security analysis is completed and signed off. Access routing follows the published rules.</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Volume certification</w:t>
            </w:r>
          </w:p>
        </w:tc>
        <w:tc>
          <w:tcPr>
            <w:tcW w:type="dxa" w:w="6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volume profile is captured and assessed; load testing is triggered by threshold, not by tier.</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Environment promotion ladder</w:t>
            </w:r>
          </w:p>
        </w:tc>
        <w:tc>
          <w:tcPr>
            <w:tcW w:type="dxa" w:w="6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ladder is fixed. No tier permits a skip, and promotion gates are evaluated identically.</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Production support acceptance</w:t>
            </w:r>
          </w:p>
        </w:tc>
        <w:tc>
          <w:tcPr>
            <w:tcW w:type="dxa" w:w="6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Release transition documentation is complete and platform support has accepted the handover before go-live.</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Audit trail</w:t>
            </w:r>
          </w:p>
        </w:tc>
        <w:tc>
          <w:tcPr>
            <w:tcW w:type="dxa" w:w="6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Every configuration change, approval and promotion is recorded against the intake regardless of who performed it.</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Stating these as invariants up front is what allows the lighter tiers to be defended to risk, audit and compliance functions. The argument is not that less rigour is applied; it is that the rigour is applied by the platform rather than by an engineer's attention.</w:t>
      </w:r>
    </w:p>
    <w:p>
      <w:pPr>
        <w:pStyle w:val="Heading2"/>
        <w:spacing w:after="170" w:before="320"/>
      </w:pPr>
      <w:r>
        <w:rPr>
          <w:rFonts w:ascii="Cambria" w:cs="Cambria" w:eastAsia="Cambria" w:hAnsi="Cambria"/>
          <w:b/>
          <w:bCs/>
          <w:color w:val="15304F"/>
          <w:sz w:val="27"/>
          <w:szCs w:val="27"/>
        </w:rPr>
        <w:t xml:space="preserve">2.7 Capacity profile — the shape of the saving</w:t>
      </w:r>
    </w:p>
    <w:p>
      <w:pPr>
        <w:spacing w:after="130" w:before="0"/>
      </w:pPr>
      <w:r>
        <w:rPr>
          <w:rFonts w:ascii="Calibri" w:cs="Calibri" w:eastAsia="Calibri" w:hAnsi="Calibri"/>
          <w:b w:val="false"/>
          <w:bCs w:val="false"/>
          <w:i w:val="false"/>
          <w:iCs w:val="false"/>
          <w:color w:val="1B2432"/>
          <w:sz w:val="21"/>
          <w:szCs w:val="21"/>
        </w:rPr>
        <w:t xml:space="preserve">The three models consume ECM capacity in fundamentally different shapes, and understanding the shape matters more than any single number.</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000"/>
        <w:gridCol w:w="2400"/>
        <w:gridCol w:w="2480"/>
        <w:gridCol w:w="2480"/>
      </w:tblGrid>
      <w:tr>
        <w:trPr>
          <w:tblHeader/>
        </w:trPr>
        <w:tc>
          <w:tcPr>
            <w:tcW w:type="dxa" w:w="20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
            </w:r>
          </w:p>
        </w:tc>
        <w:tc>
          <w:tcPr>
            <w:tcW w:type="dxa" w:w="24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Lean</w:t>
            </w:r>
          </w:p>
        </w:tc>
        <w:tc>
          <w:tcPr>
            <w:tcW w:type="dxa" w:w="248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Lean+</w:t>
            </w:r>
          </w:p>
        </w:tc>
        <w:tc>
          <w:tcPr>
            <w:tcW w:type="dxa" w:w="248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Dedicated</w:t>
            </w:r>
          </w:p>
        </w:tc>
      </w:tr>
      <w:tr>
        <w:tc>
          <w:tcPr>
            <w:tcW w:type="dxa" w:w="20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Cost driver</w:t>
            </w:r>
          </w:p>
        </w:tc>
        <w:tc>
          <w:tcPr>
            <w:tcW w:type="dxa" w:w="24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Platform build, amortised across all intakes</w:t>
            </w:r>
          </w:p>
        </w:tc>
        <w:tc>
          <w:tcPr>
            <w:tcW w:type="dxa" w:w="2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Aggregate checkpoint load across active intakes</w:t>
            </w:r>
          </w:p>
        </w:tc>
        <w:tc>
          <w:tcPr>
            <w:tcW w:type="dxa" w:w="2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Intake count × pod size × duration</w:t>
            </w:r>
          </w:p>
        </w:tc>
      </w:tr>
      <w:tr>
        <w:tc>
          <w:tcPr>
            <w:tcW w:type="dxa" w:w="20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Scaling behaviour</w:t>
            </w:r>
          </w:p>
        </w:tc>
        <w:tc>
          <w:tcPr>
            <w:tcW w:type="dxa" w:w="24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Flat — marginal cost per additional intake approaches zero</w:t>
            </w:r>
          </w:p>
        </w:tc>
        <w:tc>
          <w:tcPr>
            <w:tcW w:type="dxa" w:w="2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Sub-linear — pool absorbs variance</w:t>
            </w:r>
          </w:p>
        </w:tc>
        <w:tc>
          <w:tcPr>
            <w:tcW w:type="dxa" w:w="2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Linear — each intake adds full cost</w:t>
            </w:r>
          </w:p>
        </w:tc>
      </w:tr>
      <w:tr>
        <w:tc>
          <w:tcPr>
            <w:tcW w:type="dxa" w:w="20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Marginal intake cost</w:t>
            </w:r>
          </w:p>
        </w:tc>
        <w:tc>
          <w:tcPr>
            <w:tcW w:type="dxa" w:w="24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Near zero</w:t>
            </w:r>
          </w:p>
        </w:tc>
        <w:tc>
          <w:tcPr>
            <w:tcW w:type="dxa" w:w="2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Checkpoint hours only</w:t>
            </w:r>
          </w:p>
        </w:tc>
        <w:tc>
          <w:tcPr>
            <w:tcW w:type="dxa" w:w="2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Full pod allocation</w:t>
            </w:r>
          </w:p>
        </w:tc>
      </w:tr>
      <w:tr>
        <w:tc>
          <w:tcPr>
            <w:tcW w:type="dxa" w:w="20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What breaks it</w:t>
            </w:r>
          </w:p>
        </w:tc>
        <w:tc>
          <w:tcPr>
            <w:tcW w:type="dxa" w:w="24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Pattern gaps — an unpatterned intake cannot be Lean</w:t>
            </w:r>
          </w:p>
        </w:tc>
        <w:tc>
          <w:tcPr>
            <w:tcW w:type="dxa" w:w="2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Checkpoint clustering — too many reviews in one week</w:t>
            </w:r>
          </w:p>
        </w:tc>
        <w:tc>
          <w:tcPr>
            <w:tcW w:type="dxa" w:w="2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Nothing; it simply runs out</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The strategic significance is in the second row. Lean converts a linear cost into a flat one. Every intake routed to Lean after the platform exists is effectively free at the margin. That — not a percentage saving on any individual onboarding — is the case for the investment.</w:t>
      </w:r>
    </w:p>
    <w:p>
      <w:r>
        <w:br w:type="page"/>
      </w:r>
    </w:p>
    <w:p>
      <w:pPr>
        <w:pStyle w:val="Heading1"/>
        <w:spacing w:after="220" w:before="400"/>
      </w:pPr>
      <w:r>
        <w:rPr>
          <w:rFonts w:ascii="Cambria" w:cs="Cambria" w:eastAsia="Cambria" w:hAnsi="Cambria"/>
          <w:b/>
          <w:bCs/>
          <w:color w:val="15304F"/>
          <w:sz w:val="34"/>
          <w:szCs w:val="34"/>
        </w:rPr>
        <w:t xml:space="preserve">Part 3 — The Partner Enablement Platform</w:t>
      </w:r>
    </w:p>
    <w:p>
      <w:pPr>
        <w:pStyle w:val="Heading2"/>
        <w:spacing w:after="170" w:before="320"/>
      </w:pPr>
      <w:r>
        <w:rPr>
          <w:rFonts w:ascii="Cambria" w:cs="Cambria" w:eastAsia="Cambria" w:hAnsi="Cambria"/>
          <w:b/>
          <w:bCs/>
          <w:color w:val="15304F"/>
          <w:sz w:val="27"/>
          <w:szCs w:val="27"/>
        </w:rPr>
        <w:t xml:space="preserve">3.1 Why Lean cannot exist without it</w:t>
      </w:r>
    </w:p>
    <w:p>
      <w:pPr>
        <w:spacing w:after="130" w:before="0"/>
      </w:pPr>
      <w:r>
        <w:rPr>
          <w:rFonts w:ascii="Calibri" w:cs="Calibri" w:eastAsia="Calibri" w:hAnsi="Calibri"/>
          <w:b w:val="false"/>
          <w:bCs w:val="false"/>
          <w:i w:val="false"/>
          <w:iCs w:val="false"/>
          <w:color w:val="1B2432"/>
          <w:sz w:val="21"/>
          <w:szCs w:val="21"/>
        </w:rPr>
        <w:t xml:space="preserve">The lighter tiers are often discussed as a staffing decision: stop assigning engineers and let partners get on with it. That framing guarantees failure. Removing the engineer removes the only thing currently holding the onboarding together — the knowledge of what to do next, the authority to provision, and the judgement to know when something is wrong.</w:t>
      </w:r>
    </w:p>
    <w:p>
      <w:pPr>
        <w:spacing w:after="130" w:before="0"/>
      </w:pPr>
      <w:r>
        <w:rPr>
          <w:rFonts w:ascii="Calibri" w:cs="Calibri" w:eastAsia="Calibri" w:hAnsi="Calibri"/>
          <w:b w:val="false"/>
          <w:bCs w:val="false"/>
          <w:i w:val="false"/>
          <w:iCs w:val="false"/>
          <w:color w:val="1B2432"/>
          <w:sz w:val="21"/>
          <w:szCs w:val="21"/>
        </w:rPr>
        <w:t xml:space="preserve">Lean works only if each of those three things is replaced by something the partner can reach without a person.</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400"/>
        <w:gridCol w:w="3400"/>
        <w:gridCol w:w="3560"/>
      </w:tblGrid>
      <w:tr>
        <w:trPr>
          <w:tblHeader/>
        </w:trPr>
        <w:tc>
          <w:tcPr>
            <w:tcW w:type="dxa" w:w="24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What the engineer provides today</w:t>
            </w:r>
          </w:p>
        </w:tc>
        <w:tc>
          <w:tcPr>
            <w:tcW w:type="dxa" w:w="34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What replaces it in Lean</w:t>
            </w:r>
          </w:p>
        </w:tc>
        <w:tc>
          <w:tcPr>
            <w:tcW w:type="dxa" w:w="35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Platform capability required</w:t>
            </w:r>
          </w:p>
        </w:tc>
      </w:tr>
      <w:tr>
        <w:tc>
          <w:tcPr>
            <w:tcW w:type="dxa" w:w="24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Knowledge of what to do next</w:t>
            </w:r>
          </w:p>
        </w:tc>
        <w:tc>
          <w:tcPr>
            <w:tcW w:type="dxa" w:w="34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published pattern that sequences the work and states what is needed at each step</w:t>
            </w:r>
          </w:p>
        </w:tc>
        <w:tc>
          <w:tcPr>
            <w:tcW w:type="dxa" w:w="3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Pattern catalogue</w:t>
            </w:r>
          </w:p>
        </w:tc>
      </w:tr>
      <w:tr>
        <w:tc>
          <w:tcPr>
            <w:tcW w:type="dxa" w:w="24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Authority to provision</w:t>
            </w:r>
          </w:p>
        </w:tc>
        <w:tc>
          <w:tcPr>
            <w:tcW w:type="dxa" w:w="34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Pre-approved self-service provisioning within policy bounds</w:t>
            </w:r>
          </w:p>
        </w:tc>
        <w:tc>
          <w:tcPr>
            <w:tcW w:type="dxa" w:w="3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Provisioning engine with policy guardrails</w:t>
            </w:r>
          </w:p>
        </w:tc>
      </w:tr>
      <w:tr>
        <w:tc>
          <w:tcPr>
            <w:tcW w:type="dxa" w:w="24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Judgement that something is wrong</w:t>
            </w:r>
          </w:p>
        </w:tc>
        <w:tc>
          <w:tcPr>
            <w:tcW w:type="dxa" w:w="34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Automated validation at every gate with explicit failure reasons</w:t>
            </w:r>
          </w:p>
        </w:tc>
        <w:tc>
          <w:tcPr>
            <w:tcW w:type="dxa" w:w="3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Gate and policy engine</w:t>
            </w:r>
          </w:p>
        </w:tc>
      </w:tr>
      <w:tr>
        <w:tc>
          <w:tcPr>
            <w:tcW w:type="dxa" w:w="24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Memory of what was agreed</w:t>
            </w:r>
          </w:p>
        </w:tc>
        <w:tc>
          <w:tcPr>
            <w:tcW w:type="dxa" w:w="34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durable intake record that carries determinations forward</w:t>
            </w:r>
          </w:p>
        </w:tc>
        <w:tc>
          <w:tcPr>
            <w:tcW w:type="dxa" w:w="3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Enablement record and state store</w:t>
            </w:r>
          </w:p>
        </w:tc>
      </w:tr>
      <w:tr>
        <w:tc>
          <w:tcPr>
            <w:tcW w:type="dxa" w:w="24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Chasing and coordination</w:t>
            </w:r>
          </w:p>
        </w:tc>
        <w:tc>
          <w:tcPr>
            <w:tcW w:type="dxa" w:w="34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Automated ageing, notification and escalation</w:t>
            </w:r>
          </w:p>
        </w:tc>
        <w:tc>
          <w:tcPr>
            <w:tcW w:type="dxa" w:w="3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Workflow and notification layer</w:t>
            </w:r>
          </w:p>
        </w:tc>
      </w:tr>
      <w:tr>
        <w:tc>
          <w:tcPr>
            <w:tcW w:type="dxa" w:w="24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Document production</w:t>
            </w:r>
          </w:p>
        </w:tc>
        <w:tc>
          <w:tcPr>
            <w:tcW w:type="dxa" w:w="34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Generated artefacts from the configuration record</w:t>
            </w:r>
          </w:p>
        </w:tc>
        <w:tc>
          <w:tcPr>
            <w:tcW w:type="dxa" w:w="3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Document generation</w:t>
            </w:r>
          </w:p>
        </w:tc>
      </w:tr>
    </w:tbl>
    <w:p>
      <w:pPr>
        <w:spacing w:after="140"/>
      </w:pPr>
      <w:r>
        <w:t xml:space="preserve"/>
      </w:r>
    </w:p>
    <w:tbl>
      <w:tblPr>
        <w:tblW w:type="dxa" w:w="9360"/>
        <w:tblBorders>
          <w:top w:val="single" w:color="A44A2A" w:sz="6"/>
          <w:left w:val="single" w:color="A44A2A" w:sz="6"/>
          <w:bottom w:val="single" w:color="A44A2A" w:sz="6"/>
          <w:right w:val="single" w:color="A44A2A" w:sz="6"/>
          <w:insideH w:val="none"/>
          <w:insideV w:val="none"/>
        </w:tblBorders>
      </w:tblPr>
      <w:tblGrid>
        <w:gridCol w:w="9360"/>
      </w:tblGrid>
      <w:tr>
        <w:tc>
          <w:tcPr>
            <w:tcW w:type="dxa" w:w="9360"/>
            <w:shd w:fill="FDF5F1" w:color="auto" w:val="clear"/>
            <w:tcMar>
              <w:top w:type="dxa" w:w="140"/>
              <w:left w:type="dxa" w:w="165"/>
              <w:bottom w:type="dxa" w:w="140"/>
              <w:right w:type="dxa" w:w="165"/>
            </w:tcMar>
          </w:tcPr>
          <w:p>
            <w:pPr>
              <w:spacing w:after="85"/>
            </w:pPr>
            <w:r>
              <w:rPr>
                <w:rFonts w:ascii="Calibri" w:cs="Calibri" w:eastAsia="Calibri" w:hAnsi="Calibri"/>
                <w:b/>
                <w:bCs/>
                <w:color w:val="A44A2A"/>
                <w:sz w:val="20"/>
                <w:szCs w:val="20"/>
              </w:rPr>
              <w:t xml:space="preserve">THE DEPENDENCY LEADERSHIP MUST UNDERSTAND</w:t>
            </w:r>
          </w:p>
          <w:p>
            <w:pPr>
              <w:spacing w:after="65"/>
            </w:pPr>
            <w:r>
              <w:rPr>
                <w:rFonts w:ascii="Calibri" w:cs="Calibri" w:eastAsia="Calibri" w:hAnsi="Calibri"/>
                <w:color w:val="1B2432"/>
                <w:sz w:val="20"/>
                <w:szCs w:val="20"/>
              </w:rPr>
              <w:t xml:space="preserve">The three-model structure is not independently deliverable. Lean is a function of the platform; without it, Lean is simply an unsupported partner.</w:t>
            </w:r>
          </w:p>
          <w:p>
            <w:pPr>
              <w:spacing w:after="65"/>
            </w:pPr>
            <w:r>
              <w:rPr>
                <w:rFonts w:ascii="Calibri" w:cs="Calibri" w:eastAsia="Calibri" w:hAnsi="Calibri"/>
                <w:color w:val="1B2432"/>
                <w:sz w:val="20"/>
                <w:szCs w:val="20"/>
              </w:rPr>
              <w:t xml:space="preserve">The sequencing is therefore fixed: build the platform capability for a pattern, then route intakes of that pattern to Lean. Not the reverse.</w:t>
            </w:r>
          </w:p>
          <w:p>
            <w:pPr>
              <w:spacing w:after="65"/>
            </w:pPr>
            <w:r>
              <w:rPr>
                <w:rFonts w:ascii="Calibri" w:cs="Calibri" w:eastAsia="Calibri" w:hAnsi="Calibri"/>
                <w:color w:val="1B2432"/>
                <w:sz w:val="20"/>
                <w:szCs w:val="20"/>
              </w:rPr>
              <w:t xml:space="preserve">This is why the rollout in Part 10 is organised by pattern coverage rather than by date.</w:t>
            </w:r>
          </w:p>
        </w:tc>
      </w:tr>
    </w:tbl>
    <w:p>
      <w:pPr>
        <w:pStyle w:val="Heading2"/>
        <w:spacing w:after="170" w:before="320"/>
      </w:pPr>
      <w:r>
        <w:rPr>
          <w:rFonts w:ascii="Cambria" w:cs="Cambria" w:eastAsia="Cambria" w:hAnsi="Cambria"/>
          <w:b/>
          <w:bCs/>
          <w:color w:val="15304F"/>
          <w:sz w:val="27"/>
          <w:szCs w:val="27"/>
        </w:rPr>
        <w:t xml:space="preserve">3.2 Capability architecture</w:t>
      </w:r>
    </w:p>
    <w:p>
      <w:pPr>
        <w:spacing w:after="130" w:before="0"/>
      </w:pPr>
      <w:r>
        <w:rPr>
          <w:rFonts w:ascii="Calibri" w:cs="Calibri" w:eastAsia="Calibri" w:hAnsi="Calibri"/>
          <w:b w:val="false"/>
          <w:bCs w:val="false"/>
          <w:i w:val="false"/>
          <w:iCs w:val="false"/>
          <w:color w:val="1B2432"/>
          <w:sz w:val="21"/>
          <w:szCs w:val="21"/>
        </w:rPr>
        <w:t xml:space="preserve">The platform is organised as five layers. Each is independently useful, and each is a prerequisite for the one above it.</w:t>
      </w:r>
    </w:p>
    <w:p>
      <w:pPr>
        <w:pStyle w:val="Heading3"/>
        <w:spacing w:after="130" w:before="250"/>
      </w:pPr>
      <w:r>
        <w:rPr>
          <w:rFonts w:ascii="Calibri" w:cs="Calibri" w:eastAsia="Calibri" w:hAnsi="Calibri"/>
          <w:b/>
          <w:bCs/>
          <w:color w:val="1B2432"/>
          <w:sz w:val="23"/>
          <w:szCs w:val="23"/>
        </w:rPr>
        <w:t xml:space="preserve">Layer 1 — Enablement record</w:t>
      </w:r>
    </w:p>
    <w:p>
      <w:pPr>
        <w:spacing w:after="130" w:before="0"/>
      </w:pPr>
      <w:r>
        <w:rPr>
          <w:rFonts w:ascii="Calibri" w:cs="Calibri" w:eastAsia="Calibri" w:hAnsi="Calibri"/>
          <w:b w:val="false"/>
          <w:bCs w:val="false"/>
          <w:i w:val="false"/>
          <w:iCs w:val="false"/>
          <w:color w:val="1B2432"/>
          <w:sz w:val="21"/>
          <w:szCs w:val="21"/>
        </w:rPr>
        <w:t xml:space="preserve">The durable record of an intake: its scope, its tier, every determination made about it, every artefact produced for it, and its current state across all phases. This is the layer that replaces one person's working memory, and everything above it depends on it being authoritative.</w:t>
      </w:r>
    </w:p>
    <w:p>
      <w:pPr>
        <w:pStyle w:val="ListParagraph"/>
        <w:numPr>
          <w:ilvl w:val="0"/>
          <w:numId w:val="3"/>
        </w:numPr>
        <w:spacing w:after="75"/>
      </w:pPr>
      <w:r>
        <w:rPr>
          <w:rFonts w:ascii="Calibri" w:cs="Calibri" w:eastAsia="Calibri" w:hAnsi="Calibri"/>
          <w:color w:val="1B2432"/>
          <w:sz w:val="21"/>
          <w:szCs w:val="21"/>
        </w:rPr>
        <w:t xml:space="preserve">Intake identity, linked to the partner's business application identity</w:t>
      </w:r>
    </w:p>
    <w:p>
      <w:pPr>
        <w:pStyle w:val="ListParagraph"/>
        <w:numPr>
          <w:ilvl w:val="0"/>
          <w:numId w:val="3"/>
        </w:numPr>
        <w:spacing w:after="75"/>
      </w:pPr>
      <w:r>
        <w:rPr>
          <w:rFonts w:ascii="Calibri" w:cs="Calibri" w:eastAsia="Calibri" w:hAnsi="Calibri"/>
          <w:color w:val="1B2432"/>
          <w:sz w:val="21"/>
          <w:szCs w:val="21"/>
        </w:rPr>
        <w:t xml:space="preserve">Tier assignment, the score that produced it, and any subsequent re-tiering with reason</w:t>
      </w:r>
    </w:p>
    <w:p>
      <w:pPr>
        <w:pStyle w:val="ListParagraph"/>
        <w:numPr>
          <w:ilvl w:val="0"/>
          <w:numId w:val="3"/>
        </w:numPr>
        <w:spacing w:after="75"/>
      </w:pPr>
      <w:r>
        <w:rPr>
          <w:rFonts w:ascii="Calibri" w:cs="Calibri" w:eastAsia="Calibri" w:hAnsi="Calibri"/>
          <w:color w:val="1B2432"/>
          <w:sz w:val="21"/>
          <w:szCs w:val="21"/>
        </w:rPr>
        <w:t xml:space="preserve">Determinations carried forward: trust posture, document classification, retention position, volume profile, delivery allocation</w:t>
      </w:r>
    </w:p>
    <w:p>
      <w:pPr>
        <w:pStyle w:val="ListParagraph"/>
        <w:numPr>
          <w:ilvl w:val="0"/>
          <w:numId w:val="3"/>
        </w:numPr>
        <w:spacing w:after="75"/>
      </w:pPr>
      <w:r>
        <w:rPr>
          <w:rFonts w:ascii="Calibri" w:cs="Calibri" w:eastAsia="Calibri" w:hAnsi="Calibri"/>
          <w:color w:val="1B2432"/>
          <w:sz w:val="21"/>
          <w:szCs w:val="21"/>
        </w:rPr>
        <w:t xml:space="preserve">Artefact index: agreement, questionnaire, trackers, transition documentation, sign-offs</w:t>
      </w:r>
    </w:p>
    <w:p>
      <w:pPr>
        <w:pStyle w:val="ListParagraph"/>
        <w:numPr>
          <w:ilvl w:val="0"/>
          <w:numId w:val="3"/>
        </w:numPr>
        <w:spacing w:after="75"/>
      </w:pPr>
      <w:r>
        <w:rPr>
          <w:rFonts w:ascii="Calibri" w:cs="Calibri" w:eastAsia="Calibri" w:hAnsi="Calibri"/>
          <w:color w:val="1B2432"/>
          <w:sz w:val="21"/>
          <w:szCs w:val="21"/>
        </w:rPr>
        <w:t xml:space="preserve">Full audit trail of actions, approvals and the rule or human that authorised each</w:t>
      </w:r>
    </w:p>
    <w:p>
      <w:pPr>
        <w:pStyle w:val="Heading3"/>
        <w:spacing w:after="130" w:before="250"/>
      </w:pPr>
      <w:r>
        <w:rPr>
          <w:rFonts w:ascii="Calibri" w:cs="Calibri" w:eastAsia="Calibri" w:hAnsi="Calibri"/>
          <w:b/>
          <w:bCs/>
          <w:color w:val="1B2432"/>
          <w:sz w:val="23"/>
          <w:szCs w:val="23"/>
        </w:rPr>
        <w:t xml:space="preserve">Layer 2 — Pattern catalogue</w:t>
      </w:r>
    </w:p>
    <w:p>
      <w:pPr>
        <w:spacing w:after="130" w:before="0"/>
      </w:pPr>
      <w:r>
        <w:rPr>
          <w:rFonts w:ascii="Calibri" w:cs="Calibri" w:eastAsia="Calibri" w:hAnsi="Calibri"/>
          <w:b w:val="false"/>
          <w:bCs w:val="false"/>
          <w:i w:val="false"/>
          <w:iCs w:val="false"/>
          <w:color w:val="1B2432"/>
          <w:sz w:val="21"/>
          <w:szCs w:val="21"/>
        </w:rPr>
        <w:t xml:space="preserve">The core asset. Each pattern is a versioned, executable description of a known onboarding shape: the sequence of steps, the configuration it produces, the validations it must pass, and the variations it tolerates. Described at length in section 3.3.</w:t>
      </w:r>
    </w:p>
    <w:p>
      <w:pPr>
        <w:pStyle w:val="Heading3"/>
        <w:spacing w:after="130" w:before="250"/>
      </w:pPr>
      <w:r>
        <w:rPr>
          <w:rFonts w:ascii="Calibri" w:cs="Calibri" w:eastAsia="Calibri" w:hAnsi="Calibri"/>
          <w:b/>
          <w:bCs/>
          <w:color w:val="1B2432"/>
          <w:sz w:val="23"/>
          <w:szCs w:val="23"/>
        </w:rPr>
        <w:t xml:space="preserve">Layer 3 — Provisioning engine</w:t>
      </w:r>
    </w:p>
    <w:p>
      <w:pPr>
        <w:spacing w:after="130" w:before="0"/>
      </w:pPr>
      <w:r>
        <w:rPr>
          <w:rFonts w:ascii="Calibri" w:cs="Calibri" w:eastAsia="Calibri" w:hAnsi="Calibri"/>
          <w:b w:val="false"/>
          <w:bCs w:val="false"/>
          <w:i w:val="false"/>
          <w:iCs w:val="false"/>
          <w:color w:val="1B2432"/>
          <w:sz w:val="21"/>
          <w:szCs w:val="21"/>
        </w:rPr>
        <w:t xml:space="preserve">Turns a selected pattern and a completed intake into actual configuration — gateway subscriptions, notification topics, consumer groups, repository profiles, access requests, credentials — within bounds that policy has pre-approved.</w:t>
      </w:r>
    </w:p>
    <w:p>
      <w:pPr>
        <w:pStyle w:val="ListParagraph"/>
        <w:numPr>
          <w:ilvl w:val="0"/>
          <w:numId w:val="3"/>
        </w:numPr>
        <w:spacing w:after="75"/>
      </w:pPr>
      <w:r>
        <w:rPr>
          <w:rFonts w:ascii="Calibri" w:cs="Calibri" w:eastAsia="Calibri" w:hAnsi="Calibri"/>
          <w:color w:val="1B2432"/>
          <w:sz w:val="21"/>
          <w:szCs w:val="21"/>
        </w:rPr>
        <w:t xml:space="preserve">Executes only what the pattern declares, with parameters drawn from the enablement record</w:t>
      </w:r>
    </w:p>
    <w:p>
      <w:pPr>
        <w:pStyle w:val="ListParagraph"/>
        <w:numPr>
          <w:ilvl w:val="0"/>
          <w:numId w:val="3"/>
        </w:numPr>
        <w:spacing w:after="75"/>
      </w:pPr>
      <w:r>
        <w:rPr>
          <w:rFonts w:ascii="Calibri" w:cs="Calibri" w:eastAsia="Calibri" w:hAnsi="Calibri"/>
          <w:color w:val="1B2432"/>
          <w:sz w:val="21"/>
          <w:szCs w:val="21"/>
        </w:rPr>
        <w:t xml:space="preserve">Resolves routing (which project, which access path, which environment account) from the record rather than from operator knowledge</w:t>
      </w:r>
    </w:p>
    <w:p>
      <w:pPr>
        <w:pStyle w:val="ListParagraph"/>
        <w:numPr>
          <w:ilvl w:val="0"/>
          <w:numId w:val="3"/>
        </w:numPr>
        <w:spacing w:after="75"/>
      </w:pPr>
      <w:r>
        <w:rPr>
          <w:rFonts w:ascii="Calibri" w:cs="Calibri" w:eastAsia="Calibri" w:hAnsi="Calibri"/>
          <w:color w:val="1B2432"/>
          <w:sz w:val="21"/>
          <w:szCs w:val="21"/>
        </w:rPr>
        <w:t xml:space="preserve">Refuses rather than guesses when a parameter cannot be resolved</w:t>
      </w:r>
    </w:p>
    <w:p>
      <w:pPr>
        <w:pStyle w:val="ListParagraph"/>
        <w:numPr>
          <w:ilvl w:val="0"/>
          <w:numId w:val="3"/>
        </w:numPr>
        <w:spacing w:after="75"/>
      </w:pPr>
      <w:r>
        <w:rPr>
          <w:rFonts w:ascii="Calibri" w:cs="Calibri" w:eastAsia="Calibri" w:hAnsi="Calibri"/>
          <w:color w:val="1B2432"/>
          <w:sz w:val="21"/>
          <w:szCs w:val="21"/>
        </w:rPr>
        <w:t xml:space="preserve">Writes every action back to the audit trail</w:t>
      </w:r>
    </w:p>
    <w:p>
      <w:pPr>
        <w:pStyle w:val="Heading3"/>
        <w:spacing w:after="130" w:before="250"/>
      </w:pPr>
      <w:r>
        <w:rPr>
          <w:rFonts w:ascii="Calibri" w:cs="Calibri" w:eastAsia="Calibri" w:hAnsi="Calibri"/>
          <w:b/>
          <w:bCs/>
          <w:color w:val="1B2432"/>
          <w:sz w:val="23"/>
          <w:szCs w:val="23"/>
        </w:rPr>
        <w:t xml:space="preserve">Layer 4 — Gate and policy engine</w:t>
      </w:r>
    </w:p>
    <w:p>
      <w:pPr>
        <w:spacing w:after="130" w:before="0"/>
      </w:pPr>
      <w:r>
        <w:rPr>
          <w:rFonts w:ascii="Calibri" w:cs="Calibri" w:eastAsia="Calibri" w:hAnsi="Calibri"/>
          <w:b w:val="false"/>
          <w:bCs w:val="false"/>
          <w:i w:val="false"/>
          <w:iCs w:val="false"/>
          <w:color w:val="1B2432"/>
          <w:sz w:val="21"/>
          <w:szCs w:val="21"/>
        </w:rPr>
        <w:t xml:space="preserve">Evaluates whether an intake may advance, independently of who is asking. The gates are the invariants from section 2.6, expressed as executable checks.</w:t>
      </w:r>
    </w:p>
    <w:p>
      <w:pPr>
        <w:pStyle w:val="ListParagraph"/>
        <w:numPr>
          <w:ilvl w:val="0"/>
          <w:numId w:val="3"/>
        </w:numPr>
        <w:spacing w:after="75"/>
      </w:pPr>
      <w:r>
        <w:rPr>
          <w:rFonts w:ascii="Calibri" w:cs="Calibri" w:eastAsia="Calibri" w:hAnsi="Calibri"/>
          <w:color w:val="1B2432"/>
          <w:sz w:val="21"/>
          <w:szCs w:val="21"/>
        </w:rPr>
        <w:t xml:space="preserve">Every gate returns pass, fail with an explicit itemised reason, or pending-human-decision</w:t>
      </w:r>
    </w:p>
    <w:p>
      <w:pPr>
        <w:pStyle w:val="ListParagraph"/>
        <w:numPr>
          <w:ilvl w:val="0"/>
          <w:numId w:val="3"/>
        </w:numPr>
        <w:spacing w:after="75"/>
      </w:pPr>
      <w:r>
        <w:rPr>
          <w:rFonts w:ascii="Calibri" w:cs="Calibri" w:eastAsia="Calibri" w:hAnsi="Calibri"/>
          <w:color w:val="1B2432"/>
          <w:sz w:val="21"/>
          <w:szCs w:val="21"/>
        </w:rPr>
        <w:t xml:space="preserve">Gates are identical across tiers; only who clears them differs</w:t>
      </w:r>
    </w:p>
    <w:p>
      <w:pPr>
        <w:pStyle w:val="ListParagraph"/>
        <w:numPr>
          <w:ilvl w:val="0"/>
          <w:numId w:val="3"/>
        </w:numPr>
        <w:spacing w:after="75"/>
      </w:pPr>
      <w:r>
        <w:rPr>
          <w:rFonts w:ascii="Calibri" w:cs="Calibri" w:eastAsia="Calibri" w:hAnsi="Calibri"/>
          <w:color w:val="1B2432"/>
          <w:sz w:val="21"/>
          <w:szCs w:val="21"/>
        </w:rPr>
        <w:t xml:space="preserve">A failed gate blocks promotion and routes to the owner of the failing item</w:t>
      </w:r>
    </w:p>
    <w:p>
      <w:pPr>
        <w:pStyle w:val="ListParagraph"/>
        <w:numPr>
          <w:ilvl w:val="0"/>
          <w:numId w:val="3"/>
        </w:numPr>
        <w:spacing w:after="75"/>
      </w:pPr>
      <w:r>
        <w:rPr>
          <w:rFonts w:ascii="Calibri" w:cs="Calibri" w:eastAsia="Calibri" w:hAnsi="Calibri"/>
          <w:color w:val="1B2432"/>
          <w:sz w:val="21"/>
          <w:szCs w:val="21"/>
        </w:rPr>
        <w:t xml:space="preserve">Gate state is visible to the partner, so they are never waiting without knowing why</w:t>
      </w:r>
    </w:p>
    <w:p>
      <w:pPr>
        <w:pStyle w:val="Heading3"/>
        <w:spacing w:after="130" w:before="250"/>
      </w:pPr>
      <w:r>
        <w:rPr>
          <w:rFonts w:ascii="Calibri" w:cs="Calibri" w:eastAsia="Calibri" w:hAnsi="Calibri"/>
          <w:b/>
          <w:bCs/>
          <w:color w:val="1B2432"/>
          <w:sz w:val="23"/>
          <w:szCs w:val="23"/>
        </w:rPr>
        <w:t xml:space="preserve">Layer 5 — Partner cockpit and clinic</w:t>
      </w:r>
    </w:p>
    <w:p>
      <w:pPr>
        <w:spacing w:after="130" w:before="0"/>
      </w:pPr>
      <w:r>
        <w:rPr>
          <w:rFonts w:ascii="Calibri" w:cs="Calibri" w:eastAsia="Calibri" w:hAnsi="Calibri"/>
          <w:b w:val="false"/>
          <w:bCs w:val="false"/>
          <w:i w:val="false"/>
          <w:iCs w:val="false"/>
          <w:color w:val="1B2432"/>
          <w:sz w:val="21"/>
          <w:szCs w:val="21"/>
        </w:rPr>
        <w:t xml:space="preserve">The partner-facing surface: where an intake is raised, where its state is visible, where self-service actions are taken, where clinic slots are booked, and where generated artefacts are collected.</w:t>
      </w:r>
    </w:p>
    <w:p>
      <w:pPr>
        <w:pStyle w:val="Heading2"/>
        <w:spacing w:after="170" w:before="320"/>
      </w:pPr>
      <w:r>
        <w:rPr>
          <w:rFonts w:ascii="Cambria" w:cs="Cambria" w:eastAsia="Cambria" w:hAnsi="Cambria"/>
          <w:b/>
          <w:bCs/>
          <w:color w:val="15304F"/>
          <w:sz w:val="27"/>
          <w:szCs w:val="27"/>
        </w:rPr>
        <w:t xml:space="preserve">3.3 The pattern catalogue — the asset that decides whether this works</w:t>
      </w:r>
    </w:p>
    <w:p>
      <w:pPr>
        <w:spacing w:after="130" w:before="0"/>
      </w:pPr>
      <w:r>
        <w:rPr>
          <w:rFonts w:ascii="Calibri" w:cs="Calibri" w:eastAsia="Calibri" w:hAnsi="Calibri"/>
          <w:b w:val="false"/>
          <w:bCs w:val="false"/>
          <w:i w:val="false"/>
          <w:iCs w:val="false"/>
          <w:color w:val="1B2432"/>
          <w:sz w:val="21"/>
          <w:szCs w:val="21"/>
        </w:rPr>
        <w:t xml:space="preserve">Everything in the model reduces to one question: has the platform built this shape before? The pattern catalogue is how that question gets an answer that is not a person's recollection.</w:t>
      </w:r>
    </w:p>
    <w:p>
      <w:pPr>
        <w:pStyle w:val="Heading3"/>
        <w:spacing w:after="130" w:before="250"/>
      </w:pPr>
      <w:r>
        <w:rPr>
          <w:rFonts w:ascii="Calibri" w:cs="Calibri" w:eastAsia="Calibri" w:hAnsi="Calibri"/>
          <w:b/>
          <w:bCs/>
          <w:color w:val="1B2432"/>
          <w:sz w:val="23"/>
          <w:szCs w:val="23"/>
        </w:rPr>
        <w:t xml:space="preserve">What a pattern contains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300"/>
        <w:gridCol w:w="7060"/>
      </w:tblGrid>
      <w:tr>
        <w:trPr>
          <w:tblHeader/>
        </w:trPr>
        <w:tc>
          <w:tcPr>
            <w:tcW w:type="dxa" w:w="23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Element</w:t>
            </w:r>
          </w:p>
        </w:tc>
        <w:tc>
          <w:tcPr>
            <w:tcW w:type="dxa" w:w="70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Content</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Identity and version</w:t>
            </w:r>
          </w:p>
        </w:tc>
        <w:tc>
          <w:tcPr>
            <w:tcW w:type="dxa" w:w="70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stable identifier and a version. Patterns evolve; an intake records which version it instantiated.</w:t>
            </w:r>
          </w:p>
        </w:tc>
      </w:tr>
      <w:tr>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Applicability</w:t>
            </w:r>
          </w:p>
        </w:tc>
        <w:tc>
          <w:tcPr>
            <w:tcW w:type="dxa" w:w="70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conditions under which this pattern applies — channel, trust posture, regulatory status, content type, volume band.</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Step sequence</w:t>
            </w:r>
          </w:p>
        </w:tc>
        <w:tc>
          <w:tcPr>
            <w:tcW w:type="dxa" w:w="70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ordered work, with owner per step, split by who performs it in each tier.</w:t>
            </w:r>
          </w:p>
        </w:tc>
      </w:tr>
      <w:tr>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Configuration template</w:t>
            </w:r>
          </w:p>
        </w:tc>
        <w:tc>
          <w:tcPr>
            <w:tcW w:type="dxa" w:w="70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platform configuration the pattern produces, parameterised against intake values.</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Required inputs</w:t>
            </w:r>
          </w:p>
        </w:tc>
        <w:tc>
          <w:tcPr>
            <w:tcW w:type="dxa" w:w="70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What the partner must supply, with validation rules for each.</w:t>
            </w:r>
          </w:p>
        </w:tc>
      </w:tr>
      <w:tr>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Gate set</w:t>
            </w:r>
          </w:p>
        </w:tc>
        <w:tc>
          <w:tcPr>
            <w:tcW w:type="dxa" w:w="70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Which gates apply, and the evidence each requires.</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Tolerated variation</w:t>
            </w:r>
          </w:p>
        </w:tc>
        <w:tc>
          <w:tcPr>
            <w:tcW w:type="dxa" w:w="70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parameters that may differ between instances without making the intake novel.</w:t>
            </w:r>
          </w:p>
        </w:tc>
      </w:tr>
      <w:tr>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Escalation triggers</w:t>
            </w:r>
          </w:p>
        </w:tc>
        <w:tc>
          <w:tcPr>
            <w:tcW w:type="dxa" w:w="70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conditions that invalidate this pattern for a given intake and force re-tiering.</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Generated artefacts</w:t>
            </w:r>
          </w:p>
        </w:tc>
        <w:tc>
          <w:tcPr>
            <w:tcW w:type="dxa" w:w="70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documentation, collections and runbooks produced on completion.</w:t>
            </w:r>
          </w:p>
        </w:tc>
      </w:tr>
      <w:tr>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Precedent</w:t>
            </w:r>
          </w:p>
        </w:tc>
        <w:tc>
          <w:tcPr>
            <w:tcW w:type="dxa" w:w="70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Prior intakes that used this pattern, with outcomes and known difficulties.</w:t>
            </w:r>
          </w:p>
        </w:tc>
      </w:tr>
    </w:tbl>
    <w:p>
      <w:pPr>
        <w:spacing w:after="140"/>
      </w:pPr>
      <w:r>
        <w:t xml:space="preserve"/>
      </w:r>
    </w:p>
    <w:p>
      <w:pPr>
        <w:pStyle w:val="Heading3"/>
        <w:spacing w:after="130" w:before="250"/>
      </w:pPr>
      <w:r>
        <w:rPr>
          <w:rFonts w:ascii="Calibri" w:cs="Calibri" w:eastAsia="Calibri" w:hAnsi="Calibri"/>
          <w:b/>
          <w:bCs/>
          <w:color w:val="1B2432"/>
          <w:sz w:val="23"/>
          <w:szCs w:val="23"/>
        </w:rPr>
        <w:t xml:space="preserve">How patterns are born</w:t>
      </w:r>
    </w:p>
    <w:p>
      <w:pPr>
        <w:spacing w:after="130" w:before="0"/>
      </w:pPr>
      <w:r>
        <w:rPr>
          <w:rFonts w:ascii="Calibri" w:cs="Calibri" w:eastAsia="Calibri" w:hAnsi="Calibri"/>
          <w:b w:val="false"/>
          <w:bCs w:val="false"/>
          <w:i w:val="false"/>
          <w:iCs w:val="false"/>
          <w:color w:val="1B2432"/>
          <w:sz w:val="21"/>
          <w:szCs w:val="21"/>
        </w:rPr>
        <w:t xml:space="preserve">A pattern is not designed speculatively. It is harvested from a completed Dedicated intake.</w:t>
      </w:r>
    </w:p>
    <w:p>
      <w:pPr>
        <w:pStyle w:val="ListParagraph"/>
        <w:numPr>
          <w:ilvl w:val="0"/>
          <w:numId w:val="4"/>
        </w:numPr>
        <w:spacing w:after="75"/>
      </w:pPr>
      <w:r>
        <w:rPr>
          <w:rFonts w:ascii="Calibri" w:cs="Calibri" w:eastAsia="Calibri" w:hAnsi="Calibri"/>
          <w:color w:val="1B2432"/>
          <w:sz w:val="21"/>
          <w:szCs w:val="21"/>
        </w:rPr>
        <w:t xml:space="preserve">A Dedicated pod delivers a novel intake end to end.</w:t>
      </w:r>
    </w:p>
    <w:p>
      <w:pPr>
        <w:pStyle w:val="ListParagraph"/>
        <w:numPr>
          <w:ilvl w:val="0"/>
          <w:numId w:val="4"/>
        </w:numPr>
        <w:spacing w:after="75"/>
      </w:pPr>
      <w:r>
        <w:rPr>
          <w:rFonts w:ascii="Calibri" w:cs="Calibri" w:eastAsia="Calibri" w:hAnsi="Calibri"/>
          <w:color w:val="1B2432"/>
          <w:sz w:val="21"/>
          <w:szCs w:val="21"/>
        </w:rPr>
        <w:t xml:space="preserve">At closure, the pod is required to produce a pattern candidate from what was built — not a retrospective document, but a parameterised description of the configuration and the sequence.</w:t>
      </w:r>
    </w:p>
    <w:p>
      <w:pPr>
        <w:pStyle w:val="ListParagraph"/>
        <w:numPr>
          <w:ilvl w:val="0"/>
          <w:numId w:val="4"/>
        </w:numPr>
        <w:spacing w:after="75"/>
      </w:pPr>
      <w:r>
        <w:rPr>
          <w:rFonts w:ascii="Calibri" w:cs="Calibri" w:eastAsia="Calibri" w:hAnsi="Calibri"/>
          <w:color w:val="1B2432"/>
          <w:sz w:val="21"/>
          <w:szCs w:val="21"/>
        </w:rPr>
        <w:t xml:space="preserve">Platform engineering hardens the candidate: generalises the parameters, adds validation, wires the gates, and builds the self-service provisioning for it.</w:t>
      </w:r>
    </w:p>
    <w:p>
      <w:pPr>
        <w:pStyle w:val="ListParagraph"/>
        <w:numPr>
          <w:ilvl w:val="0"/>
          <w:numId w:val="4"/>
        </w:numPr>
        <w:spacing w:after="75"/>
      </w:pPr>
      <w:r>
        <w:rPr>
          <w:rFonts w:ascii="Calibri" w:cs="Calibri" w:eastAsia="Calibri" w:hAnsi="Calibri"/>
          <w:color w:val="1B2432"/>
          <w:sz w:val="21"/>
          <w:szCs w:val="21"/>
        </w:rPr>
        <w:t xml:space="preserve">The pattern enters the catalogue at a maturity level, and intakes matching it become eligible for the lighter tiers.</w:t>
      </w:r>
    </w:p>
    <w:tbl>
      <w:tblPr>
        <w:tblW w:type="dxa" w:w="9360"/>
        <w:tblBorders>
          <w:top w:val="single" w:color="15304F" w:sz="6"/>
          <w:left w:val="single" w:color="15304F" w:sz="6"/>
          <w:bottom w:val="single" w:color="15304F" w:sz="6"/>
          <w:right w:val="single" w:color="15304F" w:sz="6"/>
          <w:insideH w:val="none"/>
          <w:insideV w:val="none"/>
        </w:tblBorders>
      </w:tblPr>
      <w:tblGrid>
        <w:gridCol w:w="9360"/>
      </w:tblGrid>
      <w:tr>
        <w:tc>
          <w:tcPr>
            <w:tcW w:type="dxa" w:w="9360"/>
            <w:shd w:fill="EEF2F7" w:color="auto" w:val="clear"/>
            <w:tcMar>
              <w:top w:type="dxa" w:w="140"/>
              <w:left w:type="dxa" w:w="165"/>
              <w:bottom w:type="dxa" w:w="140"/>
              <w:right w:type="dxa" w:w="165"/>
            </w:tcMar>
          </w:tcPr>
          <w:p>
            <w:pPr>
              <w:spacing w:after="85"/>
            </w:pPr>
            <w:r>
              <w:rPr>
                <w:rFonts w:ascii="Calibri" w:cs="Calibri" w:eastAsia="Calibri" w:hAnsi="Calibri"/>
                <w:b/>
                <w:bCs/>
                <w:color w:val="15304F"/>
                <w:sz w:val="20"/>
                <w:szCs w:val="20"/>
              </w:rPr>
              <w:t xml:space="preserve">THIS IS THE ENGINE OF THE WHOLE MODEL</w:t>
            </w:r>
          </w:p>
          <w:p>
            <w:pPr>
              <w:spacing w:after="65"/>
            </w:pPr>
            <w:r>
              <w:rPr>
                <w:rFonts w:ascii="Calibri" w:cs="Calibri" w:eastAsia="Calibri" w:hAnsi="Calibri"/>
                <w:color w:val="1B2432"/>
                <w:sz w:val="20"/>
                <w:szCs w:val="20"/>
              </w:rPr>
              <w:t xml:space="preserve">Dedicated work is not just delivery. It is pattern acquisition. Every Dedicated intake is expected to leave behind a reusable pattern that moves future intakes of that shape into a lighter tier.</w:t>
            </w:r>
          </w:p>
          <w:p>
            <w:pPr>
              <w:spacing w:after="65"/>
            </w:pPr>
            <w:r>
              <w:rPr>
                <w:rFonts w:ascii="Calibri" w:cs="Calibri" w:eastAsia="Calibri" w:hAnsi="Calibri"/>
                <w:color w:val="1B2432"/>
                <w:sz w:val="20"/>
                <w:szCs w:val="20"/>
              </w:rPr>
              <w:t xml:space="preserve">That expectation must be built into how Dedicated pods are measured. A pod that delivers a partner successfully but produces no reusable pattern has only done half its job.</w:t>
            </w:r>
          </w:p>
          <w:p>
            <w:pPr>
              <w:spacing w:after="65"/>
            </w:pPr>
            <w:r>
              <w:rPr>
                <w:rFonts w:ascii="Calibri" w:cs="Calibri" w:eastAsia="Calibri" w:hAnsi="Calibri"/>
                <w:color w:val="1B2432"/>
                <w:sz w:val="20"/>
                <w:szCs w:val="20"/>
              </w:rPr>
              <w:t xml:space="preserve">Over time this shifts the distribution: the proportion of intakes eligible for Lean rises as a direct consequence of Dedicated work already done.</w:t>
            </w:r>
          </w:p>
        </w:tc>
      </w:tr>
    </w:tbl>
    <w:p>
      <w:pPr>
        <w:pStyle w:val="Heading3"/>
        <w:spacing w:after="130" w:before="250"/>
      </w:pPr>
      <w:r>
        <w:rPr>
          <w:rFonts w:ascii="Calibri" w:cs="Calibri" w:eastAsia="Calibri" w:hAnsi="Calibri"/>
          <w:b/>
          <w:bCs/>
          <w:color w:val="1B2432"/>
          <w:sz w:val="23"/>
          <w:szCs w:val="23"/>
        </w:rPr>
        <w:t xml:space="preserve">Pattern maturity levels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1500"/>
        <w:gridCol w:w="2600"/>
        <w:gridCol w:w="2630"/>
        <w:gridCol w:w="2630"/>
      </w:tblGrid>
      <w:tr>
        <w:trPr>
          <w:tblHeader/>
        </w:trPr>
        <w:tc>
          <w:tcPr>
            <w:tcW w:type="dxa" w:w="1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Level</w:t>
            </w:r>
          </w:p>
        </w:tc>
        <w:tc>
          <w:tcPr>
            <w:tcW w:type="dxa" w:w="26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Meaning</w:t>
            </w:r>
          </w:p>
        </w:tc>
        <w:tc>
          <w:tcPr>
            <w:tcW w:type="dxa" w:w="263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Tiers it supports</w:t>
            </w:r>
          </w:p>
        </w:tc>
        <w:tc>
          <w:tcPr>
            <w:tcW w:type="dxa" w:w="263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What is still missing</w:t>
            </w:r>
          </w:p>
        </w:tc>
      </w:tr>
      <w:tr>
        <w:tc>
          <w:tcPr>
            <w:tcW w:type="dxa" w:w="1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M0 — Observed</w:t>
            </w:r>
          </w:p>
        </w:tc>
        <w:tc>
          <w:tcPr>
            <w:tcW w:type="dxa" w:w="26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Delivered once; documented but not generalised</w:t>
            </w:r>
          </w:p>
        </w:tc>
        <w:tc>
          <w:tcPr>
            <w:tcW w:type="dxa" w:w="263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Dedicated only</w:t>
            </w:r>
          </w:p>
        </w:tc>
        <w:tc>
          <w:tcPr>
            <w:tcW w:type="dxa" w:w="263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Parameterisation, validation, provisioning</w:t>
            </w:r>
          </w:p>
        </w:tc>
      </w:tr>
      <w:tr>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M1 — Described</w:t>
            </w:r>
          </w:p>
        </w:tc>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Generalised description with required inputs defined</w:t>
            </w:r>
          </w:p>
        </w:tc>
        <w:tc>
          <w:tcPr>
            <w:tcW w:type="dxa" w:w="263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Dedicated, Lean+</w:t>
            </w:r>
          </w:p>
        </w:tc>
        <w:tc>
          <w:tcPr>
            <w:tcW w:type="dxa" w:w="263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Self-service provisioning and automated gates</w:t>
            </w:r>
          </w:p>
        </w:tc>
      </w:tr>
      <w:tr>
        <w:tc>
          <w:tcPr>
            <w:tcW w:type="dxa" w:w="1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M2 — Validated</w:t>
            </w:r>
          </w:p>
        </w:tc>
        <w:tc>
          <w:tcPr>
            <w:tcW w:type="dxa" w:w="26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Automated gates in place; configuration generated, applied with review</w:t>
            </w:r>
          </w:p>
        </w:tc>
        <w:tc>
          <w:tcPr>
            <w:tcW w:type="dxa" w:w="263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Lean+</w:t>
            </w:r>
          </w:p>
        </w:tc>
        <w:tc>
          <w:tcPr>
            <w:tcW w:type="dxa" w:w="263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Unattended provisioning</w:t>
            </w:r>
          </w:p>
        </w:tc>
      </w:tr>
      <w:tr>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M3 — Self-service</w:t>
            </w:r>
          </w:p>
        </w:tc>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Fully provisionable by the partner within policy bounds</w:t>
            </w:r>
          </w:p>
        </w:tc>
        <w:tc>
          <w:tcPr>
            <w:tcW w:type="dxa" w:w="263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Lean, Lean+</w:t>
            </w:r>
          </w:p>
        </w:tc>
        <w:tc>
          <w:tcPr>
            <w:tcW w:type="dxa" w:w="263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Nothing — mature</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An intake can only be tiered to Lean if its pattern has reached M3. This gives the tiering rubric in Part 4 an objective constraint it cannot argue its way around, and it gives platform engineering a clear backlog: move high-frequency patterns up the maturity ladder.</w:t>
      </w:r>
    </w:p>
    <w:p>
      <w:pPr>
        <w:pStyle w:val="Heading2"/>
        <w:spacing w:after="170" w:before="320"/>
      </w:pPr>
      <w:r>
        <w:rPr>
          <w:rFonts w:ascii="Cambria" w:cs="Cambria" w:eastAsia="Cambria" w:hAnsi="Cambria"/>
          <w:b/>
          <w:bCs/>
          <w:color w:val="15304F"/>
          <w:sz w:val="27"/>
          <w:szCs w:val="27"/>
        </w:rPr>
        <w:t xml:space="preserve">3.4 Self-service provisioning, bounded by policy</w:t>
      </w:r>
    </w:p>
    <w:p>
      <w:pPr>
        <w:spacing w:after="130" w:before="0"/>
      </w:pPr>
      <w:r>
        <w:rPr>
          <w:rFonts w:ascii="Calibri" w:cs="Calibri" w:eastAsia="Calibri" w:hAnsi="Calibri"/>
          <w:b w:val="false"/>
          <w:bCs w:val="false"/>
          <w:i w:val="false"/>
          <w:iCs w:val="false"/>
          <w:color w:val="1B2432"/>
          <w:sz w:val="21"/>
          <w:szCs w:val="21"/>
        </w:rPr>
        <w:t xml:space="preserve">Self-service is the capability most likely to attract objection, so the bounds must be explicit.</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700"/>
        <w:gridCol w:w="3300"/>
        <w:gridCol w:w="3360"/>
      </w:tblGrid>
      <w:tr>
        <w:trPr>
          <w:tblHeader/>
        </w:trPr>
        <w:tc>
          <w:tcPr>
            <w:tcW w:type="dxa" w:w="27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Action</w:t>
            </w:r>
          </w:p>
        </w:tc>
        <w:tc>
          <w:tcPr>
            <w:tcW w:type="dxa" w:w="33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Self-service in Lean?</w:t>
            </w:r>
          </w:p>
        </w:tc>
        <w:tc>
          <w:tcPr>
            <w:tcW w:type="dxa" w:w="33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Bound</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Gateway subscription to an approved API product</w:t>
            </w:r>
          </w:p>
        </w:tc>
        <w:tc>
          <w:tcPr>
            <w:tcW w:type="dxa" w:w="3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Yes</w:t>
            </w:r>
          </w:p>
        </w:tc>
        <w:tc>
          <w:tcPr>
            <w:tcW w:type="dxa" w:w="3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Only products the partner's application identity is entitled to; tier limits enforced</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Consumer group creation on an existing topic</w:t>
            </w:r>
          </w:p>
        </w:tc>
        <w:tc>
          <w:tcPr>
            <w:tcW w:type="dxa" w:w="3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Yes</w:t>
            </w:r>
          </w:p>
        </w:tc>
        <w:tc>
          <w:tcPr>
            <w:tcW w:type="dxa" w:w="3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Only topics the pattern declares; naming and retention policy enforced</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Repository profile instantiation from a template</w:t>
            </w:r>
          </w:p>
        </w:tc>
        <w:tc>
          <w:tcPr>
            <w:tcW w:type="dxa" w:w="3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Yes</w:t>
            </w:r>
          </w:p>
        </w:tc>
        <w:tc>
          <w:tcPr>
            <w:tcW w:type="dxa" w:w="3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Only where classification and retention are already determined and registered</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Non-production access and credentials</w:t>
            </w:r>
          </w:p>
        </w:tc>
        <w:tc>
          <w:tcPr>
            <w:tcW w:type="dxa" w:w="3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Yes</w:t>
            </w:r>
          </w:p>
        </w:tc>
        <w:tc>
          <w:tcPr>
            <w:tcW w:type="dxa" w:w="3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Within the partner's own application scope</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Production access and credentials</w:t>
            </w:r>
          </w:p>
        </w:tc>
        <w:tc>
          <w:tcPr>
            <w:tcW w:type="dxa" w:w="3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w:t>
            </w:r>
          </w:p>
        </w:tc>
        <w:tc>
          <w:tcPr>
            <w:tcW w:type="dxa" w:w="3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Requires security approval regardless of tier</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New document type or classification</w:t>
            </w:r>
          </w:p>
        </w:tc>
        <w:tc>
          <w:tcPr>
            <w:tcW w:type="dxa" w:w="3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w:t>
            </w:r>
          </w:p>
        </w:tc>
        <w:tc>
          <w:tcPr>
            <w:tcW w:type="dxa" w:w="3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Governance determination required, always</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Retention configuration</w:t>
            </w:r>
          </w:p>
        </w:tc>
        <w:tc>
          <w:tcPr>
            <w:tcW w:type="dxa" w:w="3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w:t>
            </w:r>
          </w:p>
        </w:tc>
        <w:tc>
          <w:tcPr>
            <w:tcW w:type="dxa" w:w="3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Records management owns this in every tier</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Environment promotion</w:t>
            </w:r>
          </w:p>
        </w:tc>
        <w:tc>
          <w:tcPr>
            <w:tcW w:type="dxa" w:w="3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w:t>
            </w:r>
          </w:p>
        </w:tc>
        <w:tc>
          <w:tcPr>
            <w:tcW w:type="dxa" w:w="3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Gate engine evaluates; promotion is never a partner action</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New API product or topic creation</w:t>
            </w:r>
          </w:p>
        </w:tc>
        <w:tc>
          <w:tcPr>
            <w:tcW w:type="dxa" w:w="3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w:t>
            </w:r>
          </w:p>
        </w:tc>
        <w:tc>
          <w:tcPr>
            <w:tcW w:type="dxa" w:w="3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Platform change, not a partner action</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The pattern holds across the table: partners may self-serve the instantiation of things that already exist and have already been approved in principle. They may never self-serve the creation of a new approval, a new classification, or a new platform object.</w:t>
      </w:r>
    </w:p>
    <w:p>
      <w:pPr>
        <w:pStyle w:val="Heading2"/>
        <w:spacing w:after="170" w:before="320"/>
      </w:pPr>
      <w:r>
        <w:rPr>
          <w:rFonts w:ascii="Cambria" w:cs="Cambria" w:eastAsia="Cambria" w:hAnsi="Cambria"/>
          <w:b/>
          <w:bCs/>
          <w:color w:val="15304F"/>
          <w:sz w:val="27"/>
          <w:szCs w:val="27"/>
        </w:rPr>
        <w:t xml:space="preserve">3.5 Observability — the partner cockpit</w:t>
      </w:r>
    </w:p>
    <w:p>
      <w:pPr>
        <w:spacing w:after="130" w:before="0"/>
      </w:pPr>
      <w:r>
        <w:rPr>
          <w:rFonts w:ascii="Calibri" w:cs="Calibri" w:eastAsia="Calibri" w:hAnsi="Calibri"/>
          <w:b w:val="false"/>
          <w:bCs w:val="false"/>
          <w:i w:val="false"/>
          <w:iCs w:val="false"/>
          <w:color w:val="1B2432"/>
          <w:sz w:val="21"/>
          <w:szCs w:val="21"/>
        </w:rPr>
        <w:t xml:space="preserve">A partner in Lean has no engineer to ask where things stand. The cockpit must therefore answer, without a human, every question the engineer would have answered.</w:t>
      </w:r>
    </w:p>
    <w:p>
      <w:pPr>
        <w:pStyle w:val="ListParagraph"/>
        <w:numPr>
          <w:ilvl w:val="0"/>
          <w:numId w:val="3"/>
        </w:numPr>
        <w:spacing w:after="75"/>
      </w:pPr>
      <w:r>
        <w:rPr>
          <w:rFonts w:ascii="Calibri" w:cs="Calibri" w:eastAsia="Calibri" w:hAnsi="Calibri"/>
          <w:color w:val="1B2432"/>
          <w:sz w:val="21"/>
          <w:szCs w:val="21"/>
        </w:rPr>
        <w:t xml:space="preserve">Where is my intake, across every phase, right now?</w:t>
      </w:r>
    </w:p>
    <w:p>
      <w:pPr>
        <w:pStyle w:val="ListParagraph"/>
        <w:numPr>
          <w:ilvl w:val="0"/>
          <w:numId w:val="3"/>
        </w:numPr>
        <w:spacing w:after="75"/>
      </w:pPr>
      <w:r>
        <w:rPr>
          <w:rFonts w:ascii="Calibri" w:cs="Calibri" w:eastAsia="Calibri" w:hAnsi="Calibri"/>
          <w:color w:val="1B2432"/>
          <w:sz w:val="21"/>
          <w:szCs w:val="21"/>
        </w:rPr>
        <w:t xml:space="preserve">What is blocking me, and is it mine or yours?</w:t>
      </w:r>
    </w:p>
    <w:p>
      <w:pPr>
        <w:pStyle w:val="ListParagraph"/>
        <w:numPr>
          <w:ilvl w:val="0"/>
          <w:numId w:val="3"/>
        </w:numPr>
        <w:spacing w:after="75"/>
      </w:pPr>
      <w:r>
        <w:rPr>
          <w:rFonts w:ascii="Calibri" w:cs="Calibri" w:eastAsia="Calibri" w:hAnsi="Calibri"/>
          <w:color w:val="1B2432"/>
          <w:sz w:val="21"/>
          <w:szCs w:val="21"/>
        </w:rPr>
        <w:t xml:space="preserve">What is the oldest thing waiting on ECM, and who holds it?</w:t>
      </w:r>
    </w:p>
    <w:p>
      <w:pPr>
        <w:pStyle w:val="ListParagraph"/>
        <w:numPr>
          <w:ilvl w:val="0"/>
          <w:numId w:val="3"/>
        </w:numPr>
        <w:spacing w:after="75"/>
      </w:pPr>
      <w:r>
        <w:rPr>
          <w:rFonts w:ascii="Calibri" w:cs="Calibri" w:eastAsia="Calibri" w:hAnsi="Calibri"/>
          <w:color w:val="1B2432"/>
          <w:sz w:val="21"/>
          <w:szCs w:val="21"/>
        </w:rPr>
        <w:t xml:space="preserve">Which gates have I cleared and which remain?</w:t>
      </w:r>
    </w:p>
    <w:p>
      <w:pPr>
        <w:pStyle w:val="ListParagraph"/>
        <w:numPr>
          <w:ilvl w:val="0"/>
          <w:numId w:val="3"/>
        </w:numPr>
        <w:spacing w:after="75"/>
      </w:pPr>
      <w:r>
        <w:rPr>
          <w:rFonts w:ascii="Calibri" w:cs="Calibri" w:eastAsia="Calibri" w:hAnsi="Calibri"/>
          <w:color w:val="1B2432"/>
          <w:sz w:val="21"/>
          <w:szCs w:val="21"/>
        </w:rPr>
        <w:t xml:space="preserve">What exactly do I need to supply next, and in what format?</w:t>
      </w:r>
    </w:p>
    <w:p>
      <w:pPr>
        <w:pStyle w:val="ListParagraph"/>
        <w:numPr>
          <w:ilvl w:val="0"/>
          <w:numId w:val="3"/>
        </w:numPr>
        <w:spacing w:after="75"/>
      </w:pPr>
      <w:r>
        <w:rPr>
          <w:rFonts w:ascii="Calibri" w:cs="Calibri" w:eastAsia="Calibri" w:hAnsi="Calibri"/>
          <w:color w:val="1B2432"/>
          <w:sz w:val="21"/>
          <w:szCs w:val="21"/>
        </w:rPr>
        <w:t xml:space="preserve">Which pattern am I on, which version, and what did previous partners on this pattern find difficult?</w:t>
      </w:r>
    </w:p>
    <w:p>
      <w:pPr>
        <w:pStyle w:val="ListParagraph"/>
        <w:numPr>
          <w:ilvl w:val="0"/>
          <w:numId w:val="3"/>
        </w:numPr>
        <w:spacing w:after="75"/>
      </w:pPr>
      <w:r>
        <w:rPr>
          <w:rFonts w:ascii="Calibri" w:cs="Calibri" w:eastAsia="Calibri" w:hAnsi="Calibri"/>
          <w:color w:val="1B2432"/>
          <w:sz w:val="21"/>
          <w:szCs w:val="21"/>
        </w:rPr>
        <w:t xml:space="preserve">When is the next clinic slot and what must I bring to it?</w:t>
      </w:r>
    </w:p>
    <w:p>
      <w:pPr>
        <w:spacing w:after="130" w:before="100"/>
      </w:pPr>
      <w:r>
        <w:rPr>
          <w:rFonts w:ascii="Calibri" w:cs="Calibri" w:eastAsia="Calibri" w:hAnsi="Calibri"/>
          <w:b w:val="false"/>
          <w:bCs w:val="false"/>
          <w:i w:val="false"/>
          <w:iCs w:val="false"/>
          <w:color w:val="1B2432"/>
          <w:sz w:val="21"/>
          <w:szCs w:val="21"/>
        </w:rPr>
        <w:t xml:space="preserve">The same view, aggregated, serves ECM leadership: active intakes by tier, stage dwell time, gate failure rates by pattern, escalation frequency, and clinic demand against clinic capacity. This is also the measurement infrastructure that the business case in Part 10 depends on, which is a further reason it cannot be deferred.</w:t>
      </w:r>
    </w:p>
    <w:p>
      <w:pPr>
        <w:pStyle w:val="Heading2"/>
        <w:spacing w:after="170" w:before="320"/>
      </w:pPr>
      <w:r>
        <w:rPr>
          <w:rFonts w:ascii="Cambria" w:cs="Cambria" w:eastAsia="Cambria" w:hAnsi="Cambria"/>
          <w:b/>
          <w:bCs/>
          <w:color w:val="15304F"/>
          <w:sz w:val="27"/>
          <w:szCs w:val="27"/>
        </w:rPr>
        <w:t xml:space="preserve">3.6 What the platform deliberately does not do</w:t>
      </w:r>
    </w:p>
    <w:p>
      <w:pPr>
        <w:spacing w:after="130" w:before="0"/>
      </w:pPr>
      <w:r>
        <w:rPr>
          <w:rFonts w:ascii="Calibri" w:cs="Calibri" w:eastAsia="Calibri" w:hAnsi="Calibri"/>
          <w:b w:val="false"/>
          <w:bCs w:val="false"/>
          <w:i w:val="false"/>
          <w:iCs w:val="false"/>
          <w:color w:val="1B2432"/>
          <w:sz w:val="21"/>
          <w:szCs w:val="21"/>
        </w:rPr>
        <w:t xml:space="preserve">Scope discipline matters as much as scope. The platform does not attempt the following, and saying so protects the build from expanding until it delivers nothing.</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800"/>
        <w:gridCol w:w="6560"/>
      </w:tblGrid>
      <w:tr>
        <w:trPr>
          <w:tblHeader/>
        </w:trPr>
        <w:tc>
          <w:tcPr>
            <w:tcW w:type="dxa" w:w="28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Not in scope</w:t>
            </w:r>
          </w:p>
        </w:tc>
        <w:tc>
          <w:tcPr>
            <w:tcW w:type="dxa" w:w="65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Why</w:t>
            </w:r>
          </w:p>
        </w:tc>
      </w:tr>
      <w:tr>
        <w:tc>
          <w:tcPr>
            <w:tcW w:type="dxa" w:w="28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Making content classification determinations</w:t>
            </w:r>
          </w:p>
        </w:tc>
        <w:tc>
          <w:tcPr>
            <w:tcW w:type="dxa" w:w="6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Imaging governance holds this decision. The platform assembles the submission, tracks it and registers the outcome.</w:t>
            </w:r>
          </w:p>
        </w:tc>
      </w:tr>
      <w:tr>
        <w:tc>
          <w:tcPr>
            <w:tcW w:type="dxa" w:w="28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Deciding retention positions</w:t>
            </w:r>
          </w:p>
        </w:tc>
        <w:tc>
          <w:tcPr>
            <w:tcW w:type="dxa" w:w="6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Records management owns retention against a business obligation stated by the accountable owner.</w:t>
            </w:r>
          </w:p>
        </w:tc>
      </w:tr>
      <w:tr>
        <w:tc>
          <w:tcPr>
            <w:tcW w:type="dxa" w:w="28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Replacing architecture judgement on novel patterns</w:t>
            </w:r>
          </w:p>
        </w:tc>
        <w:tc>
          <w:tcPr>
            <w:tcW w:type="dxa" w:w="6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Novel design is what Dedicated exists for. The platform captures the result; it does not produce it.</w:t>
            </w:r>
          </w:p>
        </w:tc>
      </w:tr>
      <w:tr>
        <w:tc>
          <w:tcPr>
            <w:tcW w:type="dxa" w:w="28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Granting approvals</w:t>
            </w:r>
          </w:p>
        </w:tc>
        <w:tc>
          <w:tcPr>
            <w:tcW w:type="dxa" w:w="6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Security, governance and records approvals route through existing approval authorities. The platform routes and tracks; it does not approve.</w:t>
            </w:r>
          </w:p>
        </w:tc>
      </w:tr>
      <w:tr>
        <w:tc>
          <w:tcPr>
            <w:tcW w:type="dxa" w:w="28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Building the partner's own integration</w:t>
            </w:r>
          </w:p>
        </w:tc>
        <w:tc>
          <w:tcPr>
            <w:tcW w:type="dxa" w:w="6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partner's application code is theirs. The platform supplies specification, collections and validation.</w:t>
            </w:r>
          </w:p>
        </w:tc>
      </w:tr>
      <w:tr>
        <w:tc>
          <w:tcPr>
            <w:tcW w:type="dxa" w:w="28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Replacing the enablement relationship in Dedicated</w:t>
            </w:r>
          </w:p>
        </w:tc>
        <w:tc>
          <w:tcPr>
            <w:tcW w:type="dxa" w:w="6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Dedicated exists because some work needs people. The platform supports that work; it does not substitute for it.</w:t>
            </w:r>
          </w:p>
        </w:tc>
      </w:tr>
    </w:tbl>
    <w:p>
      <w:r>
        <w:br w:type="page"/>
      </w:r>
    </w:p>
    <w:p>
      <w:pPr>
        <w:pStyle w:val="Heading1"/>
        <w:spacing w:after="220" w:before="400"/>
      </w:pPr>
      <w:r>
        <w:rPr>
          <w:rFonts w:ascii="Cambria" w:cs="Cambria" w:eastAsia="Cambria" w:hAnsi="Cambria"/>
          <w:b/>
          <w:bCs/>
          <w:color w:val="15304F"/>
          <w:sz w:val="34"/>
          <w:szCs w:val="34"/>
        </w:rPr>
        <w:t xml:space="preserve">Part 4 — Tiering: How an Intake Is Routed</w:t>
      </w:r>
    </w:p>
    <w:p>
      <w:pPr>
        <w:pStyle w:val="Heading2"/>
        <w:spacing w:after="170" w:before="320"/>
      </w:pPr>
      <w:r>
        <w:rPr>
          <w:rFonts w:ascii="Cambria" w:cs="Cambria" w:eastAsia="Cambria" w:hAnsi="Cambria"/>
          <w:b/>
          <w:bCs/>
          <w:color w:val="15304F"/>
          <w:sz w:val="27"/>
          <w:szCs w:val="27"/>
        </w:rPr>
        <w:t xml:space="preserve">4.1 The first principle: tier is assigned, not chosen</w:t>
      </w:r>
    </w:p>
    <w:p>
      <w:pPr>
        <w:spacing w:after="130" w:before="0"/>
      </w:pPr>
      <w:r>
        <w:rPr>
          <w:rFonts w:ascii="Calibri" w:cs="Calibri" w:eastAsia="Calibri" w:hAnsi="Calibri"/>
          <w:b w:val="false"/>
          <w:bCs w:val="false"/>
          <w:i w:val="false"/>
          <w:iCs w:val="false"/>
          <w:color w:val="1B2432"/>
          <w:sz w:val="21"/>
          <w:szCs w:val="21"/>
        </w:rPr>
        <w:t xml:space="preserve">The partner does not select their enablement model. ECM assigns it, against published criteria, at the point of intake qualification. The criteria are visible to partners in advance so the assignment is predictable and arguable on its merits, but the assignment itself is ECM's.</w:t>
      </w:r>
    </w:p>
    <w:p>
      <w:pPr>
        <w:spacing w:after="130" w:before="0"/>
      </w:pPr>
      <w:r>
        <w:rPr>
          <w:rFonts w:ascii="Calibri" w:cs="Calibri" w:eastAsia="Calibri" w:hAnsi="Calibri"/>
          <w:b w:val="false"/>
          <w:bCs w:val="false"/>
          <w:i w:val="false"/>
          <w:iCs w:val="false"/>
          <w:color w:val="1B2432"/>
          <w:sz w:val="21"/>
          <w:szCs w:val="21"/>
        </w:rPr>
        <w:t xml:space="preserve">This is the single most important governance decision in the design. If partners choose, every partner chooses Dedicated — not out of bad faith, but because from any individual partner's perspective more attention is always better. The aggregate consequence is the model we have today. Published criteria plus an ECM-held decision plus a defined appeal path is the only configuration that survives contact with real partners.</w:t>
      </w:r>
    </w:p>
    <w:p>
      <w:pPr>
        <w:pStyle w:val="Heading2"/>
        <w:spacing w:after="170" w:before="320"/>
      </w:pPr>
      <w:r>
        <w:rPr>
          <w:rFonts w:ascii="Cambria" w:cs="Cambria" w:eastAsia="Cambria" w:hAnsi="Cambria"/>
          <w:b/>
          <w:bCs/>
          <w:color w:val="15304F"/>
          <w:sz w:val="27"/>
          <w:szCs w:val="27"/>
        </w:rPr>
        <w:t xml:space="preserve">4.2 The seven determinants</w:t>
      </w:r>
    </w:p>
    <w:p>
      <w:pPr>
        <w:spacing w:after="130" w:before="0"/>
      </w:pPr>
      <w:r>
        <w:rPr>
          <w:rFonts w:ascii="Calibri" w:cs="Calibri" w:eastAsia="Calibri" w:hAnsi="Calibri"/>
          <w:b w:val="false"/>
          <w:bCs w:val="false"/>
          <w:i w:val="false"/>
          <w:iCs w:val="false"/>
          <w:color w:val="1B2432"/>
          <w:sz w:val="21"/>
          <w:szCs w:val="21"/>
        </w:rPr>
        <w:t xml:space="preserve">Each intake is assessed against seven dimensions. Each scores 0 to 3. The determinants are deliberately about the work, not the requester.</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700"/>
        <w:gridCol w:w="2200"/>
        <w:gridCol w:w="1500"/>
        <w:gridCol w:w="1500"/>
        <w:gridCol w:w="1500"/>
        <w:gridCol w:w="1960"/>
      </w:tblGrid>
      <w:tr>
        <w:trPr>
          <w:tblHeader/>
        </w:trPr>
        <w:tc>
          <w:tcPr>
            <w:tcW w:type="dxa" w:w="7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t>
            </w:r>
          </w:p>
        </w:tc>
        <w:tc>
          <w:tcPr>
            <w:tcW w:type="dxa" w:w="22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Determinant</w:t>
            </w:r>
          </w:p>
        </w:tc>
        <w:tc>
          <w:tcPr>
            <w:tcW w:type="dxa" w:w="1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Score 0</w:t>
            </w:r>
          </w:p>
        </w:tc>
        <w:tc>
          <w:tcPr>
            <w:tcW w:type="dxa" w:w="1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Score 1</w:t>
            </w:r>
          </w:p>
        </w:tc>
        <w:tc>
          <w:tcPr>
            <w:tcW w:type="dxa" w:w="1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Score 2</w:t>
            </w:r>
          </w:p>
        </w:tc>
        <w:tc>
          <w:tcPr>
            <w:tcW w:type="dxa" w:w="19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Score 3</w:t>
            </w:r>
          </w:p>
        </w:tc>
      </w:tr>
      <w:tr>
        <w:tc>
          <w:tcPr>
            <w:tcW w:type="dxa" w:w="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D1</w:t>
            </w:r>
          </w:p>
        </w:tc>
        <w:tc>
          <w:tcPr>
            <w:tcW w:type="dxa" w:w="2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Pattern precedent and maturity</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M3 pattern, exact fit</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M3 pattern, tolerated variation</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M1–M2 pattern</w:t>
            </w:r>
          </w:p>
        </w:tc>
        <w:tc>
          <w:tcPr>
            <w:tcW w:type="dxa" w:w="1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 pattern (M0 or none)</w:t>
            </w:r>
          </w:p>
        </w:tc>
      </w:tr>
      <w:tr>
        <w:tc>
          <w:tcPr>
            <w:tcW w:type="dxa" w:w="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D2</w:t>
            </w:r>
          </w:p>
        </w:tc>
        <w:tc>
          <w:tcPr>
            <w:tcW w:type="dxa" w:w="2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Content trust posture</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Unchanged, already determined</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New content, same posture</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New posture for this partner</w:t>
            </w:r>
          </w:p>
        </w:tc>
        <w:tc>
          <w:tcPr>
            <w:tcW w:type="dxa" w:w="19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Posture changing on live content</w:t>
            </w:r>
          </w:p>
        </w:tc>
      </w:tr>
      <w:tr>
        <w:tc>
          <w:tcPr>
            <w:tcW w:type="dxa" w:w="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D3</w:t>
            </w:r>
          </w:p>
        </w:tc>
        <w:tc>
          <w:tcPr>
            <w:tcW w:type="dxa" w:w="2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Regulatory and records impact</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None</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Existing retention reused</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New non-regulated retention</w:t>
            </w:r>
          </w:p>
        </w:tc>
        <w:tc>
          <w:tcPr>
            <w:tcW w:type="dxa" w:w="1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New regulated retention or WORM</w:t>
            </w:r>
          </w:p>
        </w:tc>
      </w:tr>
      <w:tr>
        <w:tc>
          <w:tcPr>
            <w:tcW w:type="dxa" w:w="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D4</w:t>
            </w:r>
          </w:p>
        </w:tc>
        <w:tc>
          <w:tcPr>
            <w:tcW w:type="dxa" w:w="2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Classification engine change</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None</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Shadow or dry run only</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Engine change, no new types</w:t>
            </w:r>
          </w:p>
        </w:tc>
        <w:tc>
          <w:tcPr>
            <w:tcW w:type="dxa" w:w="19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Engine change with new types or live cutover</w:t>
            </w:r>
          </w:p>
        </w:tc>
      </w:tr>
      <w:tr>
        <w:tc>
          <w:tcPr>
            <w:tcW w:type="dxa" w:w="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D5</w:t>
            </w:r>
          </w:p>
        </w:tc>
        <w:tc>
          <w:tcPr>
            <w:tcW w:type="dxa" w:w="2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Data model and metadata</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 change</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Additive, forward only</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Structural, forward only</w:t>
            </w:r>
          </w:p>
        </w:tc>
        <w:tc>
          <w:tcPr>
            <w:tcW w:type="dxa" w:w="1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Historical content affected</w:t>
            </w:r>
          </w:p>
        </w:tc>
      </w:tr>
      <w:tr>
        <w:tc>
          <w:tcPr>
            <w:tcW w:type="dxa" w:w="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D6</w:t>
            </w:r>
          </w:p>
        </w:tc>
        <w:tc>
          <w:tcPr>
            <w:tcW w:type="dxa" w:w="2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Volume and performance</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Within current band</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Band change, below threshold</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Load testing triggered</w:t>
            </w:r>
          </w:p>
        </w:tc>
        <w:tc>
          <w:tcPr>
            <w:tcW w:type="dxa" w:w="19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Migration-scale or peak redesign</w:t>
            </w:r>
          </w:p>
        </w:tc>
      </w:tr>
      <w:tr>
        <w:tc>
          <w:tcPr>
            <w:tcW w:type="dxa" w:w="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D7</w:t>
            </w:r>
          </w:p>
        </w:tc>
        <w:tc>
          <w:tcPr>
            <w:tcW w:type="dxa" w:w="2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Breadth of impact</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Single partner, single flow</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Single partner, multiple flows</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Multiple business units</w:t>
            </w:r>
          </w:p>
        </w:tc>
        <w:tc>
          <w:tcPr>
            <w:tcW w:type="dxa" w:w="1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Multiple partners or dual-target</w:t>
            </w:r>
          </w:p>
        </w:tc>
      </w:tr>
    </w:tbl>
    <w:p>
      <w:pPr>
        <w:spacing w:after="140"/>
      </w:pPr>
      <w:r>
        <w:t xml:space="preserve"/>
      </w:r>
    </w:p>
    <w:p>
      <w:pPr>
        <w:pStyle w:val="Heading3"/>
        <w:spacing w:after="130" w:before="250"/>
      </w:pPr>
      <w:r>
        <w:rPr>
          <w:rFonts w:ascii="Calibri" w:cs="Calibri" w:eastAsia="Calibri" w:hAnsi="Calibri"/>
          <w:b/>
          <w:bCs/>
          <w:color w:val="1B2432"/>
          <w:sz w:val="23"/>
          <w:szCs w:val="23"/>
        </w:rPr>
        <w:t xml:space="preserve">Thresholds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1900"/>
        <w:gridCol w:w="1500"/>
        <w:gridCol w:w="5960"/>
      </w:tblGrid>
      <w:tr>
        <w:trPr>
          <w:tblHeader/>
        </w:trPr>
        <w:tc>
          <w:tcPr>
            <w:tcW w:type="dxa" w:w="19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Total score</w:t>
            </w:r>
          </w:p>
        </w:tc>
        <w:tc>
          <w:tcPr>
            <w:tcW w:type="dxa" w:w="1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Entry tier</w:t>
            </w:r>
          </w:p>
        </w:tc>
        <w:tc>
          <w:tcPr>
            <w:tcW w:type="dxa" w:w="59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Reading</w:t>
            </w:r>
          </w:p>
        </w:tc>
      </w:tr>
      <w:tr>
        <w:tc>
          <w:tcPr>
            <w:tcW w:type="dxa" w:w="19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0 – 5</w:t>
            </w:r>
          </w:p>
        </w:tc>
        <w:tc>
          <w:tcPr>
            <w:tcW w:type="dxa" w:w="1500"/>
            <w:shd w:fill="E6F2F1"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0B6E6E"/>
                <w:sz w:val="18"/>
                <w:szCs w:val="18"/>
              </w:rPr>
              <w:t xml:space="preserve">Lean</w:t>
            </w:r>
          </w:p>
        </w:tc>
        <w:tc>
          <w:tcPr>
            <w:tcW w:type="dxa" w:w="5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known pattern instantiated with known parameters. Nothing here requires a design decision that has not already been made.</w:t>
            </w:r>
          </w:p>
        </w:tc>
      </w:tr>
      <w:tr>
        <w:tc>
          <w:tcPr>
            <w:tcW w:type="dxa" w:w="19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6 – 11</w:t>
            </w:r>
          </w:p>
        </w:tc>
        <w:tc>
          <w:tcPr>
            <w:tcW w:type="dxa" w:w="1500"/>
            <w:shd w:fill="FAF1DF"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9A6410"/>
                <w:sz w:val="18"/>
                <w:szCs w:val="18"/>
              </w:rPr>
              <w:t xml:space="preserve">Lean+</w:t>
            </w:r>
          </w:p>
        </w:tc>
        <w:tc>
          <w:tcPr>
            <w:tcW w:type="dxa" w:w="59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known pattern with one or two elements that need a judgement. Review at the right moments is sufficient; continuous presence is not.</w:t>
            </w:r>
          </w:p>
        </w:tc>
      </w:tr>
      <w:tr>
        <w:tc>
          <w:tcPr>
            <w:tcW w:type="dxa" w:w="19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12 – 21</w:t>
            </w:r>
          </w:p>
        </w:tc>
        <w:tc>
          <w:tcPr>
            <w:tcW w:type="dxa" w:w="1500"/>
            <w:shd w:fill="E8EDF4"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15304F"/>
                <w:sz w:val="18"/>
                <w:szCs w:val="18"/>
              </w:rPr>
              <w:t xml:space="preserve">Dedicated</w:t>
            </w:r>
          </w:p>
        </w:tc>
        <w:tc>
          <w:tcPr>
            <w:tcW w:type="dxa" w:w="5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Genuine design work, or consequences severe enough that design assurance must be continuous.</w:t>
            </w:r>
          </w:p>
        </w:tc>
      </w:tr>
    </w:tbl>
    <w:p>
      <w:pPr>
        <w:spacing w:after="140"/>
      </w:pPr>
      <w:r>
        <w:t xml:space="preserve"/>
      </w:r>
    </w:p>
    <w:p>
      <w:pPr>
        <w:pStyle w:val="Heading3"/>
        <w:spacing w:after="130" w:before="250"/>
      </w:pPr>
      <w:r>
        <w:rPr>
          <w:rFonts w:ascii="Calibri" w:cs="Calibri" w:eastAsia="Calibri" w:hAnsi="Calibri"/>
          <w:b/>
          <w:bCs/>
          <w:color w:val="1B2432"/>
          <w:sz w:val="23"/>
          <w:szCs w:val="23"/>
        </w:rPr>
        <w:t xml:space="preserve">Hard overrides</w:t>
      </w:r>
    </w:p>
    <w:p>
      <w:pPr>
        <w:spacing w:after="130" w:before="0"/>
      </w:pPr>
      <w:r>
        <w:rPr>
          <w:rFonts w:ascii="Calibri" w:cs="Calibri" w:eastAsia="Calibri" w:hAnsi="Calibri"/>
          <w:b w:val="false"/>
          <w:bCs w:val="false"/>
          <w:i w:val="false"/>
          <w:iCs w:val="false"/>
          <w:color w:val="1B2432"/>
          <w:sz w:val="21"/>
          <w:szCs w:val="21"/>
        </w:rPr>
        <w:t xml:space="preserve">Four conditions force a tier regardless of total score. They exist because the score is a proxy for risk, and in these cases the risk is known directly.</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4600"/>
        <w:gridCol w:w="1500"/>
        <w:gridCol w:w="3260"/>
      </w:tblGrid>
      <w:tr>
        <w:trPr>
          <w:tblHeader/>
        </w:trPr>
        <w:tc>
          <w:tcPr>
            <w:tcW w:type="dxa" w:w="46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Condition</w:t>
            </w:r>
          </w:p>
        </w:tc>
        <w:tc>
          <w:tcPr>
            <w:tcW w:type="dxa" w:w="1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Forced tier</w:t>
            </w:r>
          </w:p>
        </w:tc>
        <w:tc>
          <w:tcPr>
            <w:tcW w:type="dxa" w:w="32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Why</w:t>
            </w:r>
          </w:p>
        </w:tc>
      </w:tr>
      <w:tr>
        <w:tc>
          <w:tcPr>
            <w:tcW w:type="dxa" w:w="4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Pattern maturity below M3</w:t>
            </w:r>
          </w:p>
        </w:tc>
        <w:tc>
          <w:tcPr>
            <w:tcW w:type="dxa" w:w="1500"/>
            <w:tcMar>
              <w:top w:type="dxa" w:w="75"/>
              <w:left w:type="dxa" w:w="105"/>
              <w:bottom w:type="dxa" w:w="75"/>
              <w:right w:type="dxa" w:w="105"/>
            </w:tcMar>
          </w:tcPr>
          <w:p>
            <w:pPr>
              <w:spacing w:after="0"/>
              <w:jc w:val="center"/>
            </w:pPr>
            <w:r>
              <w:rPr>
                <w:rFonts w:ascii="Calibri" w:cs="Calibri" w:eastAsia="Calibri" w:hAnsi="Calibri"/>
                <w:b/>
                <w:bCs/>
                <w:i w:val="false"/>
                <w:iCs w:val="false"/>
                <w:color w:val="1B2432"/>
                <w:sz w:val="18"/>
                <w:szCs w:val="18"/>
              </w:rPr>
              <w:t xml:space="preserve">Not Lean</w:t>
            </w:r>
          </w:p>
        </w:tc>
        <w:tc>
          <w:tcPr>
            <w:tcW w:type="dxa" w:w="32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Lean has no human in the loop. Without self-service provisioning and automated gates, there is nothing for the partner to use.</w:t>
            </w:r>
          </w:p>
        </w:tc>
      </w:tr>
      <w:tr>
        <w:tc>
          <w:tcPr>
            <w:tcW w:type="dxa" w:w="4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Pattern maturity below M1</w:t>
            </w:r>
          </w:p>
        </w:tc>
        <w:tc>
          <w:tcPr>
            <w:tcW w:type="dxa" w:w="1500"/>
            <w:shd w:fill="E8EDF4"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15304F"/>
                <w:sz w:val="18"/>
                <w:szCs w:val="18"/>
              </w:rPr>
              <w:t xml:space="preserve">Dedicated</w:t>
            </w:r>
          </w:p>
        </w:tc>
        <w:tc>
          <w:tcPr>
            <w:tcW w:type="dxa" w:w="32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An undescribed pattern cannot be reviewed at checkpoints, because there is no baseline to review against.</w:t>
            </w:r>
          </w:p>
        </w:tc>
      </w:tr>
      <w:tr>
        <w:tc>
          <w:tcPr>
            <w:tcW w:type="dxa" w:w="4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Existing content or metadata is remediated</w:t>
            </w:r>
          </w:p>
        </w:tc>
        <w:tc>
          <w:tcPr>
            <w:tcW w:type="dxa" w:w="1500"/>
            <w:tcMar>
              <w:top w:type="dxa" w:w="75"/>
              <w:left w:type="dxa" w:w="105"/>
              <w:bottom w:type="dxa" w:w="75"/>
              <w:right w:type="dxa" w:w="105"/>
            </w:tcMar>
          </w:tcPr>
          <w:p>
            <w:pPr>
              <w:spacing w:after="0"/>
              <w:jc w:val="center"/>
            </w:pPr>
            <w:r>
              <w:rPr>
                <w:rFonts w:ascii="Calibri" w:cs="Calibri" w:eastAsia="Calibri" w:hAnsi="Calibri"/>
                <w:b/>
                <w:bCs/>
                <w:i w:val="false"/>
                <w:iCs w:val="false"/>
                <w:color w:val="1B2432"/>
                <w:sz w:val="18"/>
                <w:szCs w:val="18"/>
              </w:rPr>
              <w:t xml:space="preserve">Dedicated or Factory</w:t>
            </w:r>
          </w:p>
        </w:tc>
        <w:tc>
          <w:tcPr>
            <w:tcW w:type="dxa" w:w="32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Changing content already under retention carries compliance exposure that a checkpoint review does not cover.</w:t>
            </w:r>
          </w:p>
        </w:tc>
      </w:tr>
      <w:tr>
        <w:tc>
          <w:tcPr>
            <w:tcW w:type="dxa" w:w="4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New regulated retention or WORM classification</w:t>
            </w:r>
          </w:p>
        </w:tc>
        <w:tc>
          <w:tcPr>
            <w:tcW w:type="dxa" w:w="1500"/>
            <w:shd w:fill="E8EDF4"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15304F"/>
                <w:sz w:val="18"/>
                <w:szCs w:val="18"/>
              </w:rPr>
              <w:t xml:space="preserve">Dedicated</w:t>
            </w:r>
          </w:p>
        </w:tc>
        <w:tc>
          <w:tcPr>
            <w:tcW w:type="dxa" w:w="32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first regulated position for a content set must be authored, not reviewed.</w:t>
            </w:r>
          </w:p>
        </w:tc>
      </w:tr>
      <w:tr>
        <w:tc>
          <w:tcPr>
            <w:tcW w:type="dxa" w:w="4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Multiple lines of business or multiple partners affected</w:t>
            </w:r>
          </w:p>
        </w:tc>
        <w:tc>
          <w:tcPr>
            <w:tcW w:type="dxa" w:w="1500"/>
            <w:shd w:fill="E8EDF4"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15304F"/>
                <w:sz w:val="18"/>
                <w:szCs w:val="18"/>
              </w:rPr>
              <w:t xml:space="preserve">Dedicated</w:t>
            </w:r>
          </w:p>
        </w:tc>
        <w:tc>
          <w:tcPr>
            <w:tcW w:type="dxa" w:w="32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Coordination across owners is the work, and it cannot be delegated to a partner.</w:t>
            </w:r>
          </w:p>
        </w:tc>
      </w:tr>
    </w:tbl>
    <w:p>
      <w:pPr>
        <w:pStyle w:val="Heading2"/>
        <w:spacing w:after="170" w:before="320"/>
      </w:pPr>
      <w:r>
        <w:rPr>
          <w:rFonts w:ascii="Cambria" w:cs="Cambria" w:eastAsia="Cambria" w:hAnsi="Cambria"/>
          <w:b/>
          <w:bCs/>
          <w:color w:val="15304F"/>
          <w:sz w:val="27"/>
          <w:szCs w:val="27"/>
        </w:rPr>
        <w:t xml:space="preserve">4.3 How the thirty-eight scenarios distribute</w:t>
      </w:r>
    </w:p>
    <w:p>
      <w:pPr>
        <w:spacing w:after="130" w:before="0"/>
      </w:pPr>
      <w:r>
        <w:rPr>
          <w:rFonts w:ascii="Calibri" w:cs="Calibri" w:eastAsia="Calibri" w:hAnsi="Calibri"/>
          <w:b w:val="false"/>
          <w:bCs w:val="false"/>
          <w:i w:val="false"/>
          <w:iCs w:val="false"/>
          <w:color w:val="1B2432"/>
          <w:sz w:val="21"/>
          <w:szCs w:val="21"/>
        </w:rPr>
        <w:t xml:space="preserve">Applying the rubric to the onboarding scenarios ECM supports today produces the following distribution. The full scenario-by-scenario assessment is at Appendix A.</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100"/>
        <w:gridCol w:w="1300"/>
        <w:gridCol w:w="1300"/>
        <w:gridCol w:w="4660"/>
      </w:tblGrid>
      <w:tr>
        <w:trPr>
          <w:tblHeader/>
        </w:trPr>
        <w:tc>
          <w:tcPr>
            <w:tcW w:type="dxa" w:w="21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Entry tier</w:t>
            </w:r>
          </w:p>
        </w:tc>
        <w:tc>
          <w:tcPr>
            <w:tcW w:type="dxa" w:w="13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Scenarios</w:t>
            </w:r>
          </w:p>
        </w:tc>
        <w:tc>
          <w:tcPr>
            <w:tcW w:type="dxa" w:w="13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Share</w:t>
            </w:r>
          </w:p>
        </w:tc>
        <w:tc>
          <w:tcPr>
            <w:tcW w:type="dxa" w:w="46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What sits here</w:t>
            </w:r>
          </w:p>
        </w:tc>
      </w:tr>
      <w:tr>
        <w:tc>
          <w:tcPr>
            <w:tcW w:type="dxa" w:w="2100"/>
            <w:shd w:fill="E6F2F1"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0B6E6E"/>
                <w:sz w:val="18"/>
                <w:szCs w:val="18"/>
              </w:rPr>
              <w:t xml:space="preserve">Lean</w:t>
            </w:r>
          </w:p>
        </w:tc>
        <w:tc>
          <w:tcPr>
            <w:tcW w:type="dxa" w:w="1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8</w:t>
            </w:r>
          </w:p>
        </w:tc>
        <w:tc>
          <w:tcPr>
            <w:tcW w:type="dxa" w:w="1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21%</w:t>
            </w:r>
          </w:p>
        </w:tc>
        <w:tc>
          <w:tcPr>
            <w:tcW w:type="dxa" w:w="4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Subscription and entitlement changes, notification-only consumption, new content on existing flows, existing UI profiles, test-only support, access grants</w:t>
            </w:r>
          </w:p>
        </w:tc>
      </w:tr>
      <w:tr>
        <w:tc>
          <w:tcPr>
            <w:tcW w:type="dxa" w:w="2100"/>
            <w:shd w:fill="FAF1DF"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9A6410"/>
                <w:sz w:val="18"/>
                <w:szCs w:val="18"/>
              </w:rPr>
              <w:t xml:space="preserve">Lean+</w:t>
            </w:r>
          </w:p>
        </w:tc>
        <w:tc>
          <w:tcPr>
            <w:tcW w:type="dxa" w:w="1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14</w:t>
            </w:r>
          </w:p>
        </w:tc>
        <w:tc>
          <w:tcPr>
            <w:tcW w:type="dxa" w:w="1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37%</w:t>
            </w:r>
          </w:p>
        </w:tc>
        <w:tc>
          <w:tcPr>
            <w:tcW w:type="dxa" w:w="4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Channel migrations on mature patterns, new flows on known patterns, non-regulated new ingestion, dry runs, volume increases, forward-only data model changes</w:t>
            </w:r>
          </w:p>
        </w:tc>
      </w:tr>
      <w:tr>
        <w:tc>
          <w:tcPr>
            <w:tcW w:type="dxa" w:w="2100"/>
            <w:shd w:fill="E8EDF4"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15304F"/>
                <w:sz w:val="18"/>
                <w:szCs w:val="18"/>
              </w:rPr>
              <w:t xml:space="preserve">Dedicated</w:t>
            </w:r>
          </w:p>
        </w:tc>
        <w:tc>
          <w:tcPr>
            <w:tcW w:type="dxa" w:w="1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14</w:t>
            </w:r>
          </w:p>
        </w:tc>
        <w:tc>
          <w:tcPr>
            <w:tcW w:type="dxa" w:w="1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37%</w:t>
            </w:r>
          </w:p>
        </w:tc>
        <w:tc>
          <w:tcPr>
            <w:tcW w:type="dxa" w:w="4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Regulated ingestion, classification engine cutovers, multi-LOB and multi-partner change, compliance remediation, dual-target ingestion, staged storage</w:t>
            </w:r>
          </w:p>
        </w:tc>
      </w:tr>
      <w:tr>
        <w:tc>
          <w:tcPr>
            <w:tcW w:type="dxa" w:w="2100"/>
            <w:shd w:fill="F1EEF6"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5B4A72"/>
                <w:sz w:val="18"/>
                <w:szCs w:val="18"/>
              </w:rPr>
              <w:t xml:space="preserve">Factory</w:t>
            </w:r>
          </w:p>
        </w:tc>
        <w:tc>
          <w:tcPr>
            <w:tcW w:type="dxa" w:w="1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w:t>
            </w:r>
          </w:p>
        </w:tc>
        <w:tc>
          <w:tcPr>
            <w:tcW w:type="dxa" w:w="1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5%</w:t>
            </w:r>
          </w:p>
        </w:tc>
        <w:tc>
          <w:tcPr>
            <w:tcW w:type="dxa" w:w="4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Records management remediation and historical metadata updates — run as campaigns, not onboardings</w:t>
            </w:r>
          </w:p>
        </w:tc>
      </w:tr>
    </w:tbl>
    <w:p>
      <w:pPr>
        <w:spacing w:after="140"/>
      </w:pPr>
      <w:r>
        <w:t xml:space="preserve"/>
      </w:r>
    </w:p>
    <w:tbl>
      <w:tblPr>
        <w:tblW w:type="dxa" w:w="9360"/>
        <w:tblBorders>
          <w:top w:val="single" w:color="15304F" w:sz="6"/>
          <w:left w:val="single" w:color="15304F" w:sz="6"/>
          <w:bottom w:val="single" w:color="15304F" w:sz="6"/>
          <w:right w:val="single" w:color="15304F" w:sz="6"/>
          <w:insideH w:val="none"/>
          <w:insideV w:val="none"/>
        </w:tblBorders>
      </w:tblPr>
      <w:tblGrid>
        <w:gridCol w:w="9360"/>
      </w:tblGrid>
      <w:tr>
        <w:tc>
          <w:tcPr>
            <w:tcW w:type="dxa" w:w="9360"/>
            <w:shd w:fill="EEF2F7" w:color="auto" w:val="clear"/>
            <w:tcMar>
              <w:top w:type="dxa" w:w="140"/>
              <w:left w:type="dxa" w:w="165"/>
              <w:bottom w:type="dxa" w:w="140"/>
              <w:right w:type="dxa" w:w="165"/>
            </w:tcMar>
          </w:tcPr>
          <w:p>
            <w:pPr>
              <w:spacing w:after="85"/>
            </w:pPr>
            <w:r>
              <w:rPr>
                <w:rFonts w:ascii="Calibri" w:cs="Calibri" w:eastAsia="Calibri" w:hAnsi="Calibri"/>
                <w:b/>
                <w:bCs/>
                <w:color w:val="15304F"/>
                <w:sz w:val="20"/>
                <w:szCs w:val="20"/>
              </w:rPr>
              <w:t xml:space="preserve">READ THIS DISTRIBUTION HONESTLY</w:t>
            </w:r>
          </w:p>
          <w:p>
            <w:pPr>
              <w:spacing w:after="65"/>
            </w:pPr>
            <w:r>
              <w:rPr>
                <w:rFonts w:ascii="Calibri" w:cs="Calibri" w:eastAsia="Calibri" w:hAnsi="Calibri"/>
                <w:color w:val="1B2432"/>
                <w:sz w:val="20"/>
                <w:szCs w:val="20"/>
              </w:rPr>
              <w:t xml:space="preserve">At entry, only about a fifth of scenarios qualify for Lean. This is not a disappointing result — it is the realistic starting point, and presenting a more flattering number would not survive scrutiny.</w:t>
            </w:r>
          </w:p>
          <w:p>
            <w:pPr>
              <w:spacing w:after="65"/>
            </w:pPr>
            <w:r>
              <w:rPr>
                <w:rFonts w:ascii="Calibri" w:cs="Calibri" w:eastAsia="Calibri" w:hAnsi="Calibri"/>
                <w:color w:val="1B2432"/>
                <w:sz w:val="20"/>
                <w:szCs w:val="20"/>
              </w:rPr>
              <w:t xml:space="preserve">The distribution is not static. It is a function of pattern maturity, and pattern maturity is something ECM controls.</w:t>
            </w:r>
          </w:p>
          <w:p>
            <w:pPr>
              <w:spacing w:after="65"/>
            </w:pPr>
            <w:r>
              <w:rPr>
                <w:rFonts w:ascii="Calibri" w:cs="Calibri" w:eastAsia="Calibri" w:hAnsi="Calibri"/>
                <w:color w:val="1B2432"/>
                <w:sz w:val="20"/>
                <w:szCs w:val="20"/>
              </w:rPr>
              <w:t xml:space="preserve">Nine of the fourteen Lean+ scenarios move to Lean once their patterns reach M3. Four of the fourteen Dedicated scenarios move to Lean+ once delivered twice and harvested. A realistic steady state after two years of deliberate pattern investment is roughly 40% Lean, 35% Lean+, 20% Dedicated, 5% Factory.</w:t>
            </w:r>
          </w:p>
          <w:p>
            <w:pPr>
              <w:spacing w:after="65"/>
            </w:pPr>
            <w:r>
              <w:rPr>
                <w:rFonts w:ascii="Calibri" w:cs="Calibri" w:eastAsia="Calibri" w:hAnsi="Calibri"/>
                <w:color w:val="1B2432"/>
                <w:sz w:val="20"/>
                <w:szCs w:val="20"/>
              </w:rPr>
              <w:t xml:space="preserve">That trajectory — not the entry distribution — is the case being made.</w:t>
            </w:r>
          </w:p>
        </w:tc>
      </w:tr>
    </w:tbl>
    <w:p>
      <w:pPr>
        <w:pStyle w:val="Heading2"/>
        <w:spacing w:after="170" w:before="320"/>
      </w:pPr>
      <w:r>
        <w:rPr>
          <w:rFonts w:ascii="Cambria" w:cs="Cambria" w:eastAsia="Cambria" w:hAnsi="Cambria"/>
          <w:b/>
          <w:bCs/>
          <w:color w:val="15304F"/>
          <w:sz w:val="27"/>
          <w:szCs w:val="27"/>
        </w:rPr>
        <w:t xml:space="preserve">4.4 Drift: when an intake changes tier mid-flight</w:t>
      </w:r>
    </w:p>
    <w:p>
      <w:pPr>
        <w:spacing w:after="130" w:before="0"/>
      </w:pPr>
      <w:r>
        <w:rPr>
          <w:rFonts w:ascii="Calibri" w:cs="Calibri" w:eastAsia="Calibri" w:hAnsi="Calibri"/>
          <w:b w:val="false"/>
          <w:bCs w:val="false"/>
          <w:i w:val="false"/>
          <w:iCs w:val="false"/>
          <w:color w:val="1B2432"/>
          <w:sz w:val="21"/>
          <w:szCs w:val="21"/>
        </w:rPr>
        <w:t xml:space="preserve">Novelty is not always visible at qualification. A partner describes content that turns out to need a classification the knowledge base does not hold; a volume estimate turns out to be an order of magnitude low; a data model change turns out to touch historical content. The model must handle this without the partner restarting.</w:t>
      </w:r>
    </w:p>
    <w:p>
      <w:pPr>
        <w:pStyle w:val="Heading3"/>
        <w:spacing w:after="130" w:before="250"/>
      </w:pPr>
      <w:r>
        <w:rPr>
          <w:rFonts w:ascii="Calibri" w:cs="Calibri" w:eastAsia="Calibri" w:hAnsi="Calibri"/>
          <w:b/>
          <w:bCs/>
          <w:color w:val="1B2432"/>
          <w:sz w:val="23"/>
          <w:szCs w:val="23"/>
        </w:rPr>
        <w:t xml:space="preserve">Escalation triggers</w:t>
      </w:r>
    </w:p>
    <w:p>
      <w:pPr>
        <w:spacing w:after="130" w:before="0"/>
      </w:pPr>
      <w:r>
        <w:rPr>
          <w:rFonts w:ascii="Calibri" w:cs="Calibri" w:eastAsia="Calibri" w:hAnsi="Calibri"/>
          <w:b w:val="false"/>
          <w:bCs w:val="false"/>
          <w:i w:val="false"/>
          <w:iCs w:val="false"/>
          <w:color w:val="1B2432"/>
          <w:sz w:val="21"/>
          <w:szCs w:val="21"/>
        </w:rPr>
        <w:t xml:space="preserve">Any of the following, detected at any point, automatically re-tiers the intake upward and notifies both the partner and the receiving team.</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3400"/>
        <w:gridCol w:w="2000"/>
        <w:gridCol w:w="3960"/>
      </w:tblGrid>
      <w:tr>
        <w:trPr>
          <w:tblHeader/>
        </w:trPr>
        <w:tc>
          <w:tcPr>
            <w:tcW w:type="dxa" w:w="34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Trigger</w:t>
            </w:r>
          </w:p>
        </w:tc>
        <w:tc>
          <w:tcPr>
            <w:tcW w:type="dxa" w:w="20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Escalates to</w:t>
            </w:r>
          </w:p>
        </w:tc>
        <w:tc>
          <w:tcPr>
            <w:tcW w:type="dxa" w:w="39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Why it cannot wait</w:t>
            </w:r>
          </w:p>
        </w:tc>
      </w:tr>
      <w:tr>
        <w:tc>
          <w:tcPr>
            <w:tcW w:type="dxa" w:w="34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A document type is introduced that has no determination</w:t>
            </w:r>
          </w:p>
        </w:tc>
        <w:tc>
          <w:tcPr>
            <w:tcW w:type="dxa" w:w="2000"/>
            <w:shd w:fill="FAF1DF"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9A6410"/>
                <w:sz w:val="18"/>
                <w:szCs w:val="18"/>
              </w:rPr>
              <w:t xml:space="preserve">Lean+ at minimum</w:t>
            </w:r>
          </w:p>
        </w:tc>
        <w:tc>
          <w:tcPr>
            <w:tcW w:type="dxa" w:w="3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Governance must decide before any content configuration proceeds</w:t>
            </w:r>
          </w:p>
        </w:tc>
      </w:tr>
      <w:tr>
        <w:tc>
          <w:tcPr>
            <w:tcW w:type="dxa" w:w="34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Knowledge base coverage gap identified for untrusted types</w:t>
            </w:r>
          </w:p>
        </w:tc>
        <w:tc>
          <w:tcPr>
            <w:tcW w:type="dxa" w:w="2000"/>
            <w:shd w:fill="E8EDF4"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15304F"/>
                <w:sz w:val="18"/>
                <w:szCs w:val="18"/>
              </w:rPr>
              <w:t xml:space="preserve">Dedicated</w:t>
            </w:r>
          </w:p>
        </w:tc>
        <w:tc>
          <w:tcPr>
            <w:tcW w:type="dxa" w:w="39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Classification accuracy cannot be configured around; the engine must be extended</w:t>
            </w:r>
          </w:p>
        </w:tc>
      </w:tr>
      <w:tr>
        <w:tc>
          <w:tcPr>
            <w:tcW w:type="dxa" w:w="34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Volume profile breaches the load testing threshold</w:t>
            </w:r>
          </w:p>
        </w:tc>
        <w:tc>
          <w:tcPr>
            <w:tcW w:type="dxa" w:w="2000"/>
            <w:shd w:fill="FAF1DF"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9A6410"/>
                <w:sz w:val="18"/>
                <w:szCs w:val="18"/>
              </w:rPr>
              <w:t xml:space="preserve">Lean+ at minimum</w:t>
            </w:r>
          </w:p>
        </w:tc>
        <w:tc>
          <w:tcPr>
            <w:tcW w:type="dxa" w:w="3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Performance validation becomes a gating activity with its own lead time</w:t>
            </w:r>
          </w:p>
        </w:tc>
      </w:tr>
      <w:tr>
        <w:tc>
          <w:tcPr>
            <w:tcW w:type="dxa" w:w="34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Retention position changes to regulated</w:t>
            </w:r>
          </w:p>
        </w:tc>
        <w:tc>
          <w:tcPr>
            <w:tcW w:type="dxa" w:w="2000"/>
            <w:shd w:fill="E8EDF4"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15304F"/>
                <w:sz w:val="18"/>
                <w:szCs w:val="18"/>
              </w:rPr>
              <w:t xml:space="preserve">Dedicated</w:t>
            </w:r>
          </w:p>
        </w:tc>
        <w:tc>
          <w:tcPr>
            <w:tcW w:type="dxa" w:w="39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regulated position must be authored and approved, not reviewed</w:t>
            </w:r>
          </w:p>
        </w:tc>
      </w:tr>
      <w:tr>
        <w:tc>
          <w:tcPr>
            <w:tcW w:type="dxa" w:w="34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Historical content comes into scope</w:t>
            </w:r>
          </w:p>
        </w:tc>
        <w:tc>
          <w:tcPr>
            <w:tcW w:type="dxa" w:w="2000"/>
            <w:tcMar>
              <w:top w:type="dxa" w:w="75"/>
              <w:left w:type="dxa" w:w="105"/>
              <w:bottom w:type="dxa" w:w="75"/>
              <w:right w:type="dxa" w:w="105"/>
            </w:tcMar>
          </w:tcPr>
          <w:p>
            <w:pPr>
              <w:spacing w:after="0"/>
              <w:jc w:val="center"/>
            </w:pPr>
            <w:r>
              <w:rPr>
                <w:rFonts w:ascii="Calibri" w:cs="Calibri" w:eastAsia="Calibri" w:hAnsi="Calibri"/>
                <w:b/>
                <w:bCs/>
                <w:i w:val="false"/>
                <w:iCs w:val="false"/>
                <w:color w:val="1B2432"/>
                <w:sz w:val="18"/>
                <w:szCs w:val="18"/>
              </w:rPr>
              <w:t xml:space="preserve">Dedicated or Factory</w:t>
            </w:r>
          </w:p>
        </w:tc>
        <w:tc>
          <w:tcPr>
            <w:tcW w:type="dxa" w:w="3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Remediation of content under retention is a different risk class</w:t>
            </w:r>
          </w:p>
        </w:tc>
      </w:tr>
      <w:tr>
        <w:tc>
          <w:tcPr>
            <w:tcW w:type="dxa" w:w="34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Three consecutive gate failures on the same gate</w:t>
            </w:r>
          </w:p>
        </w:tc>
        <w:tc>
          <w:tcPr>
            <w:tcW w:type="dxa" w:w="2000"/>
            <w:shd w:fill="FAF1DF"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9A6410"/>
                <w:sz w:val="18"/>
                <w:szCs w:val="18"/>
              </w:rPr>
              <w:t xml:space="preserve">Lean+ at minimum</w:t>
            </w:r>
          </w:p>
        </w:tc>
        <w:tc>
          <w:tcPr>
            <w:tcW w:type="dxa" w:w="39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partner is stuck and self-service is not resolving it; this is the signal that design help is needed</w:t>
            </w:r>
          </w:p>
        </w:tc>
      </w:tr>
      <w:tr>
        <w:tc>
          <w:tcPr>
            <w:tcW w:type="dxa" w:w="34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Pattern variation falls outside declared tolerance</w:t>
            </w:r>
          </w:p>
        </w:tc>
        <w:tc>
          <w:tcPr>
            <w:tcW w:type="dxa" w:w="2000"/>
            <w:shd w:fill="FAF1DF"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9A6410"/>
                <w:sz w:val="18"/>
                <w:szCs w:val="18"/>
              </w:rPr>
              <w:t xml:space="preserve">Lean+ at minimum</w:t>
            </w:r>
          </w:p>
        </w:tc>
        <w:tc>
          <w:tcPr>
            <w:tcW w:type="dxa" w:w="3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instantiated pattern no longer describes what is being built</w:t>
            </w:r>
          </w:p>
        </w:tc>
      </w:tr>
      <w:tr>
        <w:tc>
          <w:tcPr>
            <w:tcW w:type="dxa" w:w="34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A second line of business joins the scope</w:t>
            </w:r>
          </w:p>
        </w:tc>
        <w:tc>
          <w:tcPr>
            <w:tcW w:type="dxa" w:w="2000"/>
            <w:shd w:fill="E8EDF4"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15304F"/>
                <w:sz w:val="18"/>
                <w:szCs w:val="18"/>
              </w:rPr>
              <w:t xml:space="preserve">Dedicated</w:t>
            </w:r>
          </w:p>
        </w:tc>
        <w:tc>
          <w:tcPr>
            <w:tcW w:type="dxa" w:w="39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Coordination across owners cannot be delegated</w:t>
            </w:r>
          </w:p>
        </w:tc>
      </w:tr>
    </w:tbl>
    <w:p>
      <w:pPr>
        <w:spacing w:after="140"/>
      </w:pPr>
      <w:r>
        <w:t xml:space="preserve"/>
      </w:r>
    </w:p>
    <w:p>
      <w:pPr>
        <w:pStyle w:val="Heading3"/>
        <w:spacing w:after="130" w:before="250"/>
      </w:pPr>
      <w:r>
        <w:rPr>
          <w:rFonts w:ascii="Calibri" w:cs="Calibri" w:eastAsia="Calibri" w:hAnsi="Calibri"/>
          <w:b/>
          <w:bCs/>
          <w:color w:val="1B2432"/>
          <w:sz w:val="23"/>
          <w:szCs w:val="23"/>
        </w:rPr>
        <w:t xml:space="preserve">De-escalation</w:t>
      </w:r>
    </w:p>
    <w:p>
      <w:pPr>
        <w:spacing w:after="130" w:before="0"/>
      </w:pPr>
      <w:r>
        <w:rPr>
          <w:rFonts w:ascii="Calibri" w:cs="Calibri" w:eastAsia="Calibri" w:hAnsi="Calibri"/>
          <w:b w:val="false"/>
          <w:bCs w:val="false"/>
          <w:i w:val="false"/>
          <w:iCs w:val="false"/>
          <w:color w:val="1B2432"/>
          <w:sz w:val="21"/>
          <w:szCs w:val="21"/>
        </w:rPr>
        <w:t xml:space="preserve">Downward movement is allowed but deliberate. A Dedicated intake that completes its novel element and reverts to routine configuration may be de-tiered to Lean+ for the remainder, releasing the pod. This is an ECM decision taken at a phase gate, recorded with reason, and never applied retroactively to work already done.</w:t>
      </w:r>
    </w:p>
    <w:p>
      <w:pPr>
        <w:pStyle w:val="Heading3"/>
        <w:spacing w:after="130" w:before="250"/>
      </w:pPr>
      <w:r>
        <w:rPr>
          <w:rFonts w:ascii="Calibri" w:cs="Calibri" w:eastAsia="Calibri" w:hAnsi="Calibri"/>
          <w:b/>
          <w:bCs/>
          <w:color w:val="1B2432"/>
          <w:sz w:val="23"/>
          <w:szCs w:val="23"/>
        </w:rPr>
        <w:t xml:space="preserve">Appeal</w:t>
      </w:r>
    </w:p>
    <w:p>
      <w:pPr>
        <w:spacing w:after="130" w:before="0"/>
      </w:pPr>
      <w:r>
        <w:rPr>
          <w:rFonts w:ascii="Calibri" w:cs="Calibri" w:eastAsia="Calibri" w:hAnsi="Calibri"/>
          <w:b w:val="false"/>
          <w:bCs w:val="false"/>
          <w:i w:val="false"/>
          <w:iCs w:val="false"/>
          <w:color w:val="1B2432"/>
          <w:sz w:val="21"/>
          <w:szCs w:val="21"/>
        </w:rPr>
        <w:t xml:space="preserve">A partner who believes their intake is mis-tiered may appeal once, to the enablement lead, within five working days of assignment. The appeal must identify which determinant is wrongly scored and why. The outcome is recorded against the intake and feeds the quarterly review of the rubric itself. Appeals that succeed repeatedly on the same determinant are a signal the rubric needs recalibrating, not that partners are gaming it.</w:t>
      </w:r>
    </w:p>
    <w:p>
      <w:pPr>
        <w:pStyle w:val="Heading2"/>
        <w:spacing w:after="170" w:before="320"/>
      </w:pPr>
      <w:r>
        <w:rPr>
          <w:rFonts w:ascii="Cambria" w:cs="Cambria" w:eastAsia="Cambria" w:hAnsi="Cambria"/>
          <w:b/>
          <w:bCs/>
          <w:color w:val="15304F"/>
          <w:sz w:val="27"/>
          <w:szCs w:val="27"/>
        </w:rPr>
        <w:t xml:space="preserve">4.5 Partner certification — the gate on Lean</w:t>
      </w:r>
    </w:p>
    <w:p>
      <w:pPr>
        <w:spacing w:after="130" w:before="0"/>
      </w:pPr>
      <w:r>
        <w:rPr>
          <w:rFonts w:ascii="Calibri" w:cs="Calibri" w:eastAsia="Calibri" w:hAnsi="Calibri"/>
          <w:b w:val="false"/>
          <w:bCs w:val="false"/>
          <w:i w:val="false"/>
          <w:iCs w:val="false"/>
          <w:color w:val="1B2432"/>
          <w:sz w:val="21"/>
          <w:szCs w:val="21"/>
        </w:rPr>
        <w:t xml:space="preserve">Lean places real responsibility on the partner. It is not available by default; a partner earns access to it.</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500"/>
        <w:gridCol w:w="6860"/>
      </w:tblGrid>
      <w:tr>
        <w:trPr>
          <w:tblHeader/>
        </w:trPr>
        <w:tc>
          <w:tcPr>
            <w:tcW w:type="dxa" w:w="2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Requirement</w:t>
            </w:r>
          </w:p>
        </w:tc>
        <w:tc>
          <w:tcPr>
            <w:tcW w:type="dxa" w:w="68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What it means</w:t>
            </w:r>
          </w:p>
        </w:tc>
      </w:tr>
      <w:tr>
        <w:tc>
          <w:tcPr>
            <w:tcW w:type="dxa" w:w="2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Platform onboarding completed</w:t>
            </w:r>
          </w:p>
        </w:tc>
        <w:tc>
          <w:tcPr>
            <w:tcW w:type="dxa" w:w="68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Named partner contacts have access to the cockpit, understand the gate model, and know how to book clinic time.</w:t>
            </w:r>
          </w:p>
        </w:tc>
      </w:tr>
      <w:tr>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One prior successful intake</w:t>
            </w:r>
          </w:p>
        </w:tc>
        <w:tc>
          <w:tcPr>
            <w:tcW w:type="dxa" w:w="68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partner has completed at least one intake at Lean+ or Dedicated, so they have seen the full process once with support.</w:t>
            </w:r>
          </w:p>
        </w:tc>
      </w:tr>
      <w:tr>
        <w:tc>
          <w:tcPr>
            <w:tcW w:type="dxa" w:w="2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Nominated technical owner</w:t>
            </w:r>
          </w:p>
        </w:tc>
        <w:tc>
          <w:tcPr>
            <w:tcW w:type="dxa" w:w="68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named individual on the partner side accountable for the intake, not a distribution list.</w:t>
            </w:r>
          </w:p>
        </w:tc>
      </w:tr>
      <w:tr>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Acceptance of the operating terms</w:t>
            </w:r>
          </w:p>
        </w:tc>
        <w:tc>
          <w:tcPr>
            <w:tcW w:type="dxa" w:w="68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partner acknowledges that Lean carries no allocated ECM capacity and that their timeline is a function of their own throughput.</w:t>
            </w:r>
          </w:p>
        </w:tc>
      </w:tr>
      <w:tr>
        <w:tc>
          <w:tcPr>
            <w:tcW w:type="dxa" w:w="2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Good standing</w:t>
            </w:r>
          </w:p>
        </w:tc>
        <w:tc>
          <w:tcPr>
            <w:tcW w:type="dxa" w:w="68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 unresolved compliance findings or overdue remediation against the partner's existing footprint.</w:t>
            </w:r>
          </w:p>
        </w:tc>
      </w:tr>
    </w:tbl>
    <w:p>
      <w:pPr>
        <w:spacing w:after="140"/>
      </w:pPr>
      <w:r>
        <w:t xml:space="preserve"/>
      </w:r>
    </w:p>
    <w:p>
      <w:pPr>
        <w:spacing w:after="130" w:before="60"/>
      </w:pPr>
      <w:r>
        <w:rPr>
          <w:rFonts w:ascii="Calibri" w:cs="Calibri" w:eastAsia="Calibri" w:hAnsi="Calibri"/>
          <w:b w:val="false"/>
          <w:bCs w:val="false"/>
          <w:i w:val="false"/>
          <w:iCs w:val="false"/>
          <w:color w:val="1B2432"/>
          <w:sz w:val="21"/>
          <w:szCs w:val="21"/>
        </w:rPr>
        <w:t xml:space="preserve">Certification is held at the partner level and persists. The first intake for any new partner is therefore never Lean, which also gives ECM a natural opportunity to establish the relationship and harvest a pattern.</w:t>
      </w:r>
    </w:p>
    <w:p>
      <w:r>
        <w:br w:type="page"/>
      </w:r>
    </w:p>
    <w:p>
      <w:pPr>
        <w:pStyle w:val="Heading1"/>
        <w:spacing w:after="220" w:before="400"/>
      </w:pPr>
      <w:r>
        <w:rPr>
          <w:rFonts w:ascii="Cambria" w:cs="Cambria" w:eastAsia="Cambria" w:hAnsi="Cambria"/>
          <w:b/>
          <w:bCs/>
          <w:color w:val="15304F"/>
          <w:sz w:val="34"/>
          <w:szCs w:val="34"/>
        </w:rPr>
        <w:t xml:space="preserve">Part 5 — The Operating Model, Phase by Phase</w:t>
      </w:r>
    </w:p>
    <w:p>
      <w:pPr>
        <w:spacing w:after="130" w:before="0"/>
      </w:pPr>
      <w:r>
        <w:rPr>
          <w:rFonts w:ascii="Calibri" w:cs="Calibri" w:eastAsia="Calibri" w:hAnsi="Calibri"/>
          <w:b w:val="false"/>
          <w:bCs w:val="false"/>
          <w:i w:val="false"/>
          <w:iCs w:val="false"/>
          <w:color w:val="1B2432"/>
          <w:sz w:val="21"/>
          <w:szCs w:val="21"/>
        </w:rPr>
        <w:t xml:space="preserve">The three models are not three different processes. They are three different distributions of the same work between the partner, the platform and ECM. The phases, the gates and the evidence are identical in all three; what changes is who does each thing and how often the partner sees an ECM engineer.</w:t>
      </w:r>
    </w:p>
    <w:p>
      <w:pPr>
        <w:pStyle w:val="Heading2"/>
        <w:spacing w:after="170" w:before="320"/>
      </w:pPr>
      <w:r>
        <w:rPr>
          <w:rFonts w:ascii="Cambria" w:cs="Cambria" w:eastAsia="Cambria" w:hAnsi="Cambria"/>
          <w:b/>
          <w:bCs/>
          <w:color w:val="15304F"/>
          <w:sz w:val="27"/>
          <w:szCs w:val="27"/>
        </w:rPr>
        <w:t xml:space="preserve">5.0 The six phases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1500"/>
        <w:gridCol w:w="3200"/>
        <w:gridCol w:w="2200"/>
        <w:gridCol w:w="2460"/>
      </w:tblGrid>
      <w:tr>
        <w:trPr>
          <w:tblHeader/>
        </w:trPr>
        <w:tc>
          <w:tcPr>
            <w:tcW w:type="dxa" w:w="1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Phase</w:t>
            </w:r>
          </w:p>
        </w:tc>
        <w:tc>
          <w:tcPr>
            <w:tcW w:type="dxa" w:w="32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Purpose</w:t>
            </w:r>
          </w:p>
        </w:tc>
        <w:tc>
          <w:tcPr>
            <w:tcW w:type="dxa" w:w="22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Ends with</w:t>
            </w:r>
          </w:p>
        </w:tc>
        <w:tc>
          <w:tcPr>
            <w:tcW w:type="dxa" w:w="24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Primary risk if rushed</w:t>
            </w:r>
          </w:p>
        </w:tc>
      </w:tr>
      <w:tr>
        <w:tc>
          <w:tcPr>
            <w:tcW w:type="dxa" w:w="1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P0  Qualify</w:t>
            </w:r>
          </w:p>
        </w:tc>
        <w:tc>
          <w:tcPr>
            <w:tcW w:type="dxa" w:w="3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Establish what is being asked for and route it</w:t>
            </w:r>
          </w:p>
        </w:tc>
        <w:tc>
          <w:tcPr>
            <w:tcW w:type="dxa" w:w="2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Tier assigned, pattern selected</w:t>
            </w:r>
          </w:p>
        </w:tc>
        <w:tc>
          <w:tcPr>
            <w:tcW w:type="dxa" w:w="24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Wrong tier; pattern mismatch discovered in build</w:t>
            </w:r>
          </w:p>
        </w:tc>
      </w:tr>
      <w:tr>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P1  Design</w:t>
            </w:r>
          </w:p>
        </w:tc>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Settle the determinations the rest depends on</w:t>
            </w:r>
          </w:p>
        </w:tc>
        <w:tc>
          <w:tcPr>
            <w:tcW w:type="dxa" w:w="2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 baseline agreed</w:t>
            </w:r>
          </w:p>
        </w:tc>
        <w:tc>
          <w:tcPr>
            <w:tcW w:type="dxa" w:w="24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Classification or retention rework later</w:t>
            </w:r>
          </w:p>
        </w:tc>
      </w:tr>
      <w:tr>
        <w:tc>
          <w:tcPr>
            <w:tcW w:type="dxa" w:w="1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P2  Provision</w:t>
            </w:r>
          </w:p>
        </w:tc>
        <w:tc>
          <w:tcPr>
            <w:tcW w:type="dxa" w:w="3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Create the platform configuration</w:t>
            </w:r>
          </w:p>
        </w:tc>
        <w:tc>
          <w:tcPr>
            <w:tcW w:type="dxa" w:w="2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Configuration in place, non-production</w:t>
            </w:r>
          </w:p>
        </w:tc>
        <w:tc>
          <w:tcPr>
            <w:tcW w:type="dxa" w:w="24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Access and connectivity delays block build</w:t>
            </w:r>
          </w:p>
        </w:tc>
      </w:tr>
      <w:tr>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P3  Build</w:t>
            </w:r>
          </w:p>
        </w:tc>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 integrates against the configuration</w:t>
            </w:r>
          </w:p>
        </w:tc>
        <w:tc>
          <w:tcPr>
            <w:tcW w:type="dxa" w:w="2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Integration functionally complete</w:t>
            </w:r>
          </w:p>
        </w:tc>
        <w:tc>
          <w:tcPr>
            <w:tcW w:type="dxa" w:w="24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Mismatched assumptions surface in validation</w:t>
            </w:r>
          </w:p>
        </w:tc>
      </w:tr>
      <w:tr>
        <w:tc>
          <w:tcPr>
            <w:tcW w:type="dxa" w:w="1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P4  Validate</w:t>
            </w:r>
          </w:p>
        </w:tc>
        <w:tc>
          <w:tcPr>
            <w:tcW w:type="dxa" w:w="3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Prove it works, at volume, compliantly</w:t>
            </w:r>
          </w:p>
        </w:tc>
        <w:tc>
          <w:tcPr>
            <w:tcW w:type="dxa" w:w="2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All gates cleared</w:t>
            </w:r>
          </w:p>
        </w:tc>
        <w:tc>
          <w:tcPr>
            <w:tcW w:type="dxa" w:w="24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Defects found in production</w:t>
            </w:r>
          </w:p>
        </w:tc>
      </w:tr>
      <w:tr>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P5  Release</w:t>
            </w:r>
          </w:p>
        </w:tc>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Deploy and transfer to support</w:t>
            </w:r>
          </w:p>
        </w:tc>
        <w:tc>
          <w:tcPr>
            <w:tcW w:type="dxa" w:w="2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Live and supported</w:t>
            </w:r>
          </w:p>
        </w:tc>
        <w:tc>
          <w:tcPr>
            <w:tcW w:type="dxa" w:w="24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Unsupportable service in production</w:t>
            </w:r>
          </w:p>
        </w:tc>
      </w:tr>
    </w:tbl>
    <w:p>
      <w:pPr>
        <w:spacing w:after="140"/>
      </w:pPr>
      <w:r>
        <w:t xml:space="preserve"/>
      </w:r>
    </w:p>
    <w:p>
      <w:pPr>
        <w:pStyle w:val="Heading2"/>
        <w:spacing w:after="170" w:before="320"/>
      </w:pPr>
      <w:r>
        <w:rPr>
          <w:rFonts w:ascii="Cambria" w:cs="Cambria" w:eastAsia="Cambria" w:hAnsi="Cambria"/>
          <w:b/>
          <w:bCs/>
          <w:color w:val="15304F"/>
          <w:sz w:val="27"/>
          <w:szCs w:val="27"/>
        </w:rPr>
        <w:t xml:space="preserve">5.1 P0 — Qualification and Tiering</w:t>
      </w:r>
    </w:p>
    <w:p>
      <w:pPr>
        <w:spacing w:after="130" w:before="0"/>
      </w:pPr>
      <w:r>
        <w:rPr>
          <w:rFonts w:ascii="Calibri" w:cs="Calibri" w:eastAsia="Calibri" w:hAnsi="Calibri"/>
          <w:b w:val="false"/>
          <w:bCs w:val="false"/>
          <w:i w:val="false"/>
          <w:iCs w:val="false"/>
          <w:color w:val="1B2432"/>
          <w:sz w:val="21"/>
          <w:szCs w:val="21"/>
        </w:rPr>
        <w:t xml:space="preserve">Every intake enters here regardless of its eventual tier. The purpose is to understand the request well enough to route it, and to route it correctly the first time.</w:t>
      </w:r>
    </w:p>
    <w:p>
      <w:pPr>
        <w:pStyle w:val="Heading3"/>
        <w:spacing w:after="130" w:before="250"/>
      </w:pPr>
      <w:r>
        <w:rPr>
          <w:rFonts w:ascii="Calibri" w:cs="Calibri" w:eastAsia="Calibri" w:hAnsi="Calibri"/>
          <w:b/>
          <w:bCs/>
          <w:color w:val="1B2432"/>
          <w:sz w:val="23"/>
          <w:szCs w:val="23"/>
        </w:rPr>
        <w:t xml:space="preserve">What happens</w:t>
      </w:r>
    </w:p>
    <w:p>
      <w:pPr>
        <w:pStyle w:val="ListParagraph"/>
        <w:numPr>
          <w:ilvl w:val="0"/>
          <w:numId w:val="3"/>
        </w:numPr>
        <w:spacing w:after="75"/>
      </w:pPr>
      <w:r>
        <w:rPr>
          <w:rFonts w:ascii="Calibri" w:cs="Calibri" w:eastAsia="Calibri" w:hAnsi="Calibri"/>
          <w:color w:val="1B2432"/>
          <w:sz w:val="21"/>
          <w:szCs w:val="21"/>
        </w:rPr>
        <w:t xml:space="preserve">The partner raises the intake through the cockpit against a structured specification</w:t>
      </w:r>
    </w:p>
    <w:p>
      <w:pPr>
        <w:pStyle w:val="ListParagraph"/>
        <w:numPr>
          <w:ilvl w:val="0"/>
          <w:numId w:val="3"/>
        </w:numPr>
        <w:spacing w:after="75"/>
      </w:pPr>
      <w:r>
        <w:rPr>
          <w:rFonts w:ascii="Calibri" w:cs="Calibri" w:eastAsia="Calibri" w:hAnsi="Calibri"/>
          <w:color w:val="1B2432"/>
          <w:sz w:val="21"/>
          <w:szCs w:val="21"/>
        </w:rPr>
        <w:t xml:space="preserve">The platform validates completeness before the intake is accepted into the queue at all</w:t>
      </w:r>
    </w:p>
    <w:p>
      <w:pPr>
        <w:pStyle w:val="ListParagraph"/>
        <w:numPr>
          <w:ilvl w:val="0"/>
          <w:numId w:val="3"/>
        </w:numPr>
        <w:spacing w:after="75"/>
      </w:pPr>
      <w:r>
        <w:rPr>
          <w:rFonts w:ascii="Calibri" w:cs="Calibri" w:eastAsia="Calibri" w:hAnsi="Calibri"/>
          <w:color w:val="1B2432"/>
          <w:sz w:val="21"/>
          <w:szCs w:val="21"/>
        </w:rPr>
        <w:t xml:space="preserve">Pattern matching proposes the closest pattern and its maturity level</w:t>
      </w:r>
    </w:p>
    <w:p>
      <w:pPr>
        <w:pStyle w:val="ListParagraph"/>
        <w:numPr>
          <w:ilvl w:val="0"/>
          <w:numId w:val="3"/>
        </w:numPr>
        <w:spacing w:after="75"/>
      </w:pPr>
      <w:r>
        <w:rPr>
          <w:rFonts w:ascii="Calibri" w:cs="Calibri" w:eastAsia="Calibri" w:hAnsi="Calibri"/>
          <w:color w:val="1B2432"/>
          <w:sz w:val="21"/>
          <w:szCs w:val="21"/>
        </w:rPr>
        <w:t xml:space="preserve">The seven determinants are scored, producing a proposed tier</w:t>
      </w:r>
    </w:p>
    <w:p>
      <w:pPr>
        <w:pStyle w:val="ListParagraph"/>
        <w:numPr>
          <w:ilvl w:val="0"/>
          <w:numId w:val="3"/>
        </w:numPr>
        <w:spacing w:after="75"/>
      </w:pPr>
      <w:r>
        <w:rPr>
          <w:rFonts w:ascii="Calibri" w:cs="Calibri" w:eastAsia="Calibri" w:hAnsi="Calibri"/>
          <w:color w:val="1B2432"/>
          <w:sz w:val="21"/>
          <w:szCs w:val="21"/>
        </w:rPr>
        <w:t xml:space="preserve">Hard overrides are applied</w:t>
      </w:r>
    </w:p>
    <w:p>
      <w:pPr>
        <w:pStyle w:val="ListParagraph"/>
        <w:numPr>
          <w:ilvl w:val="0"/>
          <w:numId w:val="3"/>
        </w:numPr>
        <w:spacing w:after="75"/>
      </w:pPr>
      <w:r>
        <w:rPr>
          <w:rFonts w:ascii="Calibri" w:cs="Calibri" w:eastAsia="Calibri" w:hAnsi="Calibri"/>
          <w:color w:val="1B2432"/>
          <w:sz w:val="21"/>
          <w:szCs w:val="21"/>
        </w:rPr>
        <w:t xml:space="preserve">ECM confirms or adjusts the tier, with reason recorded</w:t>
      </w:r>
    </w:p>
    <w:p>
      <w:pPr>
        <w:pStyle w:val="ListParagraph"/>
        <w:numPr>
          <w:ilvl w:val="0"/>
          <w:numId w:val="3"/>
        </w:numPr>
        <w:spacing w:after="75"/>
      </w:pPr>
      <w:r>
        <w:rPr>
          <w:rFonts w:ascii="Calibri" w:cs="Calibri" w:eastAsia="Calibri" w:hAnsi="Calibri"/>
          <w:color w:val="1B2432"/>
          <w:sz w:val="21"/>
          <w:szCs w:val="21"/>
        </w:rPr>
        <w:t xml:space="preserve">Imaging governance is notified early where any content determination will be needed</w:t>
      </w:r>
    </w:p>
    <w:p>
      <w:pPr>
        <w:pStyle w:val="ListParagraph"/>
        <w:numPr>
          <w:ilvl w:val="0"/>
          <w:numId w:val="3"/>
        </w:numPr>
        <w:spacing w:after="75"/>
      </w:pPr>
      <w:r>
        <w:rPr>
          <w:rFonts w:ascii="Calibri" w:cs="Calibri" w:eastAsia="Calibri" w:hAnsi="Calibri"/>
          <w:color w:val="1B2432"/>
          <w:sz w:val="21"/>
          <w:szCs w:val="21"/>
        </w:rPr>
        <w:t xml:space="preserve">The partner is told their tier, what it means, and what they must bring to P1</w:t>
      </w:r>
    </w:p>
    <w:p>
      <w:pPr>
        <w:pStyle w:val="Heading3"/>
        <w:spacing w:after="130" w:before="250"/>
      </w:pPr>
      <w:r>
        <w:rPr>
          <w:rFonts w:ascii="Calibri" w:cs="Calibri" w:eastAsia="Calibri" w:hAnsi="Calibri"/>
          <w:b/>
          <w:bCs/>
          <w:color w:val="1B2432"/>
          <w:sz w:val="23"/>
          <w:szCs w:val="23"/>
        </w:rPr>
        <w:t xml:space="preserve">How it differs by tier</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1700"/>
        <w:gridCol w:w="2550"/>
        <w:gridCol w:w="2550"/>
        <w:gridCol w:w="2560"/>
      </w:tblGrid>
      <w:tr>
        <w:trPr>
          <w:tblHeader/>
        </w:trPr>
        <w:tc>
          <w:tcPr>
            <w:tcW w:type="dxa" w:w="17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
            </w:r>
          </w:p>
        </w:tc>
        <w:tc>
          <w:tcPr>
            <w:tcW w:type="dxa" w:w="255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Lean</w:t>
            </w:r>
          </w:p>
        </w:tc>
        <w:tc>
          <w:tcPr>
            <w:tcW w:type="dxa" w:w="255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Lean+</w:t>
            </w:r>
          </w:p>
        </w:tc>
        <w:tc>
          <w:tcPr>
            <w:tcW w:type="dxa" w:w="25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Dedicated</w:t>
            </w:r>
          </w:p>
        </w:tc>
      </w:tr>
      <w:tr>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Intake authoring</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 guided by the cockpit</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 guided by the cockpit</w:t>
            </w:r>
          </w:p>
        </w:tc>
        <w:tc>
          <w:tcPr>
            <w:tcW w:type="dxa" w:w="2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 with ECM support</w:t>
            </w:r>
          </w:p>
        </w:tc>
      </w:tr>
      <w:tr>
        <w:tc>
          <w:tcPr>
            <w:tcW w:type="dxa" w:w="1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Completeness check</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Automated, blocking</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Automated, blocking</w:t>
            </w:r>
          </w:p>
        </w:tc>
        <w:tc>
          <w:tcPr>
            <w:tcW w:type="dxa" w:w="2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Automated plus review</w:t>
            </w:r>
          </w:p>
        </w:tc>
      </w:tr>
      <w:tr>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Pattern selection</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Automated match, partner confirms</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Automated match, ECM confirms</w:t>
            </w:r>
          </w:p>
        </w:tc>
        <w:tc>
          <w:tcPr>
            <w:tcW w:type="dxa" w:w="2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ECM determines; may be no pattern</w:t>
            </w:r>
          </w:p>
        </w:tc>
      </w:tr>
      <w:tr>
        <w:tc>
          <w:tcPr>
            <w:tcW w:type="dxa" w:w="1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Tier confirmation</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Automated unless overridden</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ECM enablement lead</w:t>
            </w:r>
          </w:p>
        </w:tc>
        <w:tc>
          <w:tcPr>
            <w:tcW w:type="dxa" w:w="2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ECM enablement lead</w:t>
            </w:r>
          </w:p>
        </w:tc>
      </w:tr>
      <w:tr>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Output</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Pattern instantiated, work can start</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Guide assigned, checkpoints booked</w:t>
            </w:r>
          </w:p>
        </w:tc>
        <w:tc>
          <w:tcPr>
            <w:tcW w:type="dxa" w:w="2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Pod assigned or queued</w:t>
            </w:r>
          </w:p>
        </w:tc>
      </w:tr>
    </w:tbl>
    <w:p>
      <w:pPr>
        <w:spacing w:after="140"/>
      </w:pPr>
      <w:r>
        <w:t xml:space="preserve"/>
      </w:r>
    </w:p>
    <w:p>
      <w:pPr>
        <w:spacing w:after="130" w:before="0"/>
      </w:pPr>
      <w:r>
        <w:rPr>
          <w:rFonts w:ascii="Calibri" w:cs="Calibri" w:eastAsia="Calibri" w:hAnsi="Calibri"/>
          <w:b/>
          <w:bCs/>
          <w:i w:val="false"/>
          <w:iCs w:val="false"/>
          <w:color w:val="A44A2A"/>
          <w:sz w:val="21"/>
          <w:szCs w:val="21"/>
        </w:rPr>
        <w:t xml:space="preserve">Gate P0 — Qualified. </w:t>
      </w:r>
      <w:r>
        <w:rPr>
          <w:rFonts w:ascii="Calibri" w:cs="Calibri" w:eastAsia="Calibri" w:hAnsi="Calibri"/>
          <w:b w:val="false"/>
          <w:bCs w:val="false"/>
          <w:i w:val="false"/>
          <w:iCs w:val="false"/>
          <w:color w:val="1B2432"/>
          <w:sz w:val="21"/>
          <w:szCs w:val="21"/>
        </w:rPr>
        <w:t xml:space="preserve">The intake is complete against the published specification, a pattern is selected or the absence of one is recorded, the tier is assigned, and the partner has accepted the operating terms of that tier. No work proceeds without this.</w:t>
      </w:r>
    </w:p>
    <w:p>
      <w:pPr>
        <w:pStyle w:val="Heading2"/>
        <w:spacing w:after="170" w:before="320"/>
      </w:pPr>
      <w:r>
        <w:rPr>
          <w:rFonts w:ascii="Cambria" w:cs="Cambria" w:eastAsia="Cambria" w:hAnsi="Cambria"/>
          <w:b/>
          <w:bCs/>
          <w:color w:val="15304F"/>
          <w:sz w:val="27"/>
          <w:szCs w:val="27"/>
        </w:rPr>
        <w:t xml:space="preserve">5.2 P1 — Discovery and Design</w:t>
      </w:r>
    </w:p>
    <w:p>
      <w:pPr>
        <w:spacing w:after="130" w:before="0"/>
      </w:pPr>
      <w:r>
        <w:rPr>
          <w:rFonts w:ascii="Calibri" w:cs="Calibri" w:eastAsia="Calibri" w:hAnsi="Calibri"/>
          <w:b w:val="false"/>
          <w:bCs w:val="false"/>
          <w:i w:val="false"/>
          <w:iCs w:val="false"/>
          <w:color w:val="1B2432"/>
          <w:sz w:val="21"/>
          <w:szCs w:val="21"/>
        </w:rPr>
        <w:t xml:space="preserve">The phase where the determinations that everything downstream depends on are made. The heaviest phase for Dedicated and the lightest for Lean — because in Lean, the determinations were already made when the pattern was built.</w:t>
      </w:r>
    </w:p>
    <w:p>
      <w:pPr>
        <w:pStyle w:val="Heading3"/>
        <w:spacing w:after="130" w:before="250"/>
      </w:pPr>
      <w:r>
        <w:rPr>
          <w:rFonts w:ascii="Calibri" w:cs="Calibri" w:eastAsia="Calibri" w:hAnsi="Calibri"/>
          <w:b/>
          <w:bCs/>
          <w:color w:val="1B2432"/>
          <w:sz w:val="23"/>
          <w:szCs w:val="23"/>
        </w:rPr>
        <w:t xml:space="preserve">What happens</w:t>
      </w:r>
    </w:p>
    <w:p>
      <w:pPr>
        <w:pStyle w:val="ListParagraph"/>
        <w:numPr>
          <w:ilvl w:val="0"/>
          <w:numId w:val="3"/>
        </w:numPr>
        <w:spacing w:after="75"/>
      </w:pPr>
      <w:r>
        <w:rPr>
          <w:rFonts w:ascii="Calibri" w:cs="Calibri" w:eastAsia="Calibri" w:hAnsi="Calibri"/>
          <w:color w:val="1B2432"/>
          <w:sz w:val="21"/>
          <w:szCs w:val="21"/>
        </w:rPr>
        <w:t xml:space="preserve">Document samples are presented on the flow and imaging governance determines trust posture</w:t>
      </w:r>
    </w:p>
    <w:p>
      <w:pPr>
        <w:pStyle w:val="ListParagraph"/>
        <w:numPr>
          <w:ilvl w:val="0"/>
          <w:numId w:val="3"/>
        </w:numPr>
        <w:spacing w:after="75"/>
      </w:pPr>
      <w:r>
        <w:rPr>
          <w:rFonts w:ascii="Calibri" w:cs="Calibri" w:eastAsia="Calibri" w:hAnsi="Calibri"/>
          <w:color w:val="1B2432"/>
          <w:sz w:val="21"/>
          <w:szCs w:val="21"/>
        </w:rPr>
        <w:t xml:space="preserve">For trusted content, governance allocates document category, type and subtype</w:t>
      </w:r>
    </w:p>
    <w:p>
      <w:pPr>
        <w:pStyle w:val="ListParagraph"/>
        <w:numPr>
          <w:ilvl w:val="0"/>
          <w:numId w:val="3"/>
        </w:numPr>
        <w:spacing w:after="75"/>
      </w:pPr>
      <w:r>
        <w:rPr>
          <w:rFonts w:ascii="Calibri" w:cs="Calibri" w:eastAsia="Calibri" w:hAnsi="Calibri"/>
          <w:color w:val="1B2432"/>
          <w:sz w:val="21"/>
          <w:szCs w:val="21"/>
        </w:rPr>
        <w:t xml:space="preserve">For untrusted content, knowledge base coverage is assessed and any extension is scoped</w:t>
      </w:r>
    </w:p>
    <w:p>
      <w:pPr>
        <w:pStyle w:val="ListParagraph"/>
        <w:numPr>
          <w:ilvl w:val="0"/>
          <w:numId w:val="3"/>
        </w:numPr>
        <w:spacing w:after="75"/>
      </w:pPr>
      <w:r>
        <w:rPr>
          <w:rFonts w:ascii="Calibri" w:cs="Calibri" w:eastAsia="Calibri" w:hAnsi="Calibri"/>
          <w:color w:val="1B2432"/>
          <w:sz w:val="21"/>
          <w:szCs w:val="21"/>
        </w:rPr>
        <w:t xml:space="preserve">Retention obligations are gathered and the records management questionnaire is drafted</w:t>
      </w:r>
    </w:p>
    <w:p>
      <w:pPr>
        <w:pStyle w:val="ListParagraph"/>
        <w:numPr>
          <w:ilvl w:val="0"/>
          <w:numId w:val="3"/>
        </w:numPr>
        <w:spacing w:after="75"/>
      </w:pPr>
      <w:r>
        <w:rPr>
          <w:rFonts w:ascii="Calibri" w:cs="Calibri" w:eastAsia="Calibri" w:hAnsi="Calibri"/>
          <w:color w:val="1B2432"/>
          <w:sz w:val="21"/>
          <w:szCs w:val="21"/>
        </w:rPr>
        <w:t xml:space="preserve">Metadata model, search filters and security mappings are established</w:t>
      </w:r>
    </w:p>
    <w:p>
      <w:pPr>
        <w:pStyle w:val="ListParagraph"/>
        <w:numPr>
          <w:ilvl w:val="0"/>
          <w:numId w:val="3"/>
        </w:numPr>
        <w:spacing w:after="75"/>
      </w:pPr>
      <w:r>
        <w:rPr>
          <w:rFonts w:ascii="Calibri" w:cs="Calibri" w:eastAsia="Calibri" w:hAnsi="Calibri"/>
          <w:color w:val="1B2432"/>
          <w:sz w:val="21"/>
          <w:szCs w:val="21"/>
        </w:rPr>
        <w:t xml:space="preserve">Channel and ingestion approach are fixed</w:t>
      </w:r>
    </w:p>
    <w:p>
      <w:pPr>
        <w:pStyle w:val="ListParagraph"/>
        <w:numPr>
          <w:ilvl w:val="0"/>
          <w:numId w:val="3"/>
        </w:numPr>
        <w:spacing w:after="75"/>
      </w:pPr>
      <w:r>
        <w:rPr>
          <w:rFonts w:ascii="Calibri" w:cs="Calibri" w:eastAsia="Calibri" w:hAnsi="Calibri"/>
          <w:color w:val="1B2432"/>
          <w:sz w:val="21"/>
          <w:szCs w:val="21"/>
        </w:rPr>
        <w:t xml:space="preserve">Volume profile is refined and load testing applicability determined</w:t>
      </w:r>
    </w:p>
    <w:p>
      <w:pPr>
        <w:pStyle w:val="ListParagraph"/>
        <w:numPr>
          <w:ilvl w:val="0"/>
          <w:numId w:val="3"/>
        </w:numPr>
        <w:spacing w:after="75"/>
      </w:pPr>
      <w:r>
        <w:rPr>
          <w:rFonts w:ascii="Calibri" w:cs="Calibri" w:eastAsia="Calibri" w:hAnsi="Calibri"/>
          <w:color w:val="1B2432"/>
          <w:sz w:val="21"/>
          <w:szCs w:val="21"/>
        </w:rPr>
        <w:t xml:space="preserve">The design baseline is recorded against the intake</w:t>
      </w:r>
    </w:p>
    <w:p>
      <w:pPr>
        <w:pStyle w:val="Heading3"/>
        <w:spacing w:after="130" w:before="250"/>
      </w:pPr>
      <w:r>
        <w:rPr>
          <w:rFonts w:ascii="Calibri" w:cs="Calibri" w:eastAsia="Calibri" w:hAnsi="Calibri"/>
          <w:b/>
          <w:bCs/>
          <w:color w:val="1B2432"/>
          <w:sz w:val="23"/>
          <w:szCs w:val="23"/>
        </w:rPr>
        <w:t xml:space="preserve">How it differs by tier</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1700"/>
        <w:gridCol w:w="2550"/>
        <w:gridCol w:w="2550"/>
        <w:gridCol w:w="2560"/>
      </w:tblGrid>
      <w:tr>
        <w:trPr>
          <w:tblHeader/>
        </w:trPr>
        <w:tc>
          <w:tcPr>
            <w:tcW w:type="dxa" w:w="17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
            </w:r>
          </w:p>
        </w:tc>
        <w:tc>
          <w:tcPr>
            <w:tcW w:type="dxa" w:w="255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Lean</w:t>
            </w:r>
          </w:p>
        </w:tc>
        <w:tc>
          <w:tcPr>
            <w:tcW w:type="dxa" w:w="255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Lean+</w:t>
            </w:r>
          </w:p>
        </w:tc>
        <w:tc>
          <w:tcPr>
            <w:tcW w:type="dxa" w:w="25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Dedicated</w:t>
            </w:r>
          </w:p>
        </w:tc>
      </w:tr>
      <w:tr>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Trust determination</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Already determined for this pattern and content set</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Governance determines; guide assembles submission</w:t>
            </w:r>
          </w:p>
        </w:tc>
        <w:tc>
          <w:tcPr>
            <w:tcW w:type="dxa" w:w="2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Governance determines; pod assembles and drives</w:t>
            </w:r>
          </w:p>
        </w:tc>
      </w:tr>
      <w:tr>
        <w:tc>
          <w:tcPr>
            <w:tcW w:type="dxa" w:w="1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Metadata mapping</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Pattern template applied unchanged</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 drafts against template; ECM reviews</w:t>
            </w:r>
          </w:p>
        </w:tc>
        <w:tc>
          <w:tcPr>
            <w:tcW w:type="dxa" w:w="2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ECM authors with partner and business users</w:t>
            </w:r>
          </w:p>
        </w:tc>
      </w:tr>
      <w:tr>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Retention</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Existing position reused; RM confirms</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 completes questionnaire; RM reviews</w:t>
            </w:r>
          </w:p>
        </w:tc>
        <w:tc>
          <w:tcPr>
            <w:tcW w:type="dxa" w:w="2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ECM drafts questionnaire; RM reviews</w:t>
            </w:r>
          </w:p>
        </w:tc>
      </w:tr>
      <w:tr>
        <w:tc>
          <w:tcPr>
            <w:tcW w:type="dxa" w:w="1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 review</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None — the pattern is the design</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Mandatory checkpoint 1</w:t>
            </w:r>
          </w:p>
        </w:tc>
        <w:tc>
          <w:tcPr>
            <w:tcW w:type="dxa" w:w="2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Continuous</w:t>
            </w:r>
          </w:p>
        </w:tc>
      </w:tr>
      <w:tr>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Elapsed shape</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Hours to days</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Two to four weeks, checkpoint-bound</w:t>
            </w:r>
          </w:p>
        </w:tc>
        <w:tc>
          <w:tcPr>
            <w:tcW w:type="dxa" w:w="2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Weeks, discussion-bound</w:t>
            </w:r>
          </w:p>
        </w:tc>
      </w:tr>
    </w:tbl>
    <w:p>
      <w:pPr>
        <w:spacing w:after="140"/>
      </w:pPr>
      <w:r>
        <w:t xml:space="preserve"/>
      </w:r>
    </w:p>
    <w:p>
      <w:pPr>
        <w:spacing w:after="130" w:before="0"/>
      </w:pPr>
      <w:r>
        <w:rPr>
          <w:rFonts w:ascii="Calibri" w:cs="Calibri" w:eastAsia="Calibri" w:hAnsi="Calibri"/>
          <w:b/>
          <w:bCs/>
          <w:i w:val="false"/>
          <w:iCs w:val="false"/>
          <w:color w:val="A44A2A"/>
          <w:sz w:val="21"/>
          <w:szCs w:val="21"/>
        </w:rPr>
        <w:t xml:space="preserve">Gate P1 — Design baselined. </w:t>
      </w:r>
      <w:r>
        <w:rPr>
          <w:rFonts w:ascii="Calibri" w:cs="Calibri" w:eastAsia="Calibri" w:hAnsi="Calibri"/>
          <w:b w:val="false"/>
          <w:bCs w:val="false"/>
          <w:i w:val="false"/>
          <w:iCs w:val="false"/>
          <w:color w:val="1B2432"/>
          <w:sz w:val="21"/>
          <w:szCs w:val="21"/>
        </w:rPr>
        <w:t xml:space="preserve">Trust posture determined and registered. Classification allocated or knowledge base coverage confirmed. Retention position approved by records management. Metadata model agreed. Volume profile assessed and load testing applicability determined. Every one of these is a hard stop in all three tiers.</w:t>
      </w:r>
    </w:p>
    <w:tbl>
      <w:tblPr>
        <w:tblW w:type="dxa" w:w="9360"/>
        <w:tblBorders>
          <w:top w:val="single" w:color="0B6E6E" w:sz="6"/>
          <w:left w:val="single" w:color="0B6E6E" w:sz="6"/>
          <w:bottom w:val="single" w:color="0B6E6E" w:sz="6"/>
          <w:right w:val="single" w:color="0B6E6E" w:sz="6"/>
          <w:insideH w:val="none"/>
          <w:insideV w:val="none"/>
        </w:tblBorders>
      </w:tblPr>
      <w:tblGrid>
        <w:gridCol w:w="9360"/>
      </w:tblGrid>
      <w:tr>
        <w:tc>
          <w:tcPr>
            <w:tcW w:type="dxa" w:w="9360"/>
            <w:shd w:fill="E6F2F1" w:color="auto" w:val="clear"/>
            <w:tcMar>
              <w:top w:type="dxa" w:w="140"/>
              <w:left w:type="dxa" w:w="165"/>
              <w:bottom w:type="dxa" w:w="140"/>
              <w:right w:type="dxa" w:w="165"/>
            </w:tcMar>
          </w:tcPr>
          <w:p>
            <w:pPr>
              <w:spacing w:after="85"/>
            </w:pPr>
            <w:r>
              <w:rPr>
                <w:rFonts w:ascii="Calibri" w:cs="Calibri" w:eastAsia="Calibri" w:hAnsi="Calibri"/>
                <w:b/>
                <w:bCs/>
                <w:color w:val="0B6E6E"/>
                <w:sz w:val="20"/>
                <w:szCs w:val="20"/>
              </w:rPr>
              <w:t xml:space="preserve">WHY P1 IS WHERE THE MODEL EARNS OR LOSES ITS CREDIBILITY</w:t>
            </w:r>
          </w:p>
          <w:p>
            <w:pPr>
              <w:spacing w:after="65"/>
            </w:pPr>
            <w:r>
              <w:rPr>
                <w:rFonts w:ascii="Calibri" w:cs="Calibri" w:eastAsia="Calibri" w:hAnsi="Calibri"/>
                <w:color w:val="1B2432"/>
                <w:sz w:val="20"/>
                <w:szCs w:val="20"/>
              </w:rPr>
              <w:t xml:space="preserve">Every expensive failure in onboarding traces back to a determination made late or assumed. A classification discovered to be wrong after repository configuration means rework. A retention position discovered to be regulated after profile design means redesign. A knowledge base gap discovered during integration testing means weeks of delay that look like a configuration defect.</w:t>
            </w:r>
          </w:p>
          <w:p>
            <w:pPr>
              <w:spacing w:after="65"/>
            </w:pPr>
            <w:r>
              <w:rPr>
                <w:rFonts w:ascii="Calibri" w:cs="Calibri" w:eastAsia="Calibri" w:hAnsi="Calibri"/>
                <w:color w:val="1B2432"/>
                <w:sz w:val="20"/>
                <w:szCs w:val="20"/>
              </w:rPr>
              <w:t xml:space="preserve">In Lean, these determinations are not skipped — they were made once, when the pattern was built, and the pattern is only applicable to content where they still hold.</w:t>
            </w:r>
          </w:p>
          <w:p>
            <w:pPr>
              <w:spacing w:after="65"/>
            </w:pPr>
            <w:r>
              <w:rPr>
                <w:rFonts w:ascii="Calibri" w:cs="Calibri" w:eastAsia="Calibri" w:hAnsi="Calibri"/>
                <w:color w:val="1B2432"/>
                <w:sz w:val="20"/>
                <w:szCs w:val="20"/>
              </w:rPr>
              <w:t xml:space="preserve">That is the precise mechanism by which Lean is fast without being reckless. It is worth saying out loud to any audience that suspects the lighter tier is cutting corners.</w:t>
            </w:r>
          </w:p>
        </w:tc>
      </w:tr>
    </w:tbl>
    <w:p>
      <w:r>
        <w:br w:type="page"/>
      </w:r>
    </w:p>
    <w:p>
      <w:pPr>
        <w:pStyle w:val="Heading2"/>
        <w:spacing w:after="170" w:before="320"/>
      </w:pPr>
      <w:r>
        <w:rPr>
          <w:rFonts w:ascii="Cambria" w:cs="Cambria" w:eastAsia="Cambria" w:hAnsi="Cambria"/>
          <w:b/>
          <w:bCs/>
          <w:color w:val="15304F"/>
          <w:sz w:val="27"/>
          <w:szCs w:val="27"/>
        </w:rPr>
        <w:t xml:space="preserve">5.3 P2 — Provisioning and Configuration</w:t>
      </w:r>
    </w:p>
    <w:p>
      <w:pPr>
        <w:spacing w:after="130" w:before="0"/>
      </w:pPr>
      <w:r>
        <w:rPr>
          <w:rFonts w:ascii="Calibri" w:cs="Calibri" w:eastAsia="Calibri" w:hAnsi="Calibri"/>
          <w:b w:val="false"/>
          <w:bCs w:val="false"/>
          <w:i w:val="false"/>
          <w:iCs w:val="false"/>
          <w:color w:val="1B2432"/>
          <w:sz w:val="21"/>
          <w:szCs w:val="21"/>
        </w:rPr>
        <w:t xml:space="preserve">Turning the design into actual platform configuration. This phase is dominated by lead-time items and routing rules, which makes it the phase where automation yields the most and judgement is needed the least.</w:t>
      </w:r>
    </w:p>
    <w:p>
      <w:pPr>
        <w:pStyle w:val="Heading3"/>
        <w:spacing w:after="130" w:before="250"/>
      </w:pPr>
      <w:r>
        <w:rPr>
          <w:rFonts w:ascii="Calibri" w:cs="Calibri" w:eastAsia="Calibri" w:hAnsi="Calibri"/>
          <w:b/>
          <w:bCs/>
          <w:color w:val="1B2432"/>
          <w:sz w:val="23"/>
          <w:szCs w:val="23"/>
        </w:rPr>
        <w:t xml:space="preserve">What happens</w:t>
      </w:r>
    </w:p>
    <w:p>
      <w:pPr>
        <w:pStyle w:val="ListParagraph"/>
        <w:numPr>
          <w:ilvl w:val="0"/>
          <w:numId w:val="3"/>
        </w:numPr>
        <w:spacing w:after="75"/>
      </w:pPr>
      <w:r>
        <w:rPr>
          <w:rFonts w:ascii="Calibri" w:cs="Calibri" w:eastAsia="Calibri" w:hAnsi="Calibri"/>
          <w:color w:val="1B2432"/>
          <w:sz w:val="21"/>
          <w:szCs w:val="21"/>
        </w:rPr>
        <w:t xml:space="preserve">Application identity established and all downstream requests linked to it</w:t>
      </w:r>
    </w:p>
    <w:p>
      <w:pPr>
        <w:pStyle w:val="ListParagraph"/>
        <w:numPr>
          <w:ilvl w:val="0"/>
          <w:numId w:val="3"/>
        </w:numPr>
        <w:spacing w:after="75"/>
      </w:pPr>
      <w:r>
        <w:rPr>
          <w:rFonts w:ascii="Calibri" w:cs="Calibri" w:eastAsia="Calibri" w:hAnsi="Calibri"/>
          <w:color w:val="1B2432"/>
          <w:sz w:val="21"/>
          <w:szCs w:val="21"/>
        </w:rPr>
        <w:t xml:space="preserve">Certificates requested and installed</w:t>
      </w:r>
    </w:p>
    <w:p>
      <w:pPr>
        <w:pStyle w:val="ListParagraph"/>
        <w:numPr>
          <w:ilvl w:val="0"/>
          <w:numId w:val="3"/>
        </w:numPr>
        <w:spacing w:after="75"/>
      </w:pPr>
      <w:r>
        <w:rPr>
          <w:rFonts w:ascii="Calibri" w:cs="Calibri" w:eastAsia="Calibri" w:hAnsi="Calibri"/>
          <w:color w:val="1B2432"/>
          <w:sz w:val="21"/>
          <w:szCs w:val="21"/>
        </w:rPr>
        <w:t xml:space="preserve">Service accounts and group membership provisioned</w:t>
      </w:r>
    </w:p>
    <w:p>
      <w:pPr>
        <w:pStyle w:val="ListParagraph"/>
        <w:numPr>
          <w:ilvl w:val="0"/>
          <w:numId w:val="3"/>
        </w:numPr>
        <w:spacing w:after="75"/>
      </w:pPr>
      <w:r>
        <w:rPr>
          <w:rFonts w:ascii="Calibri" w:cs="Calibri" w:eastAsia="Calibri" w:hAnsi="Calibri"/>
          <w:color w:val="1B2432"/>
          <w:sz w:val="21"/>
          <w:szCs w:val="21"/>
        </w:rPr>
        <w:t xml:space="preserve">Human user access provisioned across environments on the correct routing path</w:t>
      </w:r>
    </w:p>
    <w:p>
      <w:pPr>
        <w:pStyle w:val="ListParagraph"/>
        <w:numPr>
          <w:ilvl w:val="0"/>
          <w:numId w:val="3"/>
        </w:numPr>
        <w:spacing w:after="75"/>
      </w:pPr>
      <w:r>
        <w:rPr>
          <w:rFonts w:ascii="Calibri" w:cs="Calibri" w:eastAsia="Calibri" w:hAnsi="Calibri"/>
          <w:color w:val="1B2432"/>
          <w:sz w:val="21"/>
          <w:szCs w:val="21"/>
        </w:rPr>
        <w:t xml:space="preserve">Firewall connectivity opened from the partner zone</w:t>
      </w:r>
    </w:p>
    <w:p>
      <w:pPr>
        <w:pStyle w:val="ListParagraph"/>
        <w:numPr>
          <w:ilvl w:val="0"/>
          <w:numId w:val="3"/>
        </w:numPr>
        <w:spacing w:after="75"/>
      </w:pPr>
      <w:r>
        <w:rPr>
          <w:rFonts w:ascii="Calibri" w:cs="Calibri" w:eastAsia="Calibri" w:hAnsi="Calibri"/>
          <w:color w:val="1B2432"/>
          <w:sz w:val="21"/>
          <w:szCs w:val="21"/>
        </w:rPr>
        <w:t xml:space="preserve">Gateway marketplace onboarding and API product subscription</w:t>
      </w:r>
    </w:p>
    <w:p>
      <w:pPr>
        <w:pStyle w:val="ListParagraph"/>
        <w:numPr>
          <w:ilvl w:val="0"/>
          <w:numId w:val="3"/>
        </w:numPr>
        <w:spacing w:after="75"/>
      </w:pPr>
      <w:r>
        <w:rPr>
          <w:rFonts w:ascii="Calibri" w:cs="Calibri" w:eastAsia="Calibri" w:hAnsi="Calibri"/>
          <w:color w:val="1B2432"/>
          <w:sz w:val="21"/>
          <w:szCs w:val="21"/>
        </w:rPr>
        <w:t xml:space="preserve">Notification topic consumer groups created and ingestion notifications enabled</w:t>
      </w:r>
    </w:p>
    <w:p>
      <w:pPr>
        <w:pStyle w:val="ListParagraph"/>
        <w:numPr>
          <w:ilvl w:val="0"/>
          <w:numId w:val="3"/>
        </w:numPr>
        <w:spacing w:after="75"/>
      </w:pPr>
      <w:r>
        <w:rPr>
          <w:rFonts w:ascii="Calibri" w:cs="Calibri" w:eastAsia="Calibri" w:hAnsi="Calibri"/>
          <w:color w:val="1B2432"/>
          <w:sz w:val="21"/>
          <w:szCs w:val="21"/>
        </w:rPr>
        <w:t xml:space="preserve">Repository profiles instantiated for the determined trust postures</w:t>
      </w:r>
    </w:p>
    <w:p>
      <w:pPr>
        <w:pStyle w:val="ListParagraph"/>
        <w:numPr>
          <w:ilvl w:val="0"/>
          <w:numId w:val="3"/>
        </w:numPr>
        <w:spacing w:after="75"/>
      </w:pPr>
      <w:r>
        <w:rPr>
          <w:rFonts w:ascii="Calibri" w:cs="Calibri" w:eastAsia="Calibri" w:hAnsi="Calibri"/>
          <w:color w:val="1B2432"/>
          <w:sz w:val="21"/>
          <w:szCs w:val="21"/>
        </w:rPr>
        <w:t xml:space="preserve">Retention configuration applied by records management</w:t>
      </w:r>
    </w:p>
    <w:p>
      <w:pPr>
        <w:pStyle w:val="ListParagraph"/>
        <w:numPr>
          <w:ilvl w:val="0"/>
          <w:numId w:val="3"/>
        </w:numPr>
        <w:spacing w:after="75"/>
      </w:pPr>
      <w:r>
        <w:rPr>
          <w:rFonts w:ascii="Calibri" w:cs="Calibri" w:eastAsia="Calibri" w:hAnsi="Calibri"/>
          <w:color w:val="1B2432"/>
          <w:sz w:val="21"/>
          <w:szCs w:val="21"/>
        </w:rPr>
        <w:t xml:space="preserve">Classification profiles configured against the trained model</w:t>
      </w:r>
    </w:p>
    <w:p>
      <w:pPr>
        <w:pStyle w:val="ListParagraph"/>
        <w:numPr>
          <w:ilvl w:val="0"/>
          <w:numId w:val="3"/>
        </w:numPr>
        <w:spacing w:after="75"/>
      </w:pPr>
      <w:r>
        <w:rPr>
          <w:rFonts w:ascii="Calibri" w:cs="Calibri" w:eastAsia="Calibri" w:hAnsi="Calibri"/>
          <w:color w:val="1B2432"/>
          <w:sz w:val="21"/>
          <w:szCs w:val="21"/>
        </w:rPr>
        <w:t xml:space="preserve">Test collections generated for the partner</w:t>
      </w:r>
    </w:p>
    <w:p>
      <w:pPr>
        <w:pStyle w:val="Heading3"/>
        <w:spacing w:after="130" w:before="250"/>
      </w:pPr>
      <w:r>
        <w:rPr>
          <w:rFonts w:ascii="Calibri" w:cs="Calibri" w:eastAsia="Calibri" w:hAnsi="Calibri"/>
          <w:b/>
          <w:bCs/>
          <w:color w:val="1B2432"/>
          <w:sz w:val="23"/>
          <w:szCs w:val="23"/>
        </w:rPr>
        <w:t xml:space="preserve">How it differs by tier</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1700"/>
        <w:gridCol w:w="2550"/>
        <w:gridCol w:w="2550"/>
        <w:gridCol w:w="2560"/>
      </w:tblGrid>
      <w:tr>
        <w:trPr>
          <w:tblHeader/>
        </w:trPr>
        <w:tc>
          <w:tcPr>
            <w:tcW w:type="dxa" w:w="17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
            </w:r>
          </w:p>
        </w:tc>
        <w:tc>
          <w:tcPr>
            <w:tcW w:type="dxa" w:w="255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Lean</w:t>
            </w:r>
          </w:p>
        </w:tc>
        <w:tc>
          <w:tcPr>
            <w:tcW w:type="dxa" w:w="255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Lean+</w:t>
            </w:r>
          </w:p>
        </w:tc>
        <w:tc>
          <w:tcPr>
            <w:tcW w:type="dxa" w:w="25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Dedicated</w:t>
            </w:r>
          </w:p>
        </w:tc>
      </w:tr>
      <w:tr>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Provisioning execution</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 self-serves within policy bounds</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 self-serves; ECM handles exceptions</w:t>
            </w:r>
          </w:p>
        </w:tc>
        <w:tc>
          <w:tcPr>
            <w:tcW w:type="dxa" w:w="2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ECM provisions on partner's behalf</w:t>
            </w:r>
          </w:p>
        </w:tc>
      </w:tr>
      <w:tr>
        <w:tc>
          <w:tcPr>
            <w:tcW w:type="dxa" w:w="1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Routing resolution</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Automated, refuses rather than guesses</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Automated</w:t>
            </w:r>
          </w:p>
        </w:tc>
        <w:tc>
          <w:tcPr>
            <w:tcW w:type="dxa" w:w="2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Automated, with engineer oversight</w:t>
            </w:r>
          </w:p>
        </w:tc>
      </w:tr>
      <w:tr>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Approvals</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Routed automatically, tracked in cockpit</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Routed automatically, guide chases</w:t>
            </w:r>
          </w:p>
        </w:tc>
        <w:tc>
          <w:tcPr>
            <w:tcW w:type="dxa" w:w="2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Pod chases directly</w:t>
            </w:r>
          </w:p>
        </w:tc>
      </w:tr>
      <w:tr>
        <w:tc>
          <w:tcPr>
            <w:tcW w:type="dxa" w:w="1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Profile configuration</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Template instantiated</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Template with reviewed variation</w:t>
            </w:r>
          </w:p>
        </w:tc>
        <w:tc>
          <w:tcPr>
            <w:tcW w:type="dxa" w:w="2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Authored</w:t>
            </w:r>
          </w:p>
        </w:tc>
      </w:tr>
      <w:tr>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Exception handling</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Gate failure routes to clinic</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Guide resolves or escalates</w:t>
            </w:r>
          </w:p>
        </w:tc>
        <w:tc>
          <w:tcPr>
            <w:tcW w:type="dxa" w:w="2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Pod resolves inline</w:t>
            </w:r>
          </w:p>
        </w:tc>
      </w:tr>
    </w:tbl>
    <w:p>
      <w:pPr>
        <w:spacing w:after="140"/>
      </w:pPr>
      <w:r>
        <w:t xml:space="preserve"/>
      </w:r>
    </w:p>
    <w:p>
      <w:pPr>
        <w:spacing w:after="130" w:before="0"/>
      </w:pPr>
      <w:r>
        <w:rPr>
          <w:rFonts w:ascii="Calibri" w:cs="Calibri" w:eastAsia="Calibri" w:hAnsi="Calibri"/>
          <w:b/>
          <w:bCs/>
          <w:i w:val="false"/>
          <w:iCs w:val="false"/>
          <w:color w:val="A44A2A"/>
          <w:sz w:val="21"/>
          <w:szCs w:val="21"/>
        </w:rPr>
        <w:t xml:space="preserve">Gate P2 — Provisioned. </w:t>
      </w:r>
      <w:r>
        <w:rPr>
          <w:rFonts w:ascii="Calibri" w:cs="Calibri" w:eastAsia="Calibri" w:hAnsi="Calibri"/>
          <w:b w:val="false"/>
          <w:bCs w:val="false"/>
          <w:i w:val="false"/>
          <w:iCs w:val="false"/>
          <w:color w:val="1B2432"/>
          <w:sz w:val="21"/>
          <w:szCs w:val="21"/>
        </w:rPr>
        <w:t xml:space="preserve">Identity, certificates, accounts, access and connectivity in place. Subscriptions and topics live in non-production. Profiles instantiated. Retention configured and confirmed by records management. Security analysis signed off. Test collections issued.</w:t>
      </w:r>
    </w:p>
    <w:p>
      <w:pPr>
        <w:spacing w:after="130" w:before="110"/>
      </w:pPr>
      <w:r>
        <w:rPr>
          <w:rFonts w:ascii="Calibri" w:cs="Calibri" w:eastAsia="Calibri" w:hAnsi="Calibri"/>
          <w:b w:val="false"/>
          <w:bCs w:val="false"/>
          <w:i w:val="false"/>
          <w:iCs w:val="false"/>
          <w:color w:val="1B2432"/>
          <w:sz w:val="21"/>
          <w:szCs w:val="21"/>
        </w:rPr>
        <w:t xml:space="preserve">This phase deserves particular attention in the business case. Almost everything in it is rule-application and request-routing — the work that currently consumes the most engineer attention for the least design value, and where misrouting fails silently rather than loudly. It is the highest-yield automation target in the entire lifecycle.</w:t>
      </w:r>
    </w:p>
    <w:p>
      <w:pPr>
        <w:pStyle w:val="Heading2"/>
        <w:spacing w:after="170" w:before="320"/>
      </w:pPr>
      <w:r>
        <w:rPr>
          <w:rFonts w:ascii="Cambria" w:cs="Cambria" w:eastAsia="Cambria" w:hAnsi="Cambria"/>
          <w:b/>
          <w:bCs/>
          <w:color w:val="15304F"/>
          <w:sz w:val="27"/>
          <w:szCs w:val="27"/>
        </w:rPr>
        <w:t xml:space="preserve">5.4 P3 — Build and Integration</w:t>
      </w:r>
    </w:p>
    <w:p>
      <w:pPr>
        <w:spacing w:after="130" w:before="0"/>
      </w:pPr>
      <w:r>
        <w:rPr>
          <w:rFonts w:ascii="Calibri" w:cs="Calibri" w:eastAsia="Calibri" w:hAnsi="Calibri"/>
          <w:b w:val="false"/>
          <w:bCs w:val="false"/>
          <w:i w:val="false"/>
          <w:iCs w:val="false"/>
          <w:color w:val="1B2432"/>
          <w:sz w:val="21"/>
          <w:szCs w:val="21"/>
        </w:rPr>
        <w:t xml:space="preserve">The partner builds against the provisioned configuration. ECM's role here is smallest in every tier, because the work is substantially the partner's own application development.</w:t>
      </w:r>
    </w:p>
    <w:p>
      <w:pPr>
        <w:pStyle w:val="Heading3"/>
        <w:spacing w:after="130" w:before="250"/>
      </w:pPr>
      <w:r>
        <w:rPr>
          <w:rFonts w:ascii="Calibri" w:cs="Calibri" w:eastAsia="Calibri" w:hAnsi="Calibri"/>
          <w:b/>
          <w:bCs/>
          <w:color w:val="1B2432"/>
          <w:sz w:val="23"/>
          <w:szCs w:val="23"/>
        </w:rPr>
        <w:t xml:space="preserve">What happens</w:t>
      </w:r>
    </w:p>
    <w:p>
      <w:pPr>
        <w:pStyle w:val="ListParagraph"/>
        <w:numPr>
          <w:ilvl w:val="0"/>
          <w:numId w:val="3"/>
        </w:numPr>
        <w:spacing w:after="75"/>
      </w:pPr>
      <w:r>
        <w:rPr>
          <w:rFonts w:ascii="Calibri" w:cs="Calibri" w:eastAsia="Calibri" w:hAnsi="Calibri"/>
          <w:color w:val="1B2432"/>
          <w:sz w:val="21"/>
          <w:szCs w:val="21"/>
        </w:rPr>
        <w:t xml:space="preserve">Partner implements against the issued collections and specification</w:t>
      </w:r>
    </w:p>
    <w:p>
      <w:pPr>
        <w:pStyle w:val="ListParagraph"/>
        <w:numPr>
          <w:ilvl w:val="0"/>
          <w:numId w:val="3"/>
        </w:numPr>
        <w:spacing w:after="75"/>
      </w:pPr>
      <w:r>
        <w:rPr>
          <w:rFonts w:ascii="Calibri" w:cs="Calibri" w:eastAsia="Calibri" w:hAnsi="Calibri"/>
          <w:color w:val="1B2432"/>
          <w:sz w:val="21"/>
          <w:szCs w:val="21"/>
        </w:rPr>
        <w:t xml:space="preserve">Ingestion, notification consumption, reconciliation, retry and exception handling are built</w:t>
      </w:r>
    </w:p>
    <w:p>
      <w:pPr>
        <w:pStyle w:val="ListParagraph"/>
        <w:numPr>
          <w:ilvl w:val="0"/>
          <w:numId w:val="3"/>
        </w:numPr>
        <w:spacing w:after="75"/>
      </w:pPr>
      <w:r>
        <w:rPr>
          <w:rFonts w:ascii="Calibri" w:cs="Calibri" w:eastAsia="Calibri" w:hAnsi="Calibri"/>
          <w:color w:val="1B2432"/>
          <w:sz w:val="21"/>
          <w:szCs w:val="21"/>
        </w:rPr>
        <w:t xml:space="preserve">Search, retrieval and viewer integration implemented where in scope</w:t>
      </w:r>
    </w:p>
    <w:p>
      <w:pPr>
        <w:pStyle w:val="ListParagraph"/>
        <w:numPr>
          <w:ilvl w:val="0"/>
          <w:numId w:val="3"/>
        </w:numPr>
        <w:spacing w:after="75"/>
      </w:pPr>
      <w:r>
        <w:rPr>
          <w:rFonts w:ascii="Calibri" w:cs="Calibri" w:eastAsia="Calibri" w:hAnsi="Calibri"/>
          <w:color w:val="1B2432"/>
          <w:sz w:val="21"/>
          <w:szCs w:val="21"/>
        </w:rPr>
        <w:t xml:space="preserve">Unit and component testing performed by the partner</w:t>
      </w:r>
    </w:p>
    <w:p>
      <w:pPr>
        <w:pStyle w:val="ListParagraph"/>
        <w:numPr>
          <w:ilvl w:val="0"/>
          <w:numId w:val="3"/>
        </w:numPr>
        <w:spacing w:after="75"/>
      </w:pPr>
      <w:r>
        <w:rPr>
          <w:rFonts w:ascii="Calibri" w:cs="Calibri" w:eastAsia="Calibri" w:hAnsi="Calibri"/>
          <w:color w:val="1B2432"/>
          <w:sz w:val="21"/>
          <w:szCs w:val="21"/>
        </w:rPr>
        <w:t xml:space="preserve">Configuration conflict detection run across the integrated systems</w:t>
      </w:r>
    </w:p>
    <w:p>
      <w:pPr>
        <w:pStyle w:val="ListParagraph"/>
        <w:numPr>
          <w:ilvl w:val="0"/>
          <w:numId w:val="3"/>
        </w:numPr>
        <w:spacing w:after="75"/>
      </w:pPr>
      <w:r>
        <w:rPr>
          <w:rFonts w:ascii="Calibri" w:cs="Calibri" w:eastAsia="Calibri" w:hAnsi="Calibri"/>
          <w:color w:val="1B2432"/>
          <w:sz w:val="21"/>
          <w:szCs w:val="21"/>
        </w:rPr>
        <w:t xml:space="preserve">Defects triaged and routed</w:t>
      </w:r>
    </w:p>
    <w:p>
      <w:pPr>
        <w:pStyle w:val="Heading3"/>
        <w:spacing w:after="130" w:before="250"/>
      </w:pPr>
      <w:r>
        <w:rPr>
          <w:rFonts w:ascii="Calibri" w:cs="Calibri" w:eastAsia="Calibri" w:hAnsi="Calibri"/>
          <w:b/>
          <w:bCs/>
          <w:color w:val="1B2432"/>
          <w:sz w:val="23"/>
          <w:szCs w:val="23"/>
        </w:rPr>
        <w:t xml:space="preserve">How it differs by tier</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1700"/>
        <w:gridCol w:w="2550"/>
        <w:gridCol w:w="2550"/>
        <w:gridCol w:w="2560"/>
      </w:tblGrid>
      <w:tr>
        <w:trPr>
          <w:tblHeader/>
        </w:trPr>
        <w:tc>
          <w:tcPr>
            <w:tcW w:type="dxa" w:w="17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
            </w:r>
          </w:p>
        </w:tc>
        <w:tc>
          <w:tcPr>
            <w:tcW w:type="dxa" w:w="255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Lean</w:t>
            </w:r>
          </w:p>
        </w:tc>
        <w:tc>
          <w:tcPr>
            <w:tcW w:type="dxa" w:w="255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Lean+</w:t>
            </w:r>
          </w:p>
        </w:tc>
        <w:tc>
          <w:tcPr>
            <w:tcW w:type="dxa" w:w="25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Dedicated</w:t>
            </w:r>
          </w:p>
        </w:tc>
      </w:tr>
      <w:tr>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 implementation</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Unsupported, pattern-guided</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Weekly optional working session</w:t>
            </w:r>
          </w:p>
        </w:tc>
        <w:tc>
          <w:tcPr>
            <w:tcW w:type="dxa" w:w="2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Joint working</w:t>
            </w:r>
          </w:p>
        </w:tc>
      </w:tr>
      <w:tr>
        <w:tc>
          <w:tcPr>
            <w:tcW w:type="dxa" w:w="1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Conflict detection</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Automated, partner acts on output</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Automated, guide interprets</w:t>
            </w:r>
          </w:p>
        </w:tc>
        <w:tc>
          <w:tcPr>
            <w:tcW w:type="dxa" w:w="2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Automated, pod resolves</w:t>
            </w:r>
          </w:p>
        </w:tc>
      </w:tr>
      <w:tr>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Defect routing</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Automated classification and routing</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Automated; guide brokers cross-team</w:t>
            </w:r>
          </w:p>
        </w:tc>
        <w:tc>
          <w:tcPr>
            <w:tcW w:type="dxa" w:w="2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Pod brokers directly</w:t>
            </w:r>
          </w:p>
        </w:tc>
      </w:tr>
      <w:tr>
        <w:tc>
          <w:tcPr>
            <w:tcW w:type="dxa" w:w="1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Blocked partner</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Clinic booking</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Guide, within one working day</w:t>
            </w:r>
          </w:p>
        </w:tc>
        <w:tc>
          <w:tcPr>
            <w:tcW w:type="dxa" w:w="2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Pod, same day</w:t>
            </w:r>
          </w:p>
        </w:tc>
      </w:tr>
    </w:tbl>
    <w:p>
      <w:pPr>
        <w:spacing w:after="140"/>
      </w:pPr>
      <w:r>
        <w:t xml:space="preserve"/>
      </w:r>
    </w:p>
    <w:p>
      <w:pPr>
        <w:spacing w:after="130" w:before="0"/>
      </w:pPr>
      <w:r>
        <w:rPr>
          <w:rFonts w:ascii="Calibri" w:cs="Calibri" w:eastAsia="Calibri" w:hAnsi="Calibri"/>
          <w:b/>
          <w:bCs/>
          <w:i w:val="false"/>
          <w:iCs w:val="false"/>
          <w:color w:val="A44A2A"/>
          <w:sz w:val="21"/>
          <w:szCs w:val="21"/>
        </w:rPr>
        <w:t xml:space="preserve">Gate P3 — Integration complete. </w:t>
      </w:r>
      <w:r>
        <w:rPr>
          <w:rFonts w:ascii="Calibri" w:cs="Calibri" w:eastAsia="Calibri" w:hAnsi="Calibri"/>
          <w:b w:val="false"/>
          <w:bCs w:val="false"/>
          <w:i w:val="false"/>
          <w:iCs w:val="false"/>
          <w:color w:val="1B2432"/>
          <w:sz w:val="21"/>
          <w:szCs w:val="21"/>
        </w:rPr>
        <w:t xml:space="preserve">Partner integration functionally complete. Configuration conflicts resolved. Open defects triaged with owners. Non-production flows demonstrably working end to end.</w:t>
      </w:r>
    </w:p>
    <w:p>
      <w:pPr>
        <w:pStyle w:val="Heading2"/>
        <w:spacing w:after="170" w:before="320"/>
      </w:pPr>
      <w:r>
        <w:rPr>
          <w:rFonts w:ascii="Cambria" w:cs="Cambria" w:eastAsia="Cambria" w:hAnsi="Cambria"/>
          <w:b/>
          <w:bCs/>
          <w:color w:val="15304F"/>
          <w:sz w:val="27"/>
          <w:szCs w:val="27"/>
        </w:rPr>
        <w:t xml:space="preserve">5.5 P4 — Validation and Certification</w:t>
      </w:r>
    </w:p>
    <w:p>
      <w:pPr>
        <w:spacing w:after="130" w:before="0"/>
      </w:pPr>
      <w:r>
        <w:rPr>
          <w:rFonts w:ascii="Calibri" w:cs="Calibri" w:eastAsia="Calibri" w:hAnsi="Calibri"/>
          <w:b w:val="false"/>
          <w:bCs w:val="false"/>
          <w:i w:val="false"/>
          <w:iCs w:val="false"/>
          <w:color w:val="1B2432"/>
          <w:sz w:val="21"/>
          <w:szCs w:val="21"/>
        </w:rPr>
        <w:t xml:space="preserve">Proving the solution works, at volume, compliantly, and in a way that can be evidenced. The gate density is highest here and is identical across all three tiers.</w:t>
      </w:r>
    </w:p>
    <w:p>
      <w:pPr>
        <w:pStyle w:val="Heading3"/>
        <w:spacing w:after="130" w:before="250"/>
      </w:pPr>
      <w:r>
        <w:rPr>
          <w:rFonts w:ascii="Calibri" w:cs="Calibri" w:eastAsia="Calibri" w:hAnsi="Calibri"/>
          <w:b/>
          <w:bCs/>
          <w:color w:val="1B2432"/>
          <w:sz w:val="23"/>
          <w:szCs w:val="23"/>
        </w:rPr>
        <w:t xml:space="preserve">What happens</w:t>
      </w:r>
    </w:p>
    <w:p>
      <w:pPr>
        <w:pStyle w:val="ListParagraph"/>
        <w:numPr>
          <w:ilvl w:val="0"/>
          <w:numId w:val="3"/>
        </w:numPr>
        <w:spacing w:after="75"/>
      </w:pPr>
      <w:r>
        <w:rPr>
          <w:rFonts w:ascii="Calibri" w:cs="Calibri" w:eastAsia="Calibri" w:hAnsi="Calibri"/>
          <w:color w:val="1B2432"/>
          <w:sz w:val="21"/>
          <w:szCs w:val="21"/>
        </w:rPr>
        <w:t xml:space="preserve">Integration testing across partner system, gateway, repository, notification framework, scanning and classification</w:t>
      </w:r>
    </w:p>
    <w:p>
      <w:pPr>
        <w:pStyle w:val="ListParagraph"/>
        <w:numPr>
          <w:ilvl w:val="0"/>
          <w:numId w:val="3"/>
        </w:numPr>
        <w:spacing w:after="75"/>
      </w:pPr>
      <w:r>
        <w:rPr>
          <w:rFonts w:ascii="Calibri" w:cs="Calibri" w:eastAsia="Calibri" w:hAnsi="Calibri"/>
          <w:color w:val="1B2432"/>
          <w:sz w:val="21"/>
          <w:szCs w:val="21"/>
        </w:rPr>
        <w:t xml:space="preserve">End-to-end reconciliation testing covering both success and failure paths</w:t>
      </w:r>
    </w:p>
    <w:p>
      <w:pPr>
        <w:pStyle w:val="ListParagraph"/>
        <w:numPr>
          <w:ilvl w:val="0"/>
          <w:numId w:val="3"/>
        </w:numPr>
        <w:spacing w:after="75"/>
      </w:pPr>
      <w:r>
        <w:rPr>
          <w:rFonts w:ascii="Calibri" w:cs="Calibri" w:eastAsia="Calibri" w:hAnsi="Calibri"/>
          <w:color w:val="1B2432"/>
          <w:sz w:val="21"/>
          <w:szCs w:val="21"/>
        </w:rPr>
        <w:t xml:space="preserve">User acceptance testing against the business objectives stated at intake</w:t>
      </w:r>
    </w:p>
    <w:p>
      <w:pPr>
        <w:pStyle w:val="ListParagraph"/>
        <w:numPr>
          <w:ilvl w:val="0"/>
          <w:numId w:val="3"/>
        </w:numPr>
        <w:spacing w:after="75"/>
      </w:pPr>
      <w:r>
        <w:rPr>
          <w:rFonts w:ascii="Calibri" w:cs="Calibri" w:eastAsia="Calibri" w:hAnsi="Calibri"/>
          <w:color w:val="1B2432"/>
          <w:sz w:val="21"/>
          <w:szCs w:val="21"/>
        </w:rPr>
        <w:t xml:space="preserve">Load testing where volume triggered it</w:t>
      </w:r>
    </w:p>
    <w:p>
      <w:pPr>
        <w:pStyle w:val="ListParagraph"/>
        <w:numPr>
          <w:ilvl w:val="0"/>
          <w:numId w:val="3"/>
        </w:numPr>
        <w:spacing w:after="75"/>
      </w:pPr>
      <w:r>
        <w:rPr>
          <w:rFonts w:ascii="Calibri" w:cs="Calibri" w:eastAsia="Calibri" w:hAnsi="Calibri"/>
          <w:color w:val="1B2432"/>
          <w:sz w:val="21"/>
          <w:szCs w:val="21"/>
        </w:rPr>
        <w:t xml:space="preserve">Retention and records verification</w:t>
      </w:r>
    </w:p>
    <w:p>
      <w:pPr>
        <w:pStyle w:val="ListParagraph"/>
        <w:numPr>
          <w:ilvl w:val="0"/>
          <w:numId w:val="3"/>
        </w:numPr>
        <w:spacing w:after="75"/>
      </w:pPr>
      <w:r>
        <w:rPr>
          <w:rFonts w:ascii="Calibri" w:cs="Calibri" w:eastAsia="Calibri" w:hAnsi="Calibri"/>
          <w:color w:val="1B2432"/>
          <w:sz w:val="21"/>
          <w:szCs w:val="21"/>
        </w:rPr>
        <w:t xml:space="preserve">Production readiness validation</w:t>
      </w:r>
    </w:p>
    <w:p>
      <w:pPr>
        <w:pStyle w:val="ListParagraph"/>
        <w:numPr>
          <w:ilvl w:val="0"/>
          <w:numId w:val="3"/>
        </w:numPr>
        <w:spacing w:after="75"/>
      </w:pPr>
      <w:r>
        <w:rPr>
          <w:rFonts w:ascii="Calibri" w:cs="Calibri" w:eastAsia="Calibri" w:hAnsi="Calibri"/>
          <w:color w:val="1B2432"/>
          <w:sz w:val="21"/>
          <w:szCs w:val="21"/>
        </w:rPr>
        <w:t xml:space="preserve">Environment promotion through the fixed ladder</w:t>
      </w:r>
    </w:p>
    <w:p>
      <w:pPr>
        <w:pStyle w:val="Heading3"/>
        <w:spacing w:after="130" w:before="250"/>
      </w:pPr>
      <w:r>
        <w:rPr>
          <w:rFonts w:ascii="Calibri" w:cs="Calibri" w:eastAsia="Calibri" w:hAnsi="Calibri"/>
          <w:b/>
          <w:bCs/>
          <w:color w:val="1B2432"/>
          <w:sz w:val="23"/>
          <w:szCs w:val="23"/>
        </w:rPr>
        <w:t xml:space="preserve">How it differs by tier</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1700"/>
        <w:gridCol w:w="2550"/>
        <w:gridCol w:w="2550"/>
        <w:gridCol w:w="2560"/>
      </w:tblGrid>
      <w:tr>
        <w:trPr>
          <w:tblHeader/>
        </w:trPr>
        <w:tc>
          <w:tcPr>
            <w:tcW w:type="dxa" w:w="17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
            </w:r>
          </w:p>
        </w:tc>
        <w:tc>
          <w:tcPr>
            <w:tcW w:type="dxa" w:w="255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Lean</w:t>
            </w:r>
          </w:p>
        </w:tc>
        <w:tc>
          <w:tcPr>
            <w:tcW w:type="dxa" w:w="255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Lean+</w:t>
            </w:r>
          </w:p>
        </w:tc>
        <w:tc>
          <w:tcPr>
            <w:tcW w:type="dxa" w:w="25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Dedicated</w:t>
            </w:r>
          </w:p>
        </w:tc>
      </w:tr>
      <w:tr>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Test planning</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Generated from the pattern</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Generated; guide reviews scope</w:t>
            </w:r>
          </w:p>
        </w:tc>
        <w:tc>
          <w:tcPr>
            <w:tcW w:type="dxa" w:w="2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Pod authors</w:t>
            </w:r>
          </w:p>
        </w:tc>
      </w:tr>
      <w:tr>
        <w:tc>
          <w:tcPr>
            <w:tcW w:type="dxa" w:w="1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Test execution</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w:t>
            </w:r>
          </w:p>
        </w:tc>
        <w:tc>
          <w:tcPr>
            <w:tcW w:type="dxa" w:w="2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 and pod</w:t>
            </w:r>
          </w:p>
        </w:tc>
      </w:tr>
      <w:tr>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Reconciliation scenarios</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Pattern-supplied</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 drafts, guide reviews</w:t>
            </w:r>
          </w:p>
        </w:tc>
        <w:tc>
          <w:tcPr>
            <w:tcW w:type="dxa" w:w="2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Pod designs</w:t>
            </w:r>
          </w:p>
        </w:tc>
      </w:tr>
      <w:tr>
        <w:tc>
          <w:tcPr>
            <w:tcW w:type="dxa" w:w="1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Load testing</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Specialist team; automated trigger and booking</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Specialist team; guide coordinates</w:t>
            </w:r>
          </w:p>
        </w:tc>
        <w:tc>
          <w:tcPr>
            <w:tcW w:type="dxa" w:w="2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Specialist team; pod coordinates</w:t>
            </w:r>
          </w:p>
        </w:tc>
      </w:tr>
      <w:tr>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Promotion</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Gate engine; no human promotion anywhere</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Gate engine</w:t>
            </w:r>
          </w:p>
        </w:tc>
        <w:tc>
          <w:tcPr>
            <w:tcW w:type="dxa" w:w="2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Gate engine</w:t>
            </w:r>
          </w:p>
        </w:tc>
      </w:tr>
      <w:tr>
        <w:tc>
          <w:tcPr>
            <w:tcW w:type="dxa" w:w="1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Readiness review</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Automated checklist plus mandatory review</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Mandatory checkpoint 2</w:t>
            </w:r>
          </w:p>
        </w:tc>
        <w:tc>
          <w:tcPr>
            <w:tcW w:type="dxa" w:w="2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Continuous, plus formal review</w:t>
            </w:r>
          </w:p>
        </w:tc>
      </w:tr>
    </w:tbl>
    <w:p>
      <w:pPr>
        <w:spacing w:after="140"/>
      </w:pPr>
      <w:r>
        <w:t xml:space="preserve"/>
      </w:r>
    </w:p>
    <w:p>
      <w:pPr>
        <w:spacing w:after="130" w:before="0"/>
      </w:pPr>
      <w:r>
        <w:rPr>
          <w:rFonts w:ascii="Calibri" w:cs="Calibri" w:eastAsia="Calibri" w:hAnsi="Calibri"/>
          <w:b/>
          <w:bCs/>
          <w:i w:val="false"/>
          <w:iCs w:val="false"/>
          <w:color w:val="A44A2A"/>
          <w:sz w:val="21"/>
          <w:szCs w:val="21"/>
        </w:rPr>
        <w:t xml:space="preserve">Gate P4 — Certified. </w:t>
      </w:r>
      <w:r>
        <w:rPr>
          <w:rFonts w:ascii="Calibri" w:cs="Calibri" w:eastAsia="Calibri" w:hAnsi="Calibri"/>
          <w:b w:val="false"/>
          <w:bCs w:val="false"/>
          <w:i w:val="false"/>
          <w:iCs w:val="false"/>
          <w:color w:val="1B2432"/>
          <w:sz w:val="21"/>
          <w:szCs w:val="21"/>
        </w:rPr>
        <w:t xml:space="preserve">All test cycles complete with evidence recorded. Load testing cleared or formally not applicable. Retention verified. Production readiness checklist clear. Every promotion gate satisfied. This gate is never waived, in any tier, for any partner.</w:t>
      </w:r>
    </w:p>
    <w:p>
      <w:pPr>
        <w:pStyle w:val="Heading2"/>
        <w:spacing w:after="170" w:before="320"/>
      </w:pPr>
      <w:r>
        <w:rPr>
          <w:rFonts w:ascii="Cambria" w:cs="Cambria" w:eastAsia="Cambria" w:hAnsi="Cambria"/>
          <w:b/>
          <w:bCs/>
          <w:color w:val="15304F"/>
          <w:sz w:val="27"/>
          <w:szCs w:val="27"/>
        </w:rPr>
        <w:t xml:space="preserve">5.6 P5 — Release and Handover</w:t>
      </w:r>
    </w:p>
    <w:p>
      <w:pPr>
        <w:spacing w:after="130" w:before="0"/>
      </w:pPr>
      <w:r>
        <w:rPr>
          <w:rFonts w:ascii="Calibri" w:cs="Calibri" w:eastAsia="Calibri" w:hAnsi="Calibri"/>
          <w:b w:val="false"/>
          <w:bCs w:val="false"/>
          <w:i w:val="false"/>
          <w:iCs w:val="false"/>
          <w:color w:val="1B2432"/>
          <w:sz w:val="21"/>
          <w:szCs w:val="21"/>
        </w:rPr>
        <w:t xml:space="preserve">Moving the solution into production and transferring ownership to the teams who will operate it. Largely document generation and status confirmation, with a small core of genuinely human activity around the release itself.</w:t>
      </w:r>
    </w:p>
    <w:p>
      <w:pPr>
        <w:pStyle w:val="Heading3"/>
        <w:spacing w:after="130" w:before="250"/>
      </w:pPr>
      <w:r>
        <w:rPr>
          <w:rFonts w:ascii="Calibri" w:cs="Calibri" w:eastAsia="Calibri" w:hAnsi="Calibri"/>
          <w:b/>
          <w:bCs/>
          <w:color w:val="1B2432"/>
          <w:sz w:val="23"/>
          <w:szCs w:val="23"/>
        </w:rPr>
        <w:t xml:space="preserve">What happens</w:t>
      </w:r>
    </w:p>
    <w:p>
      <w:pPr>
        <w:pStyle w:val="ListParagraph"/>
        <w:numPr>
          <w:ilvl w:val="0"/>
          <w:numId w:val="3"/>
        </w:numPr>
        <w:spacing w:after="75"/>
      </w:pPr>
      <w:r>
        <w:rPr>
          <w:rFonts w:ascii="Calibri" w:cs="Calibri" w:eastAsia="Calibri" w:hAnsi="Calibri"/>
          <w:color w:val="1B2432"/>
          <w:sz w:val="21"/>
          <w:szCs w:val="21"/>
        </w:rPr>
        <w:t xml:space="preserve">Release transition documentation generated and completeness-checked</w:t>
      </w:r>
    </w:p>
    <w:p>
      <w:pPr>
        <w:pStyle w:val="ListParagraph"/>
        <w:numPr>
          <w:ilvl w:val="0"/>
          <w:numId w:val="3"/>
        </w:numPr>
        <w:spacing w:after="75"/>
      </w:pPr>
      <w:r>
        <w:rPr>
          <w:rFonts w:ascii="Calibri" w:cs="Calibri" w:eastAsia="Calibri" w:hAnsi="Calibri"/>
          <w:color w:val="1B2432"/>
          <w:sz w:val="21"/>
          <w:szCs w:val="21"/>
        </w:rPr>
        <w:t xml:space="preserve">Production support readiness confirmed and handover accepted</w:t>
      </w:r>
    </w:p>
    <w:p>
      <w:pPr>
        <w:pStyle w:val="ListParagraph"/>
        <w:numPr>
          <w:ilvl w:val="0"/>
          <w:numId w:val="3"/>
        </w:numPr>
        <w:spacing w:after="75"/>
      </w:pPr>
      <w:r>
        <w:rPr>
          <w:rFonts w:ascii="Calibri" w:cs="Calibri" w:eastAsia="Calibri" w:hAnsi="Calibri"/>
          <w:color w:val="1B2432"/>
          <w:sz w:val="21"/>
          <w:szCs w:val="21"/>
        </w:rPr>
        <w:t xml:space="preserve">Technical, business and go-live sign-offs obtained</w:t>
      </w:r>
    </w:p>
    <w:p>
      <w:pPr>
        <w:pStyle w:val="ListParagraph"/>
        <w:numPr>
          <w:ilvl w:val="0"/>
          <w:numId w:val="3"/>
        </w:numPr>
        <w:spacing w:after="75"/>
      </w:pPr>
      <w:r>
        <w:rPr>
          <w:rFonts w:ascii="Calibri" w:cs="Calibri" w:eastAsia="Calibri" w:hAnsi="Calibri"/>
          <w:color w:val="1B2432"/>
          <w:sz w:val="21"/>
          <w:szCs w:val="21"/>
        </w:rPr>
        <w:t xml:space="preserve">Production deployment executed</w:t>
      </w:r>
    </w:p>
    <w:p>
      <w:pPr>
        <w:pStyle w:val="ListParagraph"/>
        <w:numPr>
          <w:ilvl w:val="0"/>
          <w:numId w:val="3"/>
        </w:numPr>
        <w:spacing w:after="75"/>
      </w:pPr>
      <w:r>
        <w:rPr>
          <w:rFonts w:ascii="Calibri" w:cs="Calibri" w:eastAsia="Calibri" w:hAnsi="Calibri"/>
          <w:color w:val="1B2432"/>
          <w:sz w:val="21"/>
          <w:szCs w:val="21"/>
        </w:rPr>
        <w:t xml:space="preserve">Deployment validation call held</w:t>
      </w:r>
    </w:p>
    <w:p>
      <w:pPr>
        <w:pStyle w:val="ListParagraph"/>
        <w:numPr>
          <w:ilvl w:val="0"/>
          <w:numId w:val="3"/>
        </w:numPr>
        <w:spacing w:after="75"/>
      </w:pPr>
      <w:r>
        <w:rPr>
          <w:rFonts w:ascii="Calibri" w:cs="Calibri" w:eastAsia="Calibri" w:hAnsi="Calibri"/>
          <w:color w:val="1B2432"/>
          <w:sz w:val="21"/>
          <w:szCs w:val="21"/>
        </w:rPr>
        <w:t xml:space="preserve">Post-go-live validation performed</w:t>
      </w:r>
    </w:p>
    <w:p>
      <w:pPr>
        <w:pStyle w:val="ListParagraph"/>
        <w:numPr>
          <w:ilvl w:val="0"/>
          <w:numId w:val="3"/>
        </w:numPr>
        <w:spacing w:after="75"/>
      </w:pPr>
      <w:r>
        <w:rPr>
          <w:rFonts w:ascii="Calibri" w:cs="Calibri" w:eastAsia="Calibri" w:hAnsi="Calibri"/>
          <w:color w:val="1B2432"/>
          <w:sz w:val="21"/>
          <w:szCs w:val="21"/>
        </w:rPr>
        <w:t xml:space="preserve">Intake closed and, where applicable, a pattern candidate harvested</w:t>
      </w:r>
    </w:p>
    <w:p>
      <w:pPr>
        <w:pStyle w:val="Heading3"/>
        <w:spacing w:after="130" w:before="250"/>
      </w:pPr>
      <w:r>
        <w:rPr>
          <w:rFonts w:ascii="Calibri" w:cs="Calibri" w:eastAsia="Calibri" w:hAnsi="Calibri"/>
          <w:b/>
          <w:bCs/>
          <w:color w:val="1B2432"/>
          <w:sz w:val="23"/>
          <w:szCs w:val="23"/>
        </w:rPr>
        <w:t xml:space="preserve">How it differs by tier</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1700"/>
        <w:gridCol w:w="2550"/>
        <w:gridCol w:w="2550"/>
        <w:gridCol w:w="2560"/>
      </w:tblGrid>
      <w:tr>
        <w:trPr>
          <w:tblHeader/>
        </w:trPr>
        <w:tc>
          <w:tcPr>
            <w:tcW w:type="dxa" w:w="17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
            </w:r>
          </w:p>
        </w:tc>
        <w:tc>
          <w:tcPr>
            <w:tcW w:type="dxa" w:w="255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Lean</w:t>
            </w:r>
          </w:p>
        </w:tc>
        <w:tc>
          <w:tcPr>
            <w:tcW w:type="dxa" w:w="255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Lean+</w:t>
            </w:r>
          </w:p>
        </w:tc>
        <w:tc>
          <w:tcPr>
            <w:tcW w:type="dxa" w:w="25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Dedicated</w:t>
            </w:r>
          </w:p>
        </w:tc>
      </w:tr>
      <w:tr>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Transition documentation</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Generated from the record</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Generated; guide reviews</w:t>
            </w:r>
          </w:p>
        </w:tc>
        <w:tc>
          <w:tcPr>
            <w:tcW w:type="dxa" w:w="2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Generated; pod reviews and augments</w:t>
            </w:r>
          </w:p>
        </w:tc>
      </w:tr>
      <w:tr>
        <w:tc>
          <w:tcPr>
            <w:tcW w:type="dxa" w:w="1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Support acceptance</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Standard handover, pattern-known service</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Standard handover</w:t>
            </w:r>
          </w:p>
        </w:tc>
        <w:tc>
          <w:tcPr>
            <w:tcW w:type="dxa" w:w="2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Walkthrough with support</w:t>
            </w:r>
          </w:p>
        </w:tc>
      </w:tr>
      <w:tr>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Sign-off tracking</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Automated; blocks without them</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Automated</w:t>
            </w:r>
          </w:p>
        </w:tc>
        <w:tc>
          <w:tcPr>
            <w:tcW w:type="dxa" w:w="2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Automated</w:t>
            </w:r>
          </w:p>
        </w:tc>
      </w:tr>
      <w:tr>
        <w:tc>
          <w:tcPr>
            <w:tcW w:type="dxa" w:w="1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Release night</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Standard support rota</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Standard support rota, guide on call</w:t>
            </w:r>
          </w:p>
        </w:tc>
        <w:tc>
          <w:tcPr>
            <w:tcW w:type="dxa" w:w="2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Pod present</w:t>
            </w:r>
          </w:p>
        </w:tc>
      </w:tr>
      <w:tr>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Post-live stabilisation</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None — straight to BAU</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Two weeks guide availability</w:t>
            </w:r>
          </w:p>
        </w:tc>
        <w:tc>
          <w:tcPr>
            <w:tcW w:type="dxa" w:w="2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Four weeks pod availability</w:t>
            </w:r>
          </w:p>
        </w:tc>
      </w:tr>
      <w:tr>
        <w:tc>
          <w:tcPr>
            <w:tcW w:type="dxa" w:w="1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Pattern harvest</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Not applicable — pattern reused</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Pattern variation recorded</w:t>
            </w:r>
          </w:p>
        </w:tc>
        <w:tc>
          <w:tcPr>
            <w:tcW w:type="dxa" w:w="2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Mandatory pattern candidate produced</w:t>
            </w:r>
          </w:p>
        </w:tc>
      </w:tr>
    </w:tbl>
    <w:p>
      <w:pPr>
        <w:spacing w:after="140"/>
      </w:pPr>
      <w:r>
        <w:t xml:space="preserve"/>
      </w:r>
    </w:p>
    <w:p>
      <w:pPr>
        <w:spacing w:after="130" w:before="0"/>
      </w:pPr>
      <w:r>
        <w:rPr>
          <w:rFonts w:ascii="Calibri" w:cs="Calibri" w:eastAsia="Calibri" w:hAnsi="Calibri"/>
          <w:b/>
          <w:bCs/>
          <w:i w:val="false"/>
          <w:iCs w:val="false"/>
          <w:color w:val="A44A2A"/>
          <w:sz w:val="21"/>
          <w:szCs w:val="21"/>
        </w:rPr>
        <w:t xml:space="preserve">Gate P5 — Live and supported. </w:t>
      </w:r>
      <w:r>
        <w:rPr>
          <w:rFonts w:ascii="Calibri" w:cs="Calibri" w:eastAsia="Calibri" w:hAnsi="Calibri"/>
          <w:b w:val="false"/>
          <w:bCs w:val="false"/>
          <w:i w:val="false"/>
          <w:iCs w:val="false"/>
          <w:color w:val="1B2432"/>
          <w:sz w:val="21"/>
          <w:szCs w:val="21"/>
        </w:rPr>
        <w:t xml:space="preserve">Deployed, validated in production, release transition complete, support accepted, all sign-offs held. For Dedicated, the pattern candidate is a closure condition, not an afterthought.</w:t>
      </w:r>
    </w:p>
    <w:p>
      <w:pPr>
        <w:pStyle w:val="Heading2"/>
        <w:spacing w:after="170" w:before="320"/>
      </w:pPr>
      <w:r>
        <w:rPr>
          <w:rFonts w:ascii="Cambria" w:cs="Cambria" w:eastAsia="Cambria" w:hAnsi="Cambria"/>
          <w:b/>
          <w:bCs/>
          <w:color w:val="15304F"/>
          <w:sz w:val="27"/>
          <w:szCs w:val="27"/>
        </w:rPr>
        <w:t xml:space="preserve">5.7 Phase and gate summary</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1300"/>
        <w:gridCol w:w="3200"/>
        <w:gridCol w:w="1600"/>
        <w:gridCol w:w="1600"/>
        <w:gridCol w:w="1660"/>
      </w:tblGrid>
      <w:tr>
        <w:trPr>
          <w:tblHeader/>
        </w:trPr>
        <w:tc>
          <w:tcPr>
            <w:tcW w:type="dxa" w:w="13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Phase</w:t>
            </w:r>
          </w:p>
        </w:tc>
        <w:tc>
          <w:tcPr>
            <w:tcW w:type="dxa" w:w="32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Gate</w:t>
            </w:r>
          </w:p>
        </w:tc>
        <w:tc>
          <w:tcPr>
            <w:tcW w:type="dxa" w:w="16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Lean owner</w:t>
            </w:r>
          </w:p>
        </w:tc>
        <w:tc>
          <w:tcPr>
            <w:tcW w:type="dxa" w:w="16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Lean+ owner</w:t>
            </w:r>
          </w:p>
        </w:tc>
        <w:tc>
          <w:tcPr>
            <w:tcW w:type="dxa" w:w="16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Dedicated owner</w:t>
            </w:r>
          </w:p>
        </w:tc>
      </w:tr>
      <w:tr>
        <w:tc>
          <w:tcPr>
            <w:tcW w:type="dxa" w:w="1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P0</w:t>
            </w:r>
          </w:p>
        </w:tc>
        <w:tc>
          <w:tcPr>
            <w:tcW w:type="dxa" w:w="3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Qualified</w:t>
            </w:r>
          </w:p>
        </w:tc>
        <w:tc>
          <w:tcPr>
            <w:tcW w:type="dxa" w:w="16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Platform</w:t>
            </w:r>
          </w:p>
        </w:tc>
        <w:tc>
          <w:tcPr>
            <w:tcW w:type="dxa" w:w="16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Enablement lead</w:t>
            </w:r>
          </w:p>
        </w:tc>
        <w:tc>
          <w:tcPr>
            <w:tcW w:type="dxa" w:w="1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Enablement lead</w:t>
            </w:r>
          </w:p>
        </w:tc>
      </w:tr>
      <w:tr>
        <w:tc>
          <w:tcPr>
            <w:tcW w:type="dxa" w:w="1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P1</w:t>
            </w:r>
          </w:p>
        </w:tc>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 baselined</w:t>
            </w:r>
          </w:p>
        </w:tc>
        <w:tc>
          <w:tcPr>
            <w:tcW w:type="dxa" w:w="16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Pattern (pre-made)</w:t>
            </w:r>
          </w:p>
        </w:tc>
        <w:tc>
          <w:tcPr>
            <w:tcW w:type="dxa" w:w="16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Guide + governance</w:t>
            </w:r>
          </w:p>
        </w:tc>
        <w:tc>
          <w:tcPr>
            <w:tcW w:type="dxa" w:w="1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Pod + governance</w:t>
            </w:r>
          </w:p>
        </w:tc>
      </w:tr>
      <w:tr>
        <w:tc>
          <w:tcPr>
            <w:tcW w:type="dxa" w:w="1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P2</w:t>
            </w:r>
          </w:p>
        </w:tc>
        <w:tc>
          <w:tcPr>
            <w:tcW w:type="dxa" w:w="3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Provisioned</w:t>
            </w:r>
          </w:p>
        </w:tc>
        <w:tc>
          <w:tcPr>
            <w:tcW w:type="dxa" w:w="16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Platform</w:t>
            </w:r>
          </w:p>
        </w:tc>
        <w:tc>
          <w:tcPr>
            <w:tcW w:type="dxa" w:w="16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Platform + guide</w:t>
            </w:r>
          </w:p>
        </w:tc>
        <w:tc>
          <w:tcPr>
            <w:tcW w:type="dxa" w:w="1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Pod</w:t>
            </w:r>
          </w:p>
        </w:tc>
      </w:tr>
      <w:tr>
        <w:tc>
          <w:tcPr>
            <w:tcW w:type="dxa" w:w="1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P3</w:t>
            </w:r>
          </w:p>
        </w:tc>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Integration complete</w:t>
            </w:r>
          </w:p>
        </w:tc>
        <w:tc>
          <w:tcPr>
            <w:tcW w:type="dxa" w:w="16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w:t>
            </w:r>
          </w:p>
        </w:tc>
        <w:tc>
          <w:tcPr>
            <w:tcW w:type="dxa" w:w="16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 + guide</w:t>
            </w:r>
          </w:p>
        </w:tc>
        <w:tc>
          <w:tcPr>
            <w:tcW w:type="dxa" w:w="1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Pod</w:t>
            </w:r>
          </w:p>
        </w:tc>
      </w:tr>
      <w:tr>
        <w:tc>
          <w:tcPr>
            <w:tcW w:type="dxa" w:w="1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P4</w:t>
            </w:r>
          </w:p>
        </w:tc>
        <w:tc>
          <w:tcPr>
            <w:tcW w:type="dxa" w:w="3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Certified</w:t>
            </w:r>
          </w:p>
        </w:tc>
        <w:tc>
          <w:tcPr>
            <w:tcW w:type="dxa" w:w="16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Platform + specialists</w:t>
            </w:r>
          </w:p>
        </w:tc>
        <w:tc>
          <w:tcPr>
            <w:tcW w:type="dxa" w:w="16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Guide + specialists</w:t>
            </w:r>
          </w:p>
        </w:tc>
        <w:tc>
          <w:tcPr>
            <w:tcW w:type="dxa" w:w="1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Pod + specialists</w:t>
            </w:r>
          </w:p>
        </w:tc>
      </w:tr>
      <w:tr>
        <w:tc>
          <w:tcPr>
            <w:tcW w:type="dxa" w:w="1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P5</w:t>
            </w:r>
          </w:p>
        </w:tc>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Live and supported</w:t>
            </w:r>
          </w:p>
        </w:tc>
        <w:tc>
          <w:tcPr>
            <w:tcW w:type="dxa" w:w="16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Platform + support</w:t>
            </w:r>
          </w:p>
        </w:tc>
        <w:tc>
          <w:tcPr>
            <w:tcW w:type="dxa" w:w="16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Guide + support</w:t>
            </w:r>
          </w:p>
        </w:tc>
        <w:tc>
          <w:tcPr>
            <w:tcW w:type="dxa" w:w="1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Pod + support</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Reading down the Lean column makes the dependency explicit once more: in Lean, the platform is the owner at four of six gates. That is only tenable where the platform genuinely holds the capability. It is the reason pattern maturity is a hard constraint on tiering and not a preference.</w:t>
      </w:r>
    </w:p>
    <w:p>
      <w:r>
        <w:br w:type="page"/>
      </w:r>
    </w:p>
    <w:p>
      <w:pPr>
        <w:pStyle w:val="Heading1"/>
        <w:spacing w:after="220" w:before="400"/>
      </w:pPr>
      <w:r>
        <w:rPr>
          <w:rFonts w:ascii="Cambria" w:cs="Cambria" w:eastAsia="Cambria" w:hAnsi="Cambria"/>
          <w:b/>
          <w:bCs/>
          <w:color w:val="15304F"/>
          <w:sz w:val="34"/>
          <w:szCs w:val="34"/>
        </w:rPr>
        <w:t xml:space="preserve">Part 6 — Team Re-organisation</w:t>
      </w:r>
    </w:p>
    <w:p>
      <w:pPr>
        <w:pStyle w:val="Heading2"/>
        <w:spacing w:after="170" w:before="320"/>
      </w:pPr>
      <w:r>
        <w:rPr>
          <w:rFonts w:ascii="Cambria" w:cs="Cambria" w:eastAsia="Cambria" w:hAnsi="Cambria"/>
          <w:b/>
          <w:bCs/>
          <w:color w:val="15304F"/>
          <w:sz w:val="27"/>
          <w:szCs w:val="27"/>
        </w:rPr>
        <w:t xml:space="preserve">6.1 Why the current shape cannot deliver the model</w:t>
      </w:r>
    </w:p>
    <w:p>
      <w:pPr>
        <w:spacing w:after="130" w:before="0"/>
      </w:pPr>
      <w:r>
        <w:rPr>
          <w:rFonts w:ascii="Calibri" w:cs="Calibri" w:eastAsia="Calibri" w:hAnsi="Calibri"/>
          <w:b w:val="false"/>
          <w:bCs w:val="false"/>
          <w:i w:val="false"/>
          <w:iCs w:val="false"/>
          <w:color w:val="1B2432"/>
          <w:sz w:val="21"/>
          <w:szCs w:val="21"/>
        </w:rPr>
        <w:t xml:space="preserve">Three scrum teams, each capable of taking an intake end to end, is a sensible structure for a world where every intake needs the same thing. It is the wrong structure for a world where intakes differ by an order of magnitude in the design they require.</w:t>
      </w:r>
    </w:p>
    <w:p>
      <w:pPr>
        <w:spacing w:after="130" w:before="0"/>
      </w:pPr>
      <w:r>
        <w:rPr>
          <w:rFonts w:ascii="Calibri" w:cs="Calibri" w:eastAsia="Calibri" w:hAnsi="Calibri"/>
          <w:b w:val="false"/>
          <w:bCs w:val="false"/>
          <w:i w:val="false"/>
          <w:iCs w:val="false"/>
          <w:color w:val="1B2432"/>
          <w:sz w:val="21"/>
          <w:szCs w:val="21"/>
        </w:rPr>
        <w:t xml:space="preserve">Three specific problems follow from the current shape.</w:t>
      </w:r>
    </w:p>
    <w:p>
      <w:pPr>
        <w:pStyle w:val="ListParagraph"/>
        <w:numPr>
          <w:ilvl w:val="0"/>
          <w:numId w:val="3"/>
        </w:numPr>
        <w:spacing w:after="75"/>
      </w:pPr>
      <w:r>
        <w:rPr>
          <w:rFonts w:ascii="Calibri" w:cs="Calibri" w:eastAsia="Calibri" w:hAnsi="Calibri"/>
          <w:b/>
          <w:bCs/>
          <w:i w:val="false"/>
          <w:iCs w:val="false"/>
          <w:color w:val="1B2432"/>
          <w:sz w:val="21"/>
          <w:szCs w:val="21"/>
        </w:rPr>
        <w:t xml:space="preserve">Everything competes with everything. </w:t>
      </w:r>
      <w:r>
        <w:rPr>
          <w:rFonts w:ascii="Calibri" w:cs="Calibri" w:eastAsia="Calibri" w:hAnsi="Calibri"/>
          <w:b w:val="false"/>
          <w:bCs w:val="false"/>
          <w:i w:val="false"/>
          <w:iCs w:val="false"/>
          <w:color w:val="1B2432"/>
          <w:sz w:val="21"/>
          <w:szCs w:val="21"/>
        </w:rPr>
        <w:t xml:space="preserve">A team holding a regulated multi-LOB onboarding and three subscription extensions is forced to interleave work with completely different cadences. The routine work fragments the complex work, and the complex work starves the routine work.</w:t>
      </w:r>
    </w:p>
    <w:p>
      <w:pPr>
        <w:pStyle w:val="ListParagraph"/>
        <w:numPr>
          <w:ilvl w:val="0"/>
          <w:numId w:val="3"/>
        </w:numPr>
        <w:spacing w:after="75"/>
      </w:pPr>
      <w:r>
        <w:rPr>
          <w:rFonts w:ascii="Calibri" w:cs="Calibri" w:eastAsia="Calibri" w:hAnsi="Calibri"/>
          <w:b/>
          <w:bCs/>
          <w:i w:val="false"/>
          <w:iCs w:val="false"/>
          <w:color w:val="1B2432"/>
          <w:sz w:val="21"/>
          <w:szCs w:val="21"/>
        </w:rPr>
        <w:t xml:space="preserve">Nobody owns the platform. </w:t>
      </w:r>
      <w:r>
        <w:rPr>
          <w:rFonts w:ascii="Calibri" w:cs="Calibri" w:eastAsia="Calibri" w:hAnsi="Calibri"/>
          <w:b w:val="false"/>
          <w:bCs w:val="false"/>
          <w:i w:val="false"/>
          <w:iCs w:val="false"/>
          <w:color w:val="1B2432"/>
          <w:sz w:val="21"/>
          <w:szCs w:val="21"/>
        </w:rPr>
        <w:t xml:space="preserve">Reusable capability only gets built when a team has slack, and a dedicated-capacity team never has slack. This is why patterns are not harvested today: there is no function whose job it is.</w:t>
      </w:r>
    </w:p>
    <w:p>
      <w:pPr>
        <w:pStyle w:val="ListParagraph"/>
        <w:numPr>
          <w:ilvl w:val="0"/>
          <w:numId w:val="3"/>
        </w:numPr>
        <w:spacing w:after="75"/>
      </w:pPr>
      <w:r>
        <w:rPr>
          <w:rFonts w:ascii="Calibri" w:cs="Calibri" w:eastAsia="Calibri" w:hAnsi="Calibri"/>
          <w:b/>
          <w:bCs/>
          <w:i w:val="false"/>
          <w:iCs w:val="false"/>
          <w:color w:val="1B2432"/>
          <w:sz w:val="21"/>
          <w:szCs w:val="21"/>
        </w:rPr>
        <w:t xml:space="preserve">Specialist knowledge is distributed thinly. </w:t>
      </w:r>
      <w:r>
        <w:rPr>
          <w:rFonts w:ascii="Calibri" w:cs="Calibri" w:eastAsia="Calibri" w:hAnsi="Calibri"/>
          <w:b w:val="false"/>
          <w:bCs w:val="false"/>
          <w:i w:val="false"/>
          <w:iCs w:val="false"/>
          <w:color w:val="1B2432"/>
          <w:sz w:val="21"/>
          <w:szCs w:val="21"/>
        </w:rPr>
        <w:t xml:space="preserve">Records management, classification and compliance expertise is spread across three teams at partial depth, so each team is slightly under-equipped for the governance work and the governance work is inconsistently applied.</w:t>
      </w:r>
    </w:p>
    <w:p>
      <w:pPr>
        <w:spacing w:after="130" w:before="120"/>
      </w:pPr>
      <w:r>
        <w:rPr>
          <w:rFonts w:ascii="Calibri" w:cs="Calibri" w:eastAsia="Calibri" w:hAnsi="Calibri"/>
          <w:b w:val="false"/>
          <w:bCs w:val="false"/>
          <w:i w:val="false"/>
          <w:iCs w:val="false"/>
          <w:color w:val="1B2432"/>
          <w:sz w:val="21"/>
          <w:szCs w:val="21"/>
        </w:rPr>
        <w:t xml:space="preserve">The re-organisation separates work that behaves differently, and creates a function whose output is capability rather than delivery.</w:t>
      </w:r>
    </w:p>
    <w:p>
      <w:pPr>
        <w:pStyle w:val="Heading2"/>
        <w:spacing w:after="170" w:before="320"/>
      </w:pPr>
      <w:r>
        <w:rPr>
          <w:rFonts w:ascii="Cambria" w:cs="Cambria" w:eastAsia="Cambria" w:hAnsi="Cambria"/>
          <w:b/>
          <w:bCs/>
          <w:color w:val="15304F"/>
          <w:sz w:val="27"/>
          <w:szCs w:val="27"/>
        </w:rPr>
        <w:t xml:space="preserve">6.2 The target structure — five functions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200"/>
        <w:gridCol w:w="2200"/>
        <w:gridCol w:w="2480"/>
        <w:gridCol w:w="2480"/>
      </w:tblGrid>
      <w:tr>
        <w:trPr>
          <w:tblHeader/>
        </w:trPr>
        <w:tc>
          <w:tcPr>
            <w:tcW w:type="dxa" w:w="22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Function</w:t>
            </w:r>
          </w:p>
        </w:tc>
        <w:tc>
          <w:tcPr>
            <w:tcW w:type="dxa" w:w="22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Serves</w:t>
            </w:r>
          </w:p>
        </w:tc>
        <w:tc>
          <w:tcPr>
            <w:tcW w:type="dxa" w:w="248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Output</w:t>
            </w:r>
          </w:p>
        </w:tc>
        <w:tc>
          <w:tcPr>
            <w:tcW w:type="dxa" w:w="248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Success is measured by</w:t>
            </w:r>
          </w:p>
        </w:tc>
      </w:tr>
      <w:tr>
        <w:tc>
          <w:tcPr>
            <w:tcW w:type="dxa" w:w="22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Platform Engineering</w:t>
            </w:r>
          </w:p>
        </w:tc>
        <w:tc>
          <w:tcPr>
            <w:tcW w:type="dxa" w:w="2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All tiers, indirectly</w:t>
            </w:r>
          </w:p>
        </w:tc>
        <w:tc>
          <w:tcPr>
            <w:tcW w:type="dxa" w:w="2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Platform capability and mature patterns</w:t>
            </w:r>
          </w:p>
        </w:tc>
        <w:tc>
          <w:tcPr>
            <w:tcW w:type="dxa" w:w="2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Pattern maturity progression; share of intakes eligible for Lean</w:t>
            </w:r>
          </w:p>
        </w:tc>
      </w:tr>
      <w:tr>
        <w:tc>
          <w:tcPr>
            <w:tcW w:type="dxa" w:w="22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Enablement Pods</w:t>
            </w:r>
          </w:p>
        </w:tc>
        <w:tc>
          <w:tcPr>
            <w:tcW w:type="dxa" w:w="2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Dedicated intakes</w:t>
            </w:r>
          </w:p>
        </w:tc>
        <w:tc>
          <w:tcPr>
            <w:tcW w:type="dxa" w:w="2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Delivered onboardings and harvested patterns</w:t>
            </w:r>
          </w:p>
        </w:tc>
        <w:tc>
          <w:tcPr>
            <w:tcW w:type="dxa" w:w="2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Delivery outcomes and pattern candidates produced</w:t>
            </w:r>
          </w:p>
        </w:tc>
      </w:tr>
      <w:tr>
        <w:tc>
          <w:tcPr>
            <w:tcW w:type="dxa" w:w="22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Enablement Clinic</w:t>
            </w:r>
          </w:p>
        </w:tc>
        <w:tc>
          <w:tcPr>
            <w:tcW w:type="dxa" w:w="2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Lean and Lean+ intakes</w:t>
            </w:r>
          </w:p>
        </w:tc>
        <w:tc>
          <w:tcPr>
            <w:tcW w:type="dxa" w:w="2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 assurance at checkpoints; unblocking</w:t>
            </w:r>
          </w:p>
        </w:tc>
        <w:tc>
          <w:tcPr>
            <w:tcW w:type="dxa" w:w="2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Checkpoint coverage; time-to-unblock; escalation rate</w:t>
            </w:r>
          </w:p>
        </w:tc>
      </w:tr>
      <w:tr>
        <w:tc>
          <w:tcPr>
            <w:tcW w:type="dxa" w:w="22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Migration Factory</w:t>
            </w:r>
          </w:p>
        </w:tc>
        <w:tc>
          <w:tcPr>
            <w:tcW w:type="dxa" w:w="2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Remediation and legacy migration</w:t>
            </w:r>
          </w:p>
        </w:tc>
        <w:tc>
          <w:tcPr>
            <w:tcW w:type="dxa" w:w="2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Completed campaigns</w:t>
            </w:r>
          </w:p>
        </w:tc>
        <w:tc>
          <w:tcPr>
            <w:tcW w:type="dxa" w:w="2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Content volume remediated; repositories decommissioned</w:t>
            </w:r>
          </w:p>
        </w:tc>
      </w:tr>
      <w:tr>
        <w:tc>
          <w:tcPr>
            <w:tcW w:type="dxa" w:w="22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Governance and Compliance Desk</w:t>
            </w:r>
          </w:p>
        </w:tc>
        <w:tc>
          <w:tcPr>
            <w:tcW w:type="dxa" w:w="2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All tiers</w:t>
            </w:r>
          </w:p>
        </w:tc>
        <w:tc>
          <w:tcPr>
            <w:tcW w:type="dxa" w:w="2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Determinations, approvals, standards</w:t>
            </w:r>
          </w:p>
        </w:tc>
        <w:tc>
          <w:tcPr>
            <w:tcW w:type="dxa" w:w="2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Determination turnaround; compliance findings avoided</w:t>
            </w:r>
          </w:p>
        </w:tc>
      </w:tr>
    </w:tbl>
    <w:p>
      <w:pPr>
        <w:pStyle w:val="Heading2"/>
        <w:spacing w:after="170" w:before="320"/>
      </w:pPr>
      <w:r>
        <w:rPr>
          <w:rFonts w:ascii="Cambria" w:cs="Cambria" w:eastAsia="Cambria" w:hAnsi="Cambria"/>
          <w:b/>
          <w:bCs/>
          <w:color w:val="15304F"/>
          <w:sz w:val="27"/>
          <w:szCs w:val="27"/>
        </w:rPr>
        <w:t xml:space="preserve">6.3 Platform Engineering</w:t>
      </w:r>
    </w:p>
    <w:p>
      <w:pPr>
        <w:spacing w:after="130" w:before="0"/>
      </w:pPr>
      <w:r>
        <w:rPr>
          <w:rFonts w:ascii="Calibri" w:cs="Calibri" w:eastAsia="Calibri" w:hAnsi="Calibri"/>
          <w:b/>
          <w:bCs/>
          <w:i w:val="false"/>
          <w:iCs w:val="false"/>
          <w:color w:val="1B2432"/>
          <w:sz w:val="21"/>
          <w:szCs w:val="21"/>
        </w:rPr>
        <w:t xml:space="preserve">Purpose. </w:t>
      </w:r>
      <w:r>
        <w:rPr>
          <w:rFonts w:ascii="Calibri" w:cs="Calibri" w:eastAsia="Calibri" w:hAnsi="Calibri"/>
          <w:b w:val="false"/>
          <w:bCs w:val="false"/>
          <w:i w:val="false"/>
          <w:iCs w:val="false"/>
          <w:color w:val="1B2432"/>
          <w:sz w:val="21"/>
          <w:szCs w:val="21"/>
        </w:rPr>
        <w:t xml:space="preserve">Build and operate the enablement platform, and move patterns up the maturity ladder so that intakes become eligible for lighter tiers.</w:t>
      </w:r>
    </w:p>
    <w:p>
      <w:pPr>
        <w:spacing w:after="130" w:before="0"/>
      </w:pPr>
      <w:r>
        <w:rPr>
          <w:rFonts w:ascii="Calibri" w:cs="Calibri" w:eastAsia="Calibri" w:hAnsi="Calibri"/>
          <w:b w:val="false"/>
          <w:bCs w:val="false"/>
          <w:i w:val="false"/>
          <w:iCs w:val="false"/>
          <w:color w:val="1B2432"/>
          <w:sz w:val="21"/>
          <w:szCs w:val="21"/>
        </w:rPr>
        <w:t xml:space="preserve">This is the function that does not exist today, and standing it up is the single largest change in the proposal. It is a product team, not a delivery team: it takes no partner intakes, its backlog is the platform, and its customers are the other four functions plus the partners using the cockpit.</w:t>
      </w:r>
    </w:p>
    <w:p>
      <w:pPr>
        <w:pStyle w:val="Heading4"/>
        <w:spacing w:after="105" w:before="210"/>
      </w:pPr>
      <w:r>
        <w:rPr>
          <w:rFonts w:ascii="Calibri" w:cs="Calibri" w:eastAsia="Calibri" w:hAnsi="Calibri"/>
          <w:b/>
          <w:bCs/>
          <w:color w:val="15304F"/>
          <w:sz w:val="21"/>
          <w:szCs w:val="21"/>
        </w:rPr>
        <w:t xml:space="preserve">Responsibilities</w:t>
      </w:r>
    </w:p>
    <w:p>
      <w:pPr>
        <w:pStyle w:val="ListParagraph"/>
        <w:numPr>
          <w:ilvl w:val="0"/>
          <w:numId w:val="3"/>
        </w:numPr>
        <w:spacing w:after="75"/>
      </w:pPr>
      <w:r>
        <w:rPr>
          <w:rFonts w:ascii="Calibri" w:cs="Calibri" w:eastAsia="Calibri" w:hAnsi="Calibri"/>
          <w:color w:val="1B2432"/>
          <w:sz w:val="21"/>
          <w:szCs w:val="21"/>
        </w:rPr>
        <w:t xml:space="preserve">The enablement record, provisioning engine, gate engine and partner cockpit</w:t>
      </w:r>
    </w:p>
    <w:p>
      <w:pPr>
        <w:pStyle w:val="ListParagraph"/>
        <w:numPr>
          <w:ilvl w:val="0"/>
          <w:numId w:val="3"/>
        </w:numPr>
        <w:spacing w:after="75"/>
      </w:pPr>
      <w:r>
        <w:rPr>
          <w:rFonts w:ascii="Calibri" w:cs="Calibri" w:eastAsia="Calibri" w:hAnsi="Calibri"/>
          <w:color w:val="1B2432"/>
          <w:sz w:val="21"/>
          <w:szCs w:val="21"/>
        </w:rPr>
        <w:t xml:space="preserve">The pattern catalogue — hardening harvested candidates into M2 and M3 patterns</w:t>
      </w:r>
    </w:p>
    <w:p>
      <w:pPr>
        <w:pStyle w:val="ListParagraph"/>
        <w:numPr>
          <w:ilvl w:val="0"/>
          <w:numId w:val="3"/>
        </w:numPr>
        <w:spacing w:after="75"/>
      </w:pPr>
      <w:r>
        <w:rPr>
          <w:rFonts w:ascii="Calibri" w:cs="Calibri" w:eastAsia="Calibri" w:hAnsi="Calibri"/>
          <w:color w:val="1B2432"/>
          <w:sz w:val="21"/>
          <w:szCs w:val="21"/>
        </w:rPr>
        <w:t xml:space="preserve">Policy codification: routing rules, access paths, promotion gates, validation criteria</w:t>
      </w:r>
    </w:p>
    <w:p>
      <w:pPr>
        <w:pStyle w:val="ListParagraph"/>
        <w:numPr>
          <w:ilvl w:val="0"/>
          <w:numId w:val="3"/>
        </w:numPr>
        <w:spacing w:after="75"/>
      </w:pPr>
      <w:r>
        <w:rPr>
          <w:rFonts w:ascii="Calibri" w:cs="Calibri" w:eastAsia="Calibri" w:hAnsi="Calibri"/>
          <w:color w:val="1B2432"/>
          <w:sz w:val="21"/>
          <w:szCs w:val="21"/>
        </w:rPr>
        <w:t xml:space="preserve">Document and artefact generation</w:t>
      </w:r>
    </w:p>
    <w:p>
      <w:pPr>
        <w:pStyle w:val="ListParagraph"/>
        <w:numPr>
          <w:ilvl w:val="0"/>
          <w:numId w:val="3"/>
        </w:numPr>
        <w:spacing w:after="75"/>
      </w:pPr>
      <w:r>
        <w:rPr>
          <w:rFonts w:ascii="Calibri" w:cs="Calibri" w:eastAsia="Calibri" w:hAnsi="Calibri"/>
          <w:color w:val="1B2432"/>
          <w:sz w:val="21"/>
          <w:szCs w:val="21"/>
        </w:rPr>
        <w:t xml:space="preserve">Platform observability and the measurement surface</w:t>
      </w:r>
    </w:p>
    <w:p>
      <w:pPr>
        <w:pStyle w:val="Heading4"/>
        <w:spacing w:after="105" w:before="210"/>
      </w:pPr>
      <w:r>
        <w:rPr>
          <w:rFonts w:ascii="Calibri" w:cs="Calibri" w:eastAsia="Calibri" w:hAnsi="Calibri"/>
          <w:b/>
          <w:bCs/>
          <w:color w:val="15304F"/>
          <w:sz w:val="21"/>
          <w:szCs w:val="21"/>
        </w:rPr>
        <w:t xml:space="preserve">Guardrail on this function</w:t>
      </w:r>
    </w:p>
    <w:p>
      <w:pPr>
        <w:spacing w:after="130" w:before="0"/>
      </w:pPr>
      <w:r>
        <w:rPr>
          <w:rFonts w:ascii="Calibri" w:cs="Calibri" w:eastAsia="Calibri" w:hAnsi="Calibri"/>
          <w:b w:val="false"/>
          <w:bCs w:val="false"/>
          <w:i w:val="false"/>
          <w:iCs w:val="false"/>
          <w:color w:val="1B2432"/>
          <w:sz w:val="21"/>
          <w:szCs w:val="21"/>
        </w:rPr>
        <w:t xml:space="preserve">Platform Engineering must be protected from intake work. The failure mode is predictable: a pressured quarter arrives, the platform team is the only visible slack, and it is raided to deliver partner intakes. Once that happens the function never recovers, because the platform never reaches the maturity that would have relieved the pressure. This protection should be an explicit leadership commitment, not a team-level preference.</w:t>
      </w:r>
    </w:p>
    <w:p>
      <w:pPr>
        <w:pStyle w:val="Heading2"/>
        <w:spacing w:after="170" w:before="320"/>
      </w:pPr>
      <w:r>
        <w:rPr>
          <w:rFonts w:ascii="Cambria" w:cs="Cambria" w:eastAsia="Cambria" w:hAnsi="Cambria"/>
          <w:b/>
          <w:bCs/>
          <w:color w:val="15304F"/>
          <w:sz w:val="27"/>
          <w:szCs w:val="27"/>
        </w:rPr>
        <w:t xml:space="preserve">6.4 Enablement Pods</w:t>
      </w:r>
    </w:p>
    <w:p>
      <w:pPr>
        <w:spacing w:after="130" w:before="0"/>
      </w:pPr>
      <w:r>
        <w:rPr>
          <w:rFonts w:ascii="Calibri" w:cs="Calibri" w:eastAsia="Calibri" w:hAnsi="Calibri"/>
          <w:b/>
          <w:bCs/>
          <w:i w:val="false"/>
          <w:iCs w:val="false"/>
          <w:color w:val="1B2432"/>
          <w:sz w:val="21"/>
          <w:szCs w:val="21"/>
        </w:rPr>
        <w:t xml:space="preserve">Purpose. </w:t>
      </w:r>
      <w:r>
        <w:rPr>
          <w:rFonts w:ascii="Calibri" w:cs="Calibri" w:eastAsia="Calibri" w:hAnsi="Calibri"/>
          <w:b w:val="false"/>
          <w:bCs w:val="false"/>
          <w:i w:val="false"/>
          <w:iCs w:val="false"/>
          <w:color w:val="1B2432"/>
          <w:sz w:val="21"/>
          <w:szCs w:val="21"/>
        </w:rPr>
        <w:t xml:space="preserve">Deliver Dedicated-tier intakes end to end, and leave behind a reusable pattern.</w:t>
      </w:r>
    </w:p>
    <w:p>
      <w:pPr>
        <w:spacing w:after="130" w:before="0"/>
      </w:pPr>
      <w:r>
        <w:rPr>
          <w:rFonts w:ascii="Calibri" w:cs="Calibri" w:eastAsia="Calibri" w:hAnsi="Calibri"/>
          <w:b w:val="false"/>
          <w:bCs w:val="false"/>
          <w:i w:val="false"/>
          <w:iCs w:val="false"/>
          <w:color w:val="1B2432"/>
          <w:sz w:val="21"/>
          <w:szCs w:val="21"/>
        </w:rPr>
        <w:t xml:space="preserve">These pods are the closest thing to the current scrum teams, deliberately. What changes is what reaches them — only intakes that genuinely require design — and what they are accountable for at closure.</w:t>
      </w:r>
    </w:p>
    <w:p>
      <w:pPr>
        <w:pStyle w:val="Heading4"/>
        <w:spacing w:after="105" w:before="210"/>
      </w:pPr>
      <w:r>
        <w:rPr>
          <w:rFonts w:ascii="Calibri" w:cs="Calibri" w:eastAsia="Calibri" w:hAnsi="Calibri"/>
          <w:b/>
          <w:bCs/>
          <w:color w:val="15304F"/>
          <w:sz w:val="21"/>
          <w:szCs w:val="21"/>
        </w:rPr>
        <w:t xml:space="preserve">Composition (per pod)</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600"/>
        <w:gridCol w:w="1300"/>
        <w:gridCol w:w="5460"/>
      </w:tblGrid>
      <w:tr>
        <w:trPr>
          <w:tblHeader/>
        </w:trPr>
        <w:tc>
          <w:tcPr>
            <w:tcW w:type="dxa" w:w="26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Role</w:t>
            </w:r>
          </w:p>
        </w:tc>
        <w:tc>
          <w:tcPr>
            <w:tcW w:type="dxa" w:w="13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Count</w:t>
            </w:r>
          </w:p>
        </w:tc>
        <w:tc>
          <w:tcPr>
            <w:tcW w:type="dxa" w:w="54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Responsibility</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Enablement lead</w:t>
            </w:r>
          </w:p>
        </w:tc>
        <w:tc>
          <w:tcPr>
            <w:tcW w:type="dxa" w:w="1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w:t>
            </w:r>
          </w:p>
        </w:tc>
        <w:tc>
          <w:tcPr>
            <w:tcW w:type="dxa" w:w="54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 relationship, scope, coordination across specialist teams, end-to-end accountability</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Platform engineer</w:t>
            </w:r>
          </w:p>
        </w:tc>
        <w:tc>
          <w:tcPr>
            <w:tcW w:type="dxa" w:w="1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1–2</w:t>
            </w:r>
          </w:p>
        </w:tc>
        <w:tc>
          <w:tcPr>
            <w:tcW w:type="dxa" w:w="54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Repository profiles, metadata model, retention configuration, platform-side build</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Integration engineer</w:t>
            </w:r>
          </w:p>
        </w:tc>
        <w:tc>
          <w:tcPr>
            <w:tcW w:type="dxa" w:w="1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1–2</w:t>
            </w:r>
          </w:p>
        </w:tc>
        <w:tc>
          <w:tcPr>
            <w:tcW w:type="dxa" w:w="54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Gateway, notification topics, ingestion channel, reconciliation, partner-side integration support</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Content and metadata analyst</w:t>
            </w:r>
          </w:p>
        </w:tc>
        <w:tc>
          <w:tcPr>
            <w:tcW w:type="dxa" w:w="1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w:t>
            </w:r>
          </w:p>
        </w:tc>
        <w:tc>
          <w:tcPr>
            <w:tcW w:type="dxa" w:w="54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Metadata mapping, classification liaison, sample curation, governance submission</w:t>
            </w:r>
          </w:p>
        </w:tc>
      </w:tr>
    </w:tbl>
    <w:p>
      <w:pPr>
        <w:spacing w:after="140"/>
      </w:pPr>
      <w:r>
        <w:t xml:space="preserve"/>
      </w:r>
    </w:p>
    <w:p>
      <w:pPr>
        <w:pStyle w:val="Heading4"/>
        <w:spacing w:after="105" w:before="210"/>
      </w:pPr>
      <w:r>
        <w:rPr>
          <w:rFonts w:ascii="Calibri" w:cs="Calibri" w:eastAsia="Calibri" w:hAnsi="Calibri"/>
          <w:b/>
          <w:bCs/>
          <w:color w:val="15304F"/>
          <w:sz w:val="21"/>
          <w:szCs w:val="21"/>
        </w:rPr>
        <w:t xml:space="preserve">The closure condition that changes behaviour</w:t>
      </w:r>
    </w:p>
    <w:p>
      <w:pPr>
        <w:spacing w:after="130" w:before="0"/>
      </w:pPr>
      <w:r>
        <w:rPr>
          <w:rFonts w:ascii="Calibri" w:cs="Calibri" w:eastAsia="Calibri" w:hAnsi="Calibri"/>
          <w:b w:val="false"/>
          <w:bCs w:val="false"/>
          <w:i w:val="false"/>
          <w:iCs w:val="false"/>
          <w:color w:val="1B2432"/>
          <w:sz w:val="21"/>
          <w:szCs w:val="21"/>
        </w:rPr>
        <w:t xml:space="preserve">A Dedicated intake is not complete when the partner goes live. It is complete when the partner is live and a pattern candidate has been produced and accepted by Platform Engineering. Making this a closure condition rather than an aspiration is what converts one-off delivery into compounding capability.</w:t>
      </w:r>
    </w:p>
    <w:p>
      <w:pPr>
        <w:pStyle w:val="Heading2"/>
        <w:spacing w:after="170" w:before="320"/>
      </w:pPr>
      <w:r>
        <w:rPr>
          <w:rFonts w:ascii="Cambria" w:cs="Cambria" w:eastAsia="Cambria" w:hAnsi="Cambria"/>
          <w:b/>
          <w:bCs/>
          <w:color w:val="15304F"/>
          <w:sz w:val="27"/>
          <w:szCs w:val="27"/>
        </w:rPr>
        <w:t xml:space="preserve">6.5 The Enablement Clinic</w:t>
      </w:r>
    </w:p>
    <w:p>
      <w:pPr>
        <w:spacing w:after="130" w:before="0"/>
      </w:pPr>
      <w:r>
        <w:rPr>
          <w:rFonts w:ascii="Calibri" w:cs="Calibri" w:eastAsia="Calibri" w:hAnsi="Calibri"/>
          <w:b/>
          <w:bCs/>
          <w:i w:val="false"/>
          <w:iCs w:val="false"/>
          <w:color w:val="1B2432"/>
          <w:sz w:val="21"/>
          <w:szCs w:val="21"/>
        </w:rPr>
        <w:t xml:space="preserve">Purpose. </w:t>
      </w:r>
      <w:r>
        <w:rPr>
          <w:rFonts w:ascii="Calibri" w:cs="Calibri" w:eastAsia="Calibri" w:hAnsi="Calibri"/>
          <w:b w:val="false"/>
          <w:bCs w:val="false"/>
          <w:i w:val="false"/>
          <w:iCs w:val="false"/>
          <w:color w:val="1B2432"/>
          <w:sz w:val="21"/>
          <w:szCs w:val="21"/>
        </w:rPr>
        <w:t xml:space="preserve">Provide scheduled design assurance to Lean+ intakes and on-demand unblocking to Lean intakes, from a shared pool.</w:t>
      </w:r>
    </w:p>
    <w:p>
      <w:pPr>
        <w:spacing w:after="130" w:before="0"/>
      </w:pPr>
      <w:r>
        <w:rPr>
          <w:rFonts w:ascii="Calibri" w:cs="Calibri" w:eastAsia="Calibri" w:hAnsi="Calibri"/>
          <w:b w:val="false"/>
          <w:bCs w:val="false"/>
          <w:i w:val="false"/>
          <w:iCs w:val="false"/>
          <w:color w:val="1B2432"/>
          <w:sz w:val="21"/>
          <w:szCs w:val="21"/>
        </w:rPr>
        <w:t xml:space="preserve">The Clinic is the mechanism that makes the lighter tiers safe. It is not a help desk and it is not a reduced-capacity delivery team; it is a rostered pool of experienced engineers whose week is structured around checkpoints and open slots rather than around a backlog.</w:t>
      </w:r>
    </w:p>
    <w:p>
      <w:pPr>
        <w:pStyle w:val="Heading4"/>
        <w:spacing w:after="105" w:before="210"/>
      </w:pPr>
      <w:r>
        <w:rPr>
          <w:rFonts w:ascii="Calibri" w:cs="Calibri" w:eastAsia="Calibri" w:hAnsi="Calibri"/>
          <w:b/>
          <w:bCs/>
          <w:color w:val="9A6410"/>
          <w:sz w:val="21"/>
          <w:szCs w:val="21"/>
        </w:rPr>
        <w:t xml:space="preserve">Operating rhythm</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400"/>
        <w:gridCol w:w="6960"/>
      </w:tblGrid>
      <w:tr>
        <w:trPr>
          <w:tblHeader/>
        </w:trPr>
        <w:tc>
          <w:tcPr>
            <w:tcW w:type="dxa" w:w="24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Element</w:t>
            </w:r>
          </w:p>
        </w:tc>
        <w:tc>
          <w:tcPr>
            <w:tcW w:type="dxa" w:w="69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Design</w:t>
            </w:r>
          </w:p>
        </w:tc>
      </w:tr>
      <w:tr>
        <w:tc>
          <w:tcPr>
            <w:tcW w:type="dxa" w:w="24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Checkpoint reviews</w:t>
            </w:r>
          </w:p>
        </w:tc>
        <w:tc>
          <w:tcPr>
            <w:tcW w:type="dxa" w:w="6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Booked in advance against the Lean+ intake's phase plan. Two mandatory per intake — design baseline and pre-promotion readiness. Reviews are time-boxed and require the partner to bring a completed artefact; a review without the artefact is cancelled, not improvised.</w:t>
            </w:r>
          </w:p>
        </w:tc>
      </w:tr>
      <w:tr>
        <w:tc>
          <w:tcPr>
            <w:tcW w:type="dxa" w:w="24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Open clinic slots</w:t>
            </w:r>
          </w:p>
        </w:tc>
        <w:tc>
          <w:tcPr>
            <w:tcW w:type="dxa" w:w="69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Fixed, published slots each week that any Lean or Lean+ partner may book. First come, first served. Unbooked slots revert to pattern work.</w:t>
            </w:r>
          </w:p>
        </w:tc>
      </w:tr>
      <w:tr>
        <w:tc>
          <w:tcPr>
            <w:tcW w:type="dxa" w:w="24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Enablement guides</w:t>
            </w:r>
          </w:p>
        </w:tc>
        <w:tc>
          <w:tcPr>
            <w:tcW w:type="dxa" w:w="6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Each Lean+ intake is assigned a named guide from the pool for its duration. The guide is a point of contact, not a delivery resource, and carries several intakes concurrently.</w:t>
            </w:r>
          </w:p>
        </w:tc>
      </w:tr>
      <w:tr>
        <w:tc>
          <w:tcPr>
            <w:tcW w:type="dxa" w:w="24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Escalation duty</w:t>
            </w:r>
          </w:p>
        </w:tc>
        <w:tc>
          <w:tcPr>
            <w:tcW w:type="dxa" w:w="69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One engineer per week holds escalation duty for gate failures and blocked Lean partners, with a one-working-day response commitment.</w:t>
            </w:r>
          </w:p>
        </w:tc>
      </w:tr>
      <w:tr>
        <w:tc>
          <w:tcPr>
            <w:tcW w:type="dxa" w:w="24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Pattern feedback</w:t>
            </w:r>
          </w:p>
        </w:tc>
        <w:tc>
          <w:tcPr>
            <w:tcW w:type="dxa" w:w="6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Clinic engineers log every recurring question and gate failure against the pattern. Recurring items become Platform Engineering backlog. This is the feedback loop that keeps patterns honest.</w:t>
            </w:r>
          </w:p>
        </w:tc>
      </w:tr>
    </w:tbl>
    <w:p>
      <w:pPr>
        <w:spacing w:after="140"/>
      </w:pPr>
      <w:r>
        <w:t xml:space="preserve"/>
      </w:r>
    </w:p>
    <w:p>
      <w:pPr>
        <w:pStyle w:val="Heading4"/>
        <w:spacing w:after="105" w:before="210"/>
      </w:pPr>
      <w:r>
        <w:rPr>
          <w:rFonts w:ascii="Calibri" w:cs="Calibri" w:eastAsia="Calibri" w:hAnsi="Calibri"/>
          <w:b/>
          <w:bCs/>
          <w:color w:val="9A6410"/>
          <w:sz w:val="21"/>
          <w:szCs w:val="21"/>
        </w:rPr>
        <w:t xml:space="preserve">Sizing logic</w:t>
      </w:r>
    </w:p>
    <w:p>
      <w:pPr>
        <w:spacing w:after="130" w:before="0"/>
      </w:pPr>
      <w:r>
        <w:rPr>
          <w:rFonts w:ascii="Calibri" w:cs="Calibri" w:eastAsia="Calibri" w:hAnsi="Calibri"/>
          <w:b w:val="false"/>
          <w:bCs w:val="false"/>
          <w:i w:val="false"/>
          <w:iCs w:val="false"/>
          <w:color w:val="1B2432"/>
          <w:sz w:val="21"/>
          <w:szCs w:val="21"/>
        </w:rPr>
        <w:t xml:space="preserve">The Clinic is sized against aggregate checkpoint load, not partner count. Two mandatory checkpoints per Lean+ intake, plus escalation duty, plus open slots, is a calculable weekly demand. This is precisely why Lean+ scales sub-linearly where Dedicated does not: adding a partner adds two reviews, not a team.</w:t>
      </w:r>
    </w:p>
    <w:p>
      <w:pPr>
        <w:pStyle w:val="Heading2"/>
        <w:spacing w:after="170" w:before="320"/>
      </w:pPr>
      <w:r>
        <w:rPr>
          <w:rFonts w:ascii="Cambria" w:cs="Cambria" w:eastAsia="Cambria" w:hAnsi="Cambria"/>
          <w:b/>
          <w:bCs/>
          <w:color w:val="15304F"/>
          <w:sz w:val="27"/>
          <w:szCs w:val="27"/>
        </w:rPr>
        <w:t xml:space="preserve">6.6 Migration Factory</w:t>
      </w:r>
    </w:p>
    <w:p>
      <w:pPr>
        <w:spacing w:after="130" w:before="0"/>
      </w:pPr>
      <w:r>
        <w:rPr>
          <w:rFonts w:ascii="Calibri" w:cs="Calibri" w:eastAsia="Calibri" w:hAnsi="Calibri"/>
          <w:b/>
          <w:bCs/>
          <w:i w:val="false"/>
          <w:iCs w:val="false"/>
          <w:color w:val="1B2432"/>
          <w:sz w:val="21"/>
          <w:szCs w:val="21"/>
        </w:rPr>
        <w:t xml:space="preserve">Purpose. </w:t>
      </w:r>
      <w:r>
        <w:rPr>
          <w:rFonts w:ascii="Calibri" w:cs="Calibri" w:eastAsia="Calibri" w:hAnsi="Calibri"/>
          <w:b w:val="false"/>
          <w:bCs w:val="false"/>
          <w:i w:val="false"/>
          <w:iCs w:val="false"/>
          <w:color w:val="1B2432"/>
          <w:sz w:val="21"/>
          <w:szCs w:val="21"/>
        </w:rPr>
        <w:t xml:space="preserve">Execute legacy and non-compliant repository migration as repeatable campaigns rather than as individual onboardings.</w:t>
      </w:r>
    </w:p>
    <w:p>
      <w:pPr>
        <w:spacing w:after="130" w:before="0"/>
      </w:pPr>
      <w:r>
        <w:rPr>
          <w:rFonts w:ascii="Calibri" w:cs="Calibri" w:eastAsia="Calibri" w:hAnsi="Calibri"/>
          <w:b w:val="false"/>
          <w:bCs w:val="false"/>
          <w:i w:val="false"/>
          <w:iCs w:val="false"/>
          <w:color w:val="1B2432"/>
          <w:sz w:val="21"/>
          <w:szCs w:val="21"/>
        </w:rPr>
        <w:t xml:space="preserve">The migration stream is enterprise-driven, largely known in advance, and repeats a small number of shapes across many partners. Running it through the onboarding model is the clearest misallocation in the current structure.</w:t>
      </w:r>
    </w:p>
    <w:p>
      <w:pPr>
        <w:pStyle w:val="Heading4"/>
        <w:spacing w:after="105" w:before="210"/>
      </w:pPr>
      <w:r>
        <w:rPr>
          <w:rFonts w:ascii="Calibri" w:cs="Calibri" w:eastAsia="Calibri" w:hAnsi="Calibri"/>
          <w:b/>
          <w:bCs/>
          <w:color w:val="5B4A72"/>
          <w:sz w:val="21"/>
          <w:szCs w:val="21"/>
        </w:rPr>
        <w:t xml:space="preserve">What changes when it becomes a factory</w:t>
      </w:r>
    </w:p>
    <w:p>
      <w:pPr>
        <w:pStyle w:val="ListParagraph"/>
        <w:numPr>
          <w:ilvl w:val="0"/>
          <w:numId w:val="3"/>
        </w:numPr>
        <w:spacing w:after="75"/>
      </w:pPr>
      <w:r>
        <w:rPr>
          <w:rFonts w:ascii="Calibri" w:cs="Calibri" w:eastAsia="Calibri" w:hAnsi="Calibri"/>
          <w:b/>
          <w:bCs/>
          <w:i w:val="false"/>
          <w:iCs w:val="false"/>
          <w:color w:val="1B2432"/>
          <w:sz w:val="21"/>
          <w:szCs w:val="21"/>
        </w:rPr>
        <w:t xml:space="preserve">Campaign, not intake. </w:t>
      </w:r>
      <w:r>
        <w:rPr>
          <w:rFonts w:ascii="Calibri" w:cs="Calibri" w:eastAsia="Calibri" w:hAnsi="Calibri"/>
          <w:b w:val="false"/>
          <w:bCs w:val="false"/>
          <w:i w:val="false"/>
          <w:iCs w:val="false"/>
          <w:color w:val="1B2432"/>
          <w:sz w:val="21"/>
          <w:szCs w:val="21"/>
        </w:rPr>
        <w:t xml:space="preserve">Work is batched by source repository and migration pattern, not by partner. One campaign may touch twenty partners.</w:t>
      </w:r>
    </w:p>
    <w:p>
      <w:pPr>
        <w:pStyle w:val="ListParagraph"/>
        <w:numPr>
          <w:ilvl w:val="0"/>
          <w:numId w:val="3"/>
        </w:numPr>
        <w:spacing w:after="75"/>
      </w:pPr>
      <w:r>
        <w:rPr>
          <w:rFonts w:ascii="Calibri" w:cs="Calibri" w:eastAsia="Calibri" w:hAnsi="Calibri"/>
          <w:b/>
          <w:bCs/>
          <w:i w:val="false"/>
          <w:iCs w:val="false"/>
          <w:color w:val="1B2432"/>
          <w:sz w:val="21"/>
          <w:szCs w:val="21"/>
        </w:rPr>
        <w:t xml:space="preserve">Partner engagement is standardised. </w:t>
      </w:r>
      <w:r>
        <w:rPr>
          <w:rFonts w:ascii="Calibri" w:cs="Calibri" w:eastAsia="Calibri" w:hAnsi="Calibri"/>
          <w:b w:val="false"/>
          <w:bCs w:val="false"/>
          <w:i w:val="false"/>
          <w:iCs w:val="false"/>
          <w:color w:val="1B2432"/>
          <w:sz w:val="21"/>
          <w:szCs w:val="21"/>
        </w:rPr>
        <w:t xml:space="preserve">Each affected partner receives a defined, small set of obligations — confirm scope, validate a sample, accept the outcome — rather than a bespoke project.</w:t>
      </w:r>
    </w:p>
    <w:p>
      <w:pPr>
        <w:pStyle w:val="ListParagraph"/>
        <w:numPr>
          <w:ilvl w:val="0"/>
          <w:numId w:val="3"/>
        </w:numPr>
        <w:spacing w:after="75"/>
      </w:pPr>
      <w:r>
        <w:rPr>
          <w:rFonts w:ascii="Calibri" w:cs="Calibri" w:eastAsia="Calibri" w:hAnsi="Calibri"/>
          <w:b/>
          <w:bCs/>
          <w:i w:val="false"/>
          <w:iCs w:val="false"/>
          <w:color w:val="1B2432"/>
          <w:sz w:val="21"/>
          <w:szCs w:val="21"/>
        </w:rPr>
        <w:t xml:space="preserve">Tooling over design. </w:t>
      </w:r>
      <w:r>
        <w:rPr>
          <w:rFonts w:ascii="Calibri" w:cs="Calibri" w:eastAsia="Calibri" w:hAnsi="Calibri"/>
          <w:b w:val="false"/>
          <w:bCs w:val="false"/>
          <w:i w:val="false"/>
          <w:iCs w:val="false"/>
          <w:color w:val="1B2432"/>
          <w:sz w:val="21"/>
          <w:szCs w:val="21"/>
        </w:rPr>
        <w:t xml:space="preserve">Factory investment goes into extraction, mapping, validation and reconciliation tooling that is reused campaign to campaign.</w:t>
      </w:r>
    </w:p>
    <w:p>
      <w:pPr>
        <w:pStyle w:val="ListParagraph"/>
        <w:numPr>
          <w:ilvl w:val="0"/>
          <w:numId w:val="3"/>
        </w:numPr>
        <w:spacing w:after="75"/>
      </w:pPr>
      <w:r>
        <w:rPr>
          <w:rFonts w:ascii="Calibri" w:cs="Calibri" w:eastAsia="Calibri" w:hAnsi="Calibri"/>
          <w:b/>
          <w:bCs/>
          <w:i w:val="false"/>
          <w:iCs w:val="false"/>
          <w:color w:val="1B2432"/>
          <w:sz w:val="21"/>
          <w:szCs w:val="21"/>
        </w:rPr>
        <w:t xml:space="preserve">Measured in content, not projects. </w:t>
      </w:r>
      <w:r>
        <w:rPr>
          <w:rFonts w:ascii="Calibri" w:cs="Calibri" w:eastAsia="Calibri" w:hAnsi="Calibri"/>
          <w:b w:val="false"/>
          <w:bCs w:val="false"/>
          <w:i w:val="false"/>
          <w:iCs w:val="false"/>
          <w:color w:val="1B2432"/>
          <w:sz w:val="21"/>
          <w:szCs w:val="21"/>
        </w:rPr>
        <w:t xml:space="preserve">Progress is volume remediated and repositories decommissioned, which is also how the enterprise risk reduction is actually reported.</w:t>
      </w:r>
    </w:p>
    <w:p>
      <w:pPr>
        <w:spacing w:after="130" w:before="110"/>
      </w:pPr>
      <w:r>
        <w:rPr>
          <w:rFonts w:ascii="Calibri" w:cs="Calibri" w:eastAsia="Calibri" w:hAnsi="Calibri"/>
          <w:b w:val="false"/>
          <w:bCs w:val="false"/>
          <w:i w:val="false"/>
          <w:iCs w:val="false"/>
          <w:color w:val="1B2432"/>
          <w:sz w:val="21"/>
          <w:szCs w:val="21"/>
        </w:rPr>
        <w:t xml:space="preserve">Records management remediation and historical metadata updates route here rather than to Dedicated pods, which removes two of the most capacity-hungry scenario classes from the onboarding queue entirely.</w:t>
      </w:r>
    </w:p>
    <w:p>
      <w:pPr>
        <w:pStyle w:val="Heading2"/>
        <w:spacing w:after="170" w:before="320"/>
      </w:pPr>
      <w:r>
        <w:rPr>
          <w:rFonts w:ascii="Cambria" w:cs="Cambria" w:eastAsia="Cambria" w:hAnsi="Cambria"/>
          <w:b/>
          <w:bCs/>
          <w:color w:val="15304F"/>
          <w:sz w:val="27"/>
          <w:szCs w:val="27"/>
        </w:rPr>
        <w:t xml:space="preserve">6.7 Governance and Compliance Desk</w:t>
      </w:r>
    </w:p>
    <w:p>
      <w:pPr>
        <w:spacing w:after="130" w:before="0"/>
      </w:pPr>
      <w:r>
        <w:rPr>
          <w:rFonts w:ascii="Calibri" w:cs="Calibri" w:eastAsia="Calibri" w:hAnsi="Calibri"/>
          <w:b/>
          <w:bCs/>
          <w:i w:val="false"/>
          <w:iCs w:val="false"/>
          <w:color w:val="1B2432"/>
          <w:sz w:val="21"/>
          <w:szCs w:val="21"/>
        </w:rPr>
        <w:t xml:space="preserve">Purpose. </w:t>
      </w:r>
      <w:r>
        <w:rPr>
          <w:rFonts w:ascii="Calibri" w:cs="Calibri" w:eastAsia="Calibri" w:hAnsi="Calibri"/>
          <w:b w:val="false"/>
          <w:bCs w:val="false"/>
          <w:i w:val="false"/>
          <w:iCs w:val="false"/>
          <w:color w:val="1B2432"/>
          <w:sz w:val="21"/>
          <w:szCs w:val="21"/>
        </w:rPr>
        <w:t xml:space="preserve">Hold the determinations and standards that every tier depends on, and turn them around fast enough that they are not the bottleneck.</w:t>
      </w:r>
    </w:p>
    <w:p>
      <w:pPr>
        <w:spacing w:after="130" w:before="0"/>
      </w:pPr>
      <w:r>
        <w:rPr>
          <w:rFonts w:ascii="Calibri" w:cs="Calibri" w:eastAsia="Calibri" w:hAnsi="Calibri"/>
          <w:b w:val="false"/>
          <w:bCs w:val="false"/>
          <w:i w:val="false"/>
          <w:iCs w:val="false"/>
          <w:color w:val="1B2432"/>
          <w:sz w:val="21"/>
          <w:szCs w:val="21"/>
        </w:rPr>
        <w:t xml:space="preserve">Small function, high leverage. It does not deliver intakes; it makes the decisions that intakes cannot proceed without, and it owns the standards those decisions are made against.</w:t>
      </w:r>
    </w:p>
    <w:p>
      <w:pPr>
        <w:pStyle w:val="Heading4"/>
        <w:spacing w:after="105" w:before="210"/>
      </w:pPr>
      <w:r>
        <w:rPr>
          <w:rFonts w:ascii="Calibri" w:cs="Calibri" w:eastAsia="Calibri" w:hAnsi="Calibri"/>
          <w:b/>
          <w:bCs/>
          <w:color w:val="9A6410"/>
          <w:sz w:val="21"/>
          <w:szCs w:val="21"/>
        </w:rPr>
        <w:t xml:space="preserve">Responsibilities</w:t>
      </w:r>
    </w:p>
    <w:p>
      <w:pPr>
        <w:pStyle w:val="ListParagraph"/>
        <w:numPr>
          <w:ilvl w:val="0"/>
          <w:numId w:val="3"/>
        </w:numPr>
        <w:spacing w:after="75"/>
      </w:pPr>
      <w:r>
        <w:rPr>
          <w:rFonts w:ascii="Calibri" w:cs="Calibri" w:eastAsia="Calibri" w:hAnsi="Calibri"/>
          <w:color w:val="1B2432"/>
          <w:sz w:val="21"/>
          <w:szCs w:val="21"/>
        </w:rPr>
        <w:t xml:space="preserve">Interface to imaging governance for trust determinations and classification allocation</w:t>
      </w:r>
    </w:p>
    <w:p>
      <w:pPr>
        <w:pStyle w:val="ListParagraph"/>
        <w:numPr>
          <w:ilvl w:val="0"/>
          <w:numId w:val="3"/>
        </w:numPr>
        <w:spacing w:after="75"/>
      </w:pPr>
      <w:r>
        <w:rPr>
          <w:rFonts w:ascii="Calibri" w:cs="Calibri" w:eastAsia="Calibri" w:hAnsi="Calibri"/>
          <w:color w:val="1B2432"/>
          <w:sz w:val="21"/>
          <w:szCs w:val="21"/>
        </w:rPr>
        <w:t xml:space="preserve">Knowledge base coverage assessment and extension requests for untrusted content</w:t>
      </w:r>
    </w:p>
    <w:p>
      <w:pPr>
        <w:pStyle w:val="ListParagraph"/>
        <w:numPr>
          <w:ilvl w:val="0"/>
          <w:numId w:val="3"/>
        </w:numPr>
        <w:spacing w:after="75"/>
      </w:pPr>
      <w:r>
        <w:rPr>
          <w:rFonts w:ascii="Calibri" w:cs="Calibri" w:eastAsia="Calibri" w:hAnsi="Calibri"/>
          <w:color w:val="1B2432"/>
          <w:sz w:val="21"/>
          <w:szCs w:val="21"/>
        </w:rPr>
        <w:t xml:space="preserve">Records management liaison: questionnaires, retention positions, regulated storage</w:t>
      </w:r>
    </w:p>
    <w:p>
      <w:pPr>
        <w:pStyle w:val="ListParagraph"/>
        <w:numPr>
          <w:ilvl w:val="0"/>
          <w:numId w:val="3"/>
        </w:numPr>
        <w:spacing w:after="75"/>
      </w:pPr>
      <w:r>
        <w:rPr>
          <w:rFonts w:ascii="Calibri" w:cs="Calibri" w:eastAsia="Calibri" w:hAnsi="Calibri"/>
          <w:color w:val="1B2432"/>
          <w:sz w:val="21"/>
          <w:szCs w:val="21"/>
        </w:rPr>
        <w:t xml:space="preserve">Metadata and classification standards, and the templates patterns are built from</w:t>
      </w:r>
    </w:p>
    <w:p>
      <w:pPr>
        <w:pStyle w:val="ListParagraph"/>
        <w:numPr>
          <w:ilvl w:val="0"/>
          <w:numId w:val="3"/>
        </w:numPr>
        <w:spacing w:after="75"/>
      </w:pPr>
      <w:r>
        <w:rPr>
          <w:rFonts w:ascii="Calibri" w:cs="Calibri" w:eastAsia="Calibri" w:hAnsi="Calibri"/>
          <w:color w:val="1B2432"/>
          <w:sz w:val="21"/>
          <w:szCs w:val="21"/>
        </w:rPr>
        <w:t xml:space="preserve">Compliance assurance across all tiers, including spot-audit of Lean intakes</w:t>
      </w:r>
    </w:p>
    <w:p>
      <w:pPr>
        <w:pStyle w:val="ListParagraph"/>
        <w:numPr>
          <w:ilvl w:val="0"/>
          <w:numId w:val="3"/>
        </w:numPr>
        <w:spacing w:after="75"/>
      </w:pPr>
      <w:r>
        <w:rPr>
          <w:rFonts w:ascii="Calibri" w:cs="Calibri" w:eastAsia="Calibri" w:hAnsi="Calibri"/>
          <w:color w:val="1B2432"/>
          <w:sz w:val="21"/>
          <w:szCs w:val="21"/>
        </w:rPr>
        <w:t xml:space="preserve">Determination service levels, published and measured</w:t>
      </w:r>
    </w:p>
    <w:tbl>
      <w:tblPr>
        <w:tblW w:type="dxa" w:w="9360"/>
        <w:tblBorders>
          <w:top w:val="single" w:color="9A6410" w:sz="6"/>
          <w:left w:val="single" w:color="9A6410" w:sz="6"/>
          <w:bottom w:val="single" w:color="9A6410" w:sz="6"/>
          <w:right w:val="single" w:color="9A6410" w:sz="6"/>
          <w:insideH w:val="none"/>
          <w:insideV w:val="none"/>
        </w:tblBorders>
      </w:tblPr>
      <w:tblGrid>
        <w:gridCol w:w="9360"/>
      </w:tblGrid>
      <w:tr>
        <w:tc>
          <w:tcPr>
            <w:tcW w:type="dxa" w:w="9360"/>
            <w:shd w:fill="FAF1DF" w:color="auto" w:val="clear"/>
            <w:tcMar>
              <w:top w:type="dxa" w:w="140"/>
              <w:left w:type="dxa" w:w="165"/>
              <w:bottom w:type="dxa" w:w="140"/>
              <w:right w:type="dxa" w:w="165"/>
            </w:tcMar>
          </w:tcPr>
          <w:p>
            <w:pPr>
              <w:spacing w:after="85"/>
            </w:pPr>
            <w:r>
              <w:rPr>
                <w:rFonts w:ascii="Calibri" w:cs="Calibri" w:eastAsia="Calibri" w:hAnsi="Calibri"/>
                <w:b/>
                <w:bCs/>
                <w:color w:val="9A6410"/>
                <w:sz w:val="20"/>
                <w:szCs w:val="20"/>
              </w:rPr>
              <w:t xml:space="preserve">THE DESK'S TURNAROUND IS A SYSTEM CONSTRAINT</w:t>
            </w:r>
          </w:p>
          <w:p>
            <w:pPr>
              <w:spacing w:after="65"/>
            </w:pPr>
            <w:r>
              <w:rPr>
                <w:rFonts w:ascii="Calibri" w:cs="Calibri" w:eastAsia="Calibri" w:hAnsi="Calibri"/>
                <w:color w:val="1B2432"/>
                <w:sz w:val="20"/>
                <w:szCs w:val="20"/>
              </w:rPr>
              <w:t xml:space="preserve">Governance determinations gate P1 in all three tiers. If the Desk takes three weeks to turn around a determination, a Lean intake that should take days takes a month, and the entire value proposition of the lighter tiers evaporates.</w:t>
            </w:r>
          </w:p>
          <w:p>
            <w:pPr>
              <w:spacing w:after="65"/>
            </w:pPr>
            <w:r>
              <w:rPr>
                <w:rFonts w:ascii="Calibri" w:cs="Calibri" w:eastAsia="Calibri" w:hAnsi="Calibri"/>
                <w:color w:val="1B2432"/>
                <w:sz w:val="20"/>
                <w:szCs w:val="20"/>
              </w:rPr>
              <w:t xml:space="preserve">Publishing and holding a determination service level is therefore not an internal nicety — it is load-bearing for the model.</w:t>
            </w:r>
          </w:p>
          <w:p>
            <w:pPr>
              <w:spacing w:after="65"/>
            </w:pPr>
            <w:r>
              <w:rPr>
                <w:rFonts w:ascii="Calibri" w:cs="Calibri" w:eastAsia="Calibri" w:hAnsi="Calibri"/>
                <w:color w:val="1B2432"/>
                <w:sz w:val="20"/>
                <w:szCs w:val="20"/>
              </w:rPr>
              <w:t xml:space="preserve">Equally, the Desk cannot absorb demand it was not sized for. Sample curation, submission assembly and tracking belong with the requesting tier and the platform; the Desk decides.</w:t>
            </w:r>
          </w:p>
        </w:tc>
      </w:tr>
    </w:tbl>
    <w:p>
      <w:pPr>
        <w:pStyle w:val="Heading2"/>
        <w:spacing w:after="170" w:before="320"/>
      </w:pPr>
      <w:r>
        <w:rPr>
          <w:rFonts w:ascii="Cambria" w:cs="Cambria" w:eastAsia="Cambria" w:hAnsi="Cambria"/>
          <w:b/>
          <w:bCs/>
          <w:color w:val="15304F"/>
          <w:sz w:val="27"/>
          <w:szCs w:val="27"/>
        </w:rPr>
        <w:t xml:space="preserve">6.8 Role definitions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300"/>
        <w:gridCol w:w="2000"/>
        <w:gridCol w:w="5060"/>
      </w:tblGrid>
      <w:tr>
        <w:trPr>
          <w:tblHeader/>
        </w:trPr>
        <w:tc>
          <w:tcPr>
            <w:tcW w:type="dxa" w:w="23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Role</w:t>
            </w:r>
          </w:p>
        </w:tc>
        <w:tc>
          <w:tcPr>
            <w:tcW w:type="dxa" w:w="20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Function</w:t>
            </w:r>
          </w:p>
        </w:tc>
        <w:tc>
          <w:tcPr>
            <w:tcW w:type="dxa" w:w="50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What this person is accountable for</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Enablement Lead</w:t>
            </w:r>
          </w:p>
        </w:tc>
        <w:tc>
          <w:tcPr>
            <w:tcW w:type="dxa" w:w="20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Pods / Clinic</w:t>
            </w:r>
          </w:p>
        </w:tc>
        <w:tc>
          <w:tcPr>
            <w:tcW w:type="dxa" w:w="50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Tier assignment and appeals; partner relationship across intakes; end-to-end accountability for Dedicated delivery</w:t>
            </w:r>
          </w:p>
        </w:tc>
      </w:tr>
      <w:tr>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Enablement Guide</w:t>
            </w:r>
          </w:p>
        </w:tc>
        <w:tc>
          <w:tcPr>
            <w:tcW w:type="dxa" w:w="20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Clinic</w:t>
            </w:r>
          </w:p>
        </w:tc>
        <w:tc>
          <w:tcPr>
            <w:tcW w:type="dxa" w:w="50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Named contact for several concurrent Lean+ intakes; runs checkpoints; escalates when drift triggers fire</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Platform Engineer (product)</w:t>
            </w:r>
          </w:p>
        </w:tc>
        <w:tc>
          <w:tcPr>
            <w:tcW w:type="dxa" w:w="20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Platform Eng</w:t>
            </w:r>
          </w:p>
        </w:tc>
        <w:tc>
          <w:tcPr>
            <w:tcW w:type="dxa" w:w="50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Platform capability: record, provisioning, gates, cockpit, generation</w:t>
            </w:r>
          </w:p>
        </w:tc>
      </w:tr>
      <w:tr>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Pattern Engineer</w:t>
            </w:r>
          </w:p>
        </w:tc>
        <w:tc>
          <w:tcPr>
            <w:tcW w:type="dxa" w:w="20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Platform Eng</w:t>
            </w:r>
          </w:p>
        </w:tc>
        <w:tc>
          <w:tcPr>
            <w:tcW w:type="dxa" w:w="50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Harvesting candidates and hardening them to M2 and M3; owns pattern quality and versioning</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Platform Engineer (delivery)</w:t>
            </w:r>
          </w:p>
        </w:tc>
        <w:tc>
          <w:tcPr>
            <w:tcW w:type="dxa" w:w="20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Pods</w:t>
            </w:r>
          </w:p>
        </w:tc>
        <w:tc>
          <w:tcPr>
            <w:tcW w:type="dxa" w:w="50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Repository profiles, metadata model, retention configuration on Dedicated intakes</w:t>
            </w:r>
          </w:p>
        </w:tc>
      </w:tr>
      <w:tr>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Integration Engineer</w:t>
            </w:r>
          </w:p>
        </w:tc>
        <w:tc>
          <w:tcPr>
            <w:tcW w:type="dxa" w:w="20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Pods / Clinic</w:t>
            </w:r>
          </w:p>
        </w:tc>
        <w:tc>
          <w:tcPr>
            <w:tcW w:type="dxa" w:w="50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Gateway, topics, ingestion channel, reconciliation; supports partner-side integration</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Content and Metadata Analyst</w:t>
            </w:r>
          </w:p>
        </w:tc>
        <w:tc>
          <w:tcPr>
            <w:tcW w:type="dxa" w:w="20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Pods / Desk</w:t>
            </w:r>
          </w:p>
        </w:tc>
        <w:tc>
          <w:tcPr>
            <w:tcW w:type="dxa" w:w="50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Metadata mapping, sample curation, governance submission assembly, classification liaison</w:t>
            </w:r>
          </w:p>
        </w:tc>
      </w:tr>
      <w:tr>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Records and Compliance Analyst</w:t>
            </w:r>
          </w:p>
        </w:tc>
        <w:tc>
          <w:tcPr>
            <w:tcW w:type="dxa" w:w="20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Desk</w:t>
            </w:r>
          </w:p>
        </w:tc>
        <w:tc>
          <w:tcPr>
            <w:tcW w:type="dxa" w:w="50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Retention positions, questionnaires, regulated storage, compliance assurance across tiers</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Migration Engineer</w:t>
            </w:r>
          </w:p>
        </w:tc>
        <w:tc>
          <w:tcPr>
            <w:tcW w:type="dxa" w:w="20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Factory</w:t>
            </w:r>
          </w:p>
        </w:tc>
        <w:tc>
          <w:tcPr>
            <w:tcW w:type="dxa" w:w="50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Extraction, mapping, validation and reconciliation tooling; campaign execution</w:t>
            </w:r>
          </w:p>
        </w:tc>
      </w:tr>
      <w:tr>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Product Owner, Enablement Platform</w:t>
            </w:r>
          </w:p>
        </w:tc>
        <w:tc>
          <w:tcPr>
            <w:tcW w:type="dxa" w:w="20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Platform Eng</w:t>
            </w:r>
          </w:p>
        </w:tc>
        <w:tc>
          <w:tcPr>
            <w:tcW w:type="dxa" w:w="50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Platform backlog and priority; pattern investment decisions; protects the function from intake work</w:t>
            </w:r>
          </w:p>
        </w:tc>
      </w:tr>
    </w:tbl>
    <w:p>
      <w:r>
        <w:br w:type="page"/>
      </w:r>
    </w:p>
    <w:p>
      <w:pPr>
        <w:pStyle w:val="Heading2"/>
        <w:spacing w:after="170" w:before="320"/>
      </w:pPr>
      <w:r>
        <w:rPr>
          <w:rFonts w:ascii="Cambria" w:cs="Cambria" w:eastAsia="Cambria" w:hAnsi="Cambria"/>
          <w:b/>
          <w:bCs/>
          <w:color w:val="15304F"/>
          <w:sz w:val="27"/>
          <w:szCs w:val="27"/>
        </w:rPr>
        <w:t xml:space="preserve">6.9 Indicative headcount redistribution</w:t>
      </w:r>
    </w:p>
    <w:p>
      <w:pPr>
        <w:spacing w:after="130" w:before="0"/>
      </w:pPr>
      <w:r>
        <w:rPr>
          <w:rFonts w:ascii="Calibri" w:cs="Calibri" w:eastAsia="Calibri" w:hAnsi="Calibri"/>
          <w:b w:val="false"/>
          <w:bCs w:val="false"/>
          <w:i w:val="false"/>
          <w:iCs w:val="false"/>
          <w:color w:val="1B2432"/>
          <w:sz w:val="21"/>
          <w:szCs w:val="21"/>
        </w:rPr>
        <w:t xml:space="preserve">The figures below are illustrative, applied to a notional thirty-three engineers to show proportion and direction. They must be re-derived against the actual roster and skills inventory before any commitment is made.</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600"/>
        <w:gridCol w:w="1500"/>
        <w:gridCol w:w="1500"/>
        <w:gridCol w:w="1500"/>
        <w:gridCol w:w="2260"/>
      </w:tblGrid>
      <w:tr>
        <w:trPr>
          <w:tblHeader/>
        </w:trPr>
        <w:tc>
          <w:tcPr>
            <w:tcW w:type="dxa" w:w="26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Function</w:t>
            </w:r>
          </w:p>
        </w:tc>
        <w:tc>
          <w:tcPr>
            <w:tcW w:type="dxa" w:w="1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Today</w:t>
            </w:r>
          </w:p>
        </w:tc>
        <w:tc>
          <w:tcPr>
            <w:tcW w:type="dxa" w:w="1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Wave 1</w:t>
            </w:r>
          </w:p>
        </w:tc>
        <w:tc>
          <w:tcPr>
            <w:tcW w:type="dxa" w:w="1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Wave 2</w:t>
            </w:r>
          </w:p>
        </w:tc>
        <w:tc>
          <w:tcPr>
            <w:tcW w:type="dxa" w:w="22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Steady state</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Enablement delivery (current scrum teams)</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33</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22</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14</w:t>
            </w:r>
          </w:p>
        </w:tc>
        <w:tc>
          <w:tcPr>
            <w:tcW w:type="dxa" w:w="22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 (replaced by pods)</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Platform Engineering</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0</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5</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8</w:t>
            </w:r>
          </w:p>
        </w:tc>
        <w:tc>
          <w:tcPr>
            <w:tcW w:type="dxa" w:w="22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9</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Enablement Pods</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0</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 </w:t>
            </w:r>
          </w:p>
        </w:tc>
        <w:tc>
          <w:tcPr>
            <w:tcW w:type="dxa" w:w="22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10</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Enablement Clinic</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0</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6</w:t>
            </w:r>
          </w:p>
        </w:tc>
        <w:tc>
          <w:tcPr>
            <w:tcW w:type="dxa" w:w="22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7</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Migration Factory</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0</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w:t>
            </w:r>
          </w:p>
        </w:tc>
        <w:tc>
          <w:tcPr>
            <w:tcW w:type="dxa" w:w="22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4</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Governance and Compliance Desk</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0</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w:t>
            </w:r>
          </w:p>
        </w:tc>
        <w:tc>
          <w:tcPr>
            <w:tcW w:type="dxa" w:w="22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Total</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33</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33</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34</w:t>
            </w:r>
          </w:p>
        </w:tc>
        <w:tc>
          <w:tcPr>
            <w:tcW w:type="dxa" w:w="22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33</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Three observations leadership should take from this table.</w:t>
      </w:r>
    </w:p>
    <w:p>
      <w:pPr>
        <w:pStyle w:val="ListParagraph"/>
        <w:numPr>
          <w:ilvl w:val="0"/>
          <w:numId w:val="3"/>
        </w:numPr>
        <w:spacing w:after="75"/>
      </w:pPr>
      <w:r>
        <w:rPr>
          <w:rFonts w:ascii="Calibri" w:cs="Calibri" w:eastAsia="Calibri" w:hAnsi="Calibri"/>
          <w:b/>
          <w:bCs/>
          <w:i w:val="false"/>
          <w:iCs w:val="false"/>
          <w:color w:val="1B2432"/>
          <w:sz w:val="21"/>
          <w:szCs w:val="21"/>
        </w:rPr>
        <w:t xml:space="preserve">The total does not change. </w:t>
      </w:r>
      <w:r>
        <w:rPr>
          <w:rFonts w:ascii="Calibri" w:cs="Calibri" w:eastAsia="Calibri" w:hAnsi="Calibri"/>
          <w:b w:val="false"/>
          <w:bCs w:val="false"/>
          <w:i w:val="false"/>
          <w:iCs w:val="false"/>
          <w:color w:val="1B2432"/>
          <w:sz w:val="21"/>
          <w:szCs w:val="21"/>
        </w:rPr>
        <w:t xml:space="preserve">This is a redistribution, not a headcount reduction proposal. The benefit is absorbing more intake volume with the same people, not fewer people doing the same volume.</w:t>
      </w:r>
    </w:p>
    <w:p>
      <w:pPr>
        <w:pStyle w:val="ListParagraph"/>
        <w:numPr>
          <w:ilvl w:val="0"/>
          <w:numId w:val="3"/>
        </w:numPr>
        <w:spacing w:after="75"/>
      </w:pPr>
      <w:r>
        <w:rPr>
          <w:rFonts w:ascii="Calibri" w:cs="Calibri" w:eastAsia="Calibri" w:hAnsi="Calibri"/>
          <w:b/>
          <w:bCs/>
          <w:i w:val="false"/>
          <w:iCs w:val="false"/>
          <w:color w:val="1B2432"/>
          <w:sz w:val="21"/>
          <w:szCs w:val="21"/>
        </w:rPr>
        <w:t xml:space="preserve">Platform Engineering is funded from delivery capacity. </w:t>
      </w:r>
      <w:r>
        <w:rPr>
          <w:rFonts w:ascii="Calibri" w:cs="Calibri" w:eastAsia="Calibri" w:hAnsi="Calibri"/>
          <w:b w:val="false"/>
          <w:bCs w:val="false"/>
          <w:i w:val="false"/>
          <w:iCs w:val="false"/>
          <w:color w:val="1B2432"/>
          <w:sz w:val="21"/>
          <w:szCs w:val="21"/>
        </w:rPr>
        <w:t xml:space="preserve">There is no free source for it. Nine engineers move from delivering intakes to building the capability that reduces the cost of intakes. Throughput dips before it rises.</w:t>
      </w:r>
    </w:p>
    <w:p>
      <w:pPr>
        <w:pStyle w:val="ListParagraph"/>
        <w:numPr>
          <w:ilvl w:val="0"/>
          <w:numId w:val="3"/>
        </w:numPr>
        <w:spacing w:after="75"/>
      </w:pPr>
      <w:r>
        <w:rPr>
          <w:rFonts w:ascii="Calibri" w:cs="Calibri" w:eastAsia="Calibri" w:hAnsi="Calibri"/>
          <w:b/>
          <w:bCs/>
          <w:i w:val="false"/>
          <w:iCs w:val="false"/>
          <w:color w:val="1B2432"/>
          <w:sz w:val="21"/>
          <w:szCs w:val="21"/>
        </w:rPr>
        <w:t xml:space="preserve">The Clinic grows as the platform matures. </w:t>
      </w:r>
      <w:r>
        <w:rPr>
          <w:rFonts w:ascii="Calibri" w:cs="Calibri" w:eastAsia="Calibri" w:hAnsi="Calibri"/>
          <w:b w:val="false"/>
          <w:bCs w:val="false"/>
          <w:i w:val="false"/>
          <w:iCs w:val="false"/>
          <w:color w:val="1B2432"/>
          <w:sz w:val="21"/>
          <w:szCs w:val="21"/>
        </w:rPr>
        <w:t xml:space="preserve">It cannot be stood up at full size on day one, because there are no Lean+ intakes until there are M1+ patterns for them to run on.</w:t>
      </w:r>
    </w:p>
    <w:p>
      <w:pPr>
        <w:pStyle w:val="Heading2"/>
        <w:spacing w:after="170" w:before="320"/>
      </w:pPr>
      <w:r>
        <w:rPr>
          <w:rFonts w:ascii="Cambria" w:cs="Cambria" w:eastAsia="Cambria" w:hAnsi="Cambria"/>
          <w:b/>
          <w:bCs/>
          <w:color w:val="15304F"/>
          <w:sz w:val="27"/>
          <w:szCs w:val="27"/>
        </w:rPr>
        <w:t xml:space="preserve">6.10 Transition sequencing</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1500"/>
        <w:gridCol w:w="2300"/>
        <w:gridCol w:w="2900"/>
        <w:gridCol w:w="2660"/>
      </w:tblGrid>
      <w:tr>
        <w:trPr>
          <w:tblHeader/>
        </w:trPr>
        <w:tc>
          <w:tcPr>
            <w:tcW w:type="dxa" w:w="1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Wave</w:t>
            </w:r>
          </w:p>
        </w:tc>
        <w:tc>
          <w:tcPr>
            <w:tcW w:type="dxa" w:w="23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Window</w:t>
            </w:r>
          </w:p>
        </w:tc>
        <w:tc>
          <w:tcPr>
            <w:tcW w:type="dxa" w:w="29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What is stood up</w:t>
            </w:r>
          </w:p>
        </w:tc>
        <w:tc>
          <w:tcPr>
            <w:tcW w:type="dxa" w:w="26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What is deliberately not yet attempted</w:t>
            </w:r>
          </w:p>
        </w:tc>
      </w:tr>
      <w:tr>
        <w:tc>
          <w:tcPr>
            <w:tcW w:type="dxa" w:w="1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Wave 0</w:t>
            </w:r>
          </w:p>
        </w:tc>
        <w:tc>
          <w:tcPr>
            <w:tcW w:type="dxa" w:w="2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Months 0–3</w:t>
            </w:r>
          </w:p>
        </w:tc>
        <w:tc>
          <w:tcPr>
            <w:tcW w:type="dxa" w:w="29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Governance and Compliance Desk; Platform Engineering seed; tiering rubric published; enablement record and cockpit v1</w:t>
            </w:r>
          </w:p>
        </w:tc>
        <w:tc>
          <w:tcPr>
            <w:tcW w:type="dxa" w:w="2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 tier changes for in-flight intakes; no Lean; no structural change to delivery teams</w:t>
            </w:r>
          </w:p>
        </w:tc>
      </w:tr>
      <w:tr>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Wave 1</w:t>
            </w:r>
          </w:p>
        </w:tc>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Months 3–9</w:t>
            </w:r>
          </w:p>
        </w:tc>
        <w:tc>
          <w:tcPr>
            <w:tcW w:type="dxa" w:w="29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Platform Engineering to full size; Clinic stands up; Lean+ opens for the three highest-frequency M1–M2 patterns; pattern harvest becomes a Dedicated closure condition</w:t>
            </w:r>
          </w:p>
        </w:tc>
        <w:tc>
          <w:tcPr>
            <w:tcW w:type="dxa" w:w="2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Lean remains closed — no pattern has reached M3</w:t>
            </w:r>
          </w:p>
        </w:tc>
      </w:tr>
      <w:tr>
        <w:tc>
          <w:tcPr>
            <w:tcW w:type="dxa" w:w="1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Wave 2</w:t>
            </w:r>
          </w:p>
        </w:tc>
        <w:tc>
          <w:tcPr>
            <w:tcW w:type="dxa" w:w="2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Months 9–18</w:t>
            </w:r>
          </w:p>
        </w:tc>
        <w:tc>
          <w:tcPr>
            <w:tcW w:type="dxa" w:w="29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First M3 patterns published; Lean opens for certified partners; Enablement Pods formalised; Migration Factory stands up</w:t>
            </w:r>
          </w:p>
        </w:tc>
        <w:tc>
          <w:tcPr>
            <w:tcW w:type="dxa" w:w="2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Full scenario coverage; most scenarios still route to Lean+ or Dedicated</w:t>
            </w:r>
          </w:p>
        </w:tc>
      </w:tr>
      <w:tr>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Wave 3</w:t>
            </w:r>
          </w:p>
        </w:tc>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Months 18+</w:t>
            </w:r>
          </w:p>
        </w:tc>
        <w:tc>
          <w:tcPr>
            <w:tcW w:type="dxa" w:w="29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Pattern coverage broadens; distribution shifts toward Lean; Factory runs continuous campaigns</w:t>
            </w:r>
          </w:p>
        </w:tc>
        <w:tc>
          <w:tcPr>
            <w:tcW w:type="dxa" w:w="2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t>
            </w:r>
          </w:p>
        </w:tc>
      </w:tr>
    </w:tbl>
    <w:p>
      <w:pPr>
        <w:spacing w:after="140"/>
      </w:pPr>
      <w:r>
        <w:t xml:space="preserve"/>
      </w:r>
    </w:p>
    <w:tbl>
      <w:tblPr>
        <w:tblW w:type="dxa" w:w="9360"/>
        <w:tblBorders>
          <w:top w:val="single" w:color="A44A2A" w:sz="6"/>
          <w:left w:val="single" w:color="A44A2A" w:sz="6"/>
          <w:bottom w:val="single" w:color="A44A2A" w:sz="6"/>
          <w:right w:val="single" w:color="A44A2A" w:sz="6"/>
          <w:insideH w:val="none"/>
          <w:insideV w:val="none"/>
        </w:tblBorders>
      </w:tblPr>
      <w:tblGrid>
        <w:gridCol w:w="9360"/>
      </w:tblGrid>
      <w:tr>
        <w:tc>
          <w:tcPr>
            <w:tcW w:type="dxa" w:w="9360"/>
            <w:shd w:fill="FDF5F1" w:color="auto" w:val="clear"/>
            <w:tcMar>
              <w:top w:type="dxa" w:w="140"/>
              <w:left w:type="dxa" w:w="165"/>
              <w:bottom w:type="dxa" w:w="140"/>
              <w:right w:type="dxa" w:w="165"/>
            </w:tcMar>
          </w:tcPr>
          <w:p>
            <w:pPr>
              <w:spacing w:after="85"/>
            </w:pPr>
            <w:r>
              <w:rPr>
                <w:rFonts w:ascii="Calibri" w:cs="Calibri" w:eastAsia="Calibri" w:hAnsi="Calibri"/>
                <w:b/>
                <w:bCs/>
                <w:color w:val="A44A2A"/>
                <w:sz w:val="20"/>
                <w:szCs w:val="20"/>
              </w:rPr>
              <w:t xml:space="preserve">THE SEQUENCING RULE THAT MUST NOT BE BROKEN</w:t>
            </w:r>
          </w:p>
          <w:p>
            <w:pPr>
              <w:spacing w:after="65"/>
            </w:pPr>
            <w:r>
              <w:rPr>
                <w:rFonts w:ascii="Calibri" w:cs="Calibri" w:eastAsia="Calibri" w:hAnsi="Calibri"/>
                <w:color w:val="1B2432"/>
                <w:sz w:val="20"/>
                <w:szCs w:val="20"/>
              </w:rPr>
              <w:t xml:space="preserve">A tier opens for a pattern only when that pattern's maturity supports it. Lean+ needs M1. Lean needs M3.</w:t>
            </w:r>
          </w:p>
          <w:p>
            <w:pPr>
              <w:spacing w:after="65"/>
            </w:pPr>
            <w:r>
              <w:rPr>
                <w:rFonts w:ascii="Calibri" w:cs="Calibri" w:eastAsia="Calibri" w:hAnsi="Calibri"/>
                <w:color w:val="1B2432"/>
                <w:sz w:val="20"/>
                <w:szCs w:val="20"/>
              </w:rPr>
              <w:t xml:space="preserve">The pressure to open Lean early, before patterns are ready, will be considerable — it is where the visible saving is. Doing so produces unsupported partners, failed onboardings and a permanent credibility loss for the model.</w:t>
            </w:r>
          </w:p>
          <w:p>
            <w:pPr>
              <w:spacing w:after="65"/>
            </w:pPr>
            <w:r>
              <w:rPr>
                <w:rFonts w:ascii="Calibri" w:cs="Calibri" w:eastAsia="Calibri" w:hAnsi="Calibri"/>
                <w:color w:val="1B2432"/>
                <w:sz w:val="20"/>
                <w:szCs w:val="20"/>
              </w:rPr>
              <w:t xml:space="preserve">Pattern maturity, not elapsed time, is the gate on tier availability.</w:t>
            </w:r>
          </w:p>
        </w:tc>
      </w:tr>
    </w:tbl>
    <w:p>
      <w:pPr>
        <w:pStyle w:val="Heading2"/>
        <w:spacing w:after="170" w:before="320"/>
      </w:pPr>
      <w:r>
        <w:rPr>
          <w:rFonts w:ascii="Cambria" w:cs="Cambria" w:eastAsia="Cambria" w:hAnsi="Cambria"/>
          <w:b/>
          <w:bCs/>
          <w:color w:val="15304F"/>
          <w:sz w:val="27"/>
          <w:szCs w:val="27"/>
        </w:rPr>
        <w:t xml:space="preserve">6.11 Skills and career implications</w:t>
      </w:r>
    </w:p>
    <w:p>
      <w:pPr>
        <w:spacing w:after="130" w:before="0"/>
      </w:pPr>
      <w:r>
        <w:rPr>
          <w:rFonts w:ascii="Calibri" w:cs="Calibri" w:eastAsia="Calibri" w:hAnsi="Calibri"/>
          <w:b w:val="false"/>
          <w:bCs w:val="false"/>
          <w:i w:val="false"/>
          <w:iCs w:val="false"/>
          <w:color w:val="1B2432"/>
          <w:sz w:val="21"/>
          <w:szCs w:val="21"/>
        </w:rPr>
        <w:t xml:space="preserve">The re-organisation changes what good looks like for several people, and that should be addressed openly rather than discovered.</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600"/>
        <w:gridCol w:w="6760"/>
      </w:tblGrid>
      <w:tr>
        <w:trPr>
          <w:tblHeader/>
        </w:trPr>
        <w:tc>
          <w:tcPr>
            <w:tcW w:type="dxa" w:w="26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Shift</w:t>
            </w:r>
          </w:p>
        </w:tc>
        <w:tc>
          <w:tcPr>
            <w:tcW w:type="dxa" w:w="67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Implication</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From delivery to product</w:t>
            </w:r>
          </w:p>
        </w:tc>
        <w:tc>
          <w:tcPr>
            <w:tcW w:type="dxa" w:w="6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Engineers moving to Platform Engineering trade visible partner outcomes for capability that pays off later. Recognition and performance measures must follow, or the function will be seen as a sidelining.</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From doing to reviewing</w:t>
            </w:r>
          </w:p>
        </w:tc>
        <w:tc>
          <w:tcPr>
            <w:tcW w:type="dxa" w:w="6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Clinic engineers review work they would previously have performed. This is a genuinely different skill — faster, more judgement-dense, less hands-on — and not everyone will want it.</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From generalist to specialist</w:t>
            </w:r>
          </w:p>
        </w:tc>
        <w:tc>
          <w:tcPr>
            <w:tcW w:type="dxa" w:w="6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Governance Desk concentrates expertise that is currently spread. Those roles become deeper and narrower.</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From project to campaign</w:t>
            </w:r>
          </w:p>
        </w:tc>
        <w:tc>
          <w:tcPr>
            <w:tcW w:type="dxa" w:w="6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Factory engineers work in volume and repetition rather than partner relationships. It suits some people well and others not at all.</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New role: Pattern Engineer</w:t>
            </w:r>
          </w:p>
        </w:tc>
        <w:tc>
          <w:tcPr>
            <w:tcW w:type="dxa" w:w="6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 current equivalent. Sits between delivery and product, and is the hardest role to fill from the existing team.</w:t>
            </w:r>
          </w:p>
        </w:tc>
      </w:tr>
    </w:tbl>
    <w:p>
      <w:r>
        <w:br w:type="page"/>
      </w:r>
    </w:p>
    <w:p>
      <w:pPr>
        <w:pStyle w:val="Heading1"/>
        <w:spacing w:after="220" w:before="400"/>
      </w:pPr>
      <w:r>
        <w:rPr>
          <w:rFonts w:ascii="Cambria" w:cs="Cambria" w:eastAsia="Cambria" w:hAnsi="Cambria"/>
          <w:b/>
          <w:bCs/>
          <w:color w:val="15304F"/>
          <w:sz w:val="34"/>
          <w:szCs w:val="34"/>
        </w:rPr>
        <w:t xml:space="preserve">Part 7 — Guardrails</w:t>
      </w:r>
    </w:p>
    <w:p>
      <w:pPr>
        <w:spacing w:after="130" w:before="0"/>
      </w:pPr>
      <w:r>
        <w:rPr>
          <w:rFonts w:ascii="Calibri" w:cs="Calibri" w:eastAsia="Calibri" w:hAnsi="Calibri"/>
          <w:b w:val="false"/>
          <w:bCs w:val="false"/>
          <w:i w:val="false"/>
          <w:iCs w:val="false"/>
          <w:color w:val="1B2432"/>
          <w:sz w:val="21"/>
          <w:szCs w:val="21"/>
        </w:rPr>
        <w:t xml:space="preserve">Guardrails are what make the lighter tiers defensible. The argument to risk, audit and compliance functions is not that less assurance is applied in Lean, but that the assurance is applied by the platform rather than by an engineer's attention — and that platform-applied assurance is more consistent, not less.</w:t>
      </w:r>
    </w:p>
    <w:p>
      <w:pPr>
        <w:pStyle w:val="Heading2"/>
        <w:spacing w:after="170" w:before="320"/>
      </w:pPr>
      <w:r>
        <w:rPr>
          <w:rFonts w:ascii="Cambria" w:cs="Cambria" w:eastAsia="Cambria" w:hAnsi="Cambria"/>
          <w:b/>
          <w:bCs/>
          <w:color w:val="15304F"/>
          <w:sz w:val="27"/>
          <w:szCs w:val="27"/>
        </w:rPr>
        <w:t xml:space="preserve">7.1 Universal guardrails — all tiers, no exceptions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500"/>
        <w:gridCol w:w="3200"/>
        <w:gridCol w:w="3660"/>
      </w:tblGrid>
      <w:tr>
        <w:trPr>
          <w:tblHeader/>
        </w:trPr>
        <w:tc>
          <w:tcPr>
            <w:tcW w:type="dxa" w:w="2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Guardrail</w:t>
            </w:r>
          </w:p>
        </w:tc>
        <w:tc>
          <w:tcPr>
            <w:tcW w:type="dxa" w:w="32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What it enforces</w:t>
            </w:r>
          </w:p>
        </w:tc>
        <w:tc>
          <w:tcPr>
            <w:tcW w:type="dxa" w:w="36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How it is enforced</w:t>
            </w:r>
          </w:p>
        </w:tc>
      </w:tr>
      <w:tr>
        <w:tc>
          <w:tcPr>
            <w:tcW w:type="dxa" w:w="2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Classification determination</w:t>
            </w:r>
          </w:p>
        </w:tc>
        <w:tc>
          <w:tcPr>
            <w:tcW w:type="dxa" w:w="3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 content is configured against an asserted trust posture or document classification. The determination comes from imaging governance and is registered against the intake.</w:t>
            </w:r>
          </w:p>
        </w:tc>
        <w:tc>
          <w:tcPr>
            <w:tcW w:type="dxa" w:w="3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Gate engine blocks P1 exit without a registered determination. Provisioning refuses to instantiate a profile without one.</w:t>
            </w:r>
          </w:p>
        </w:tc>
      </w:tr>
      <w:tr>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Retention approval</w:t>
            </w:r>
          </w:p>
        </w:tc>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 retention is configured without records management approval against a stated business obligation.</w:t>
            </w:r>
          </w:p>
        </w:tc>
        <w:tc>
          <w:tcPr>
            <w:tcW w:type="dxa" w:w="3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Gate engine blocks P2 exit. Retention configuration is not a self-service action in any tier.</w:t>
            </w:r>
          </w:p>
        </w:tc>
      </w:tr>
      <w:tr>
        <w:tc>
          <w:tcPr>
            <w:tcW w:type="dxa" w:w="2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Security and access</w:t>
            </w:r>
          </w:p>
        </w:tc>
        <w:tc>
          <w:tcPr>
            <w:tcW w:type="dxa" w:w="3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Access routing follows published rules; production access requires security approval.</w:t>
            </w:r>
          </w:p>
        </w:tc>
        <w:tc>
          <w:tcPr>
            <w:tcW w:type="dxa" w:w="3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Routing resolved by the platform, which refuses rather than guesses. Production access is never self-service.</w:t>
            </w:r>
          </w:p>
        </w:tc>
      </w:tr>
      <w:tr>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Volume certification</w:t>
            </w:r>
          </w:p>
        </w:tc>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Load testing applicability is determined from the assessed volume profile, not from the tier.</w:t>
            </w:r>
          </w:p>
        </w:tc>
        <w:tc>
          <w:tcPr>
            <w:tcW w:type="dxa" w:w="3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Automated threshold evaluation at P1 and re-evaluation on any volume change.</w:t>
            </w:r>
          </w:p>
        </w:tc>
      </w:tr>
      <w:tr>
        <w:tc>
          <w:tcPr>
            <w:tcW w:type="dxa" w:w="2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Promotion ladder</w:t>
            </w:r>
          </w:p>
        </w:tc>
        <w:tc>
          <w:tcPr>
            <w:tcW w:type="dxa" w:w="3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 environment is skipped and no gate is bypassed.</w:t>
            </w:r>
          </w:p>
        </w:tc>
        <w:tc>
          <w:tcPr>
            <w:tcW w:type="dxa" w:w="3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Promotion is a platform action, never a human one, in every tier.</w:t>
            </w:r>
          </w:p>
        </w:tc>
      </w:tr>
      <w:tr>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Support acceptance</w:t>
            </w:r>
          </w:p>
        </w:tc>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Nothing goes live that production support has not accepted.</w:t>
            </w:r>
          </w:p>
        </w:tc>
        <w:tc>
          <w:tcPr>
            <w:tcW w:type="dxa" w:w="3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Gate engine blocks P5 without recorded acceptance.</w:t>
            </w:r>
          </w:p>
        </w:tc>
      </w:tr>
      <w:tr>
        <w:tc>
          <w:tcPr>
            <w:tcW w:type="dxa" w:w="2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Audit trail</w:t>
            </w:r>
          </w:p>
        </w:tc>
        <w:tc>
          <w:tcPr>
            <w:tcW w:type="dxa" w:w="3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Every action, approval and promotion is attributable.</w:t>
            </w:r>
          </w:p>
        </w:tc>
        <w:tc>
          <w:tcPr>
            <w:tcW w:type="dxa" w:w="3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Written by the platform at the point of action; not reconstructable after the fact.</w:t>
            </w:r>
          </w:p>
        </w:tc>
      </w:tr>
      <w:tr>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New document type</w:t>
            </w:r>
          </w:p>
        </w:tc>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type introduced after the determination does not inherit an existing classification.</w:t>
            </w:r>
          </w:p>
        </w:tc>
        <w:tc>
          <w:tcPr>
            <w:tcW w:type="dxa" w:w="3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Detected automatically; forces escalation and a fresh determination.</w:t>
            </w:r>
          </w:p>
        </w:tc>
      </w:tr>
    </w:tbl>
    <w:p>
      <w:pPr>
        <w:pStyle w:val="Heading2"/>
        <w:spacing w:after="170" w:before="320"/>
      </w:pPr>
      <w:r>
        <w:rPr>
          <w:rFonts w:ascii="Cambria" w:cs="Cambria" w:eastAsia="Cambria" w:hAnsi="Cambria"/>
          <w:b/>
          <w:bCs/>
          <w:color w:val="15304F"/>
          <w:sz w:val="27"/>
          <w:szCs w:val="27"/>
        </w:rPr>
        <w:t xml:space="preserve">7.2 Lean-specific guardrails</w:t>
      </w:r>
    </w:p>
    <w:p>
      <w:pPr>
        <w:spacing w:after="130" w:before="0"/>
      </w:pPr>
      <w:r>
        <w:rPr>
          <w:rFonts w:ascii="Calibri" w:cs="Calibri" w:eastAsia="Calibri" w:hAnsi="Calibri"/>
          <w:b w:val="false"/>
          <w:bCs w:val="false"/>
          <w:i w:val="false"/>
          <w:iCs w:val="false"/>
          <w:color w:val="1B2432"/>
          <w:sz w:val="21"/>
          <w:szCs w:val="21"/>
        </w:rPr>
        <w:t xml:space="preserve">Lean removes the engineer. These guardrails replace what the engineer's presence was implicitly preventing.</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900"/>
        <w:gridCol w:w="6460"/>
      </w:tblGrid>
      <w:tr>
        <w:trPr>
          <w:tblHeader/>
        </w:trPr>
        <w:tc>
          <w:tcPr>
            <w:tcW w:type="dxa" w:w="29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Guardrail</w:t>
            </w:r>
          </w:p>
        </w:tc>
        <w:tc>
          <w:tcPr>
            <w:tcW w:type="dxa" w:w="64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Rationale</w:t>
            </w:r>
          </w:p>
        </w:tc>
      </w:tr>
      <w:tr>
        <w:tc>
          <w:tcPr>
            <w:tcW w:type="dxa" w:w="29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Certification prerequisite</w:t>
            </w:r>
          </w:p>
        </w:tc>
        <w:tc>
          <w:tcPr>
            <w:tcW w:type="dxa" w:w="64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partner cannot enter Lean without prior successful delivery and platform onboarding. The first intake for any partner is never Lean.</w:t>
            </w:r>
          </w:p>
        </w:tc>
      </w:tr>
      <w:tr>
        <w:tc>
          <w:tcPr>
            <w:tcW w:type="dxa" w:w="29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M3 pattern required</w:t>
            </w:r>
          </w:p>
        </w:tc>
        <w:tc>
          <w:tcPr>
            <w:tcW w:type="dxa" w:w="64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Without self-service provisioning and automated gates there is nothing for the partner to operate. Lean on an immature pattern is abandonment.</w:t>
            </w:r>
          </w:p>
        </w:tc>
      </w:tr>
      <w:tr>
        <w:tc>
          <w:tcPr>
            <w:tcW w:type="dxa" w:w="29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Tolerated variation is explicit and narrow</w:t>
            </w:r>
          </w:p>
        </w:tc>
        <w:tc>
          <w:tcPr>
            <w:tcW w:type="dxa" w:w="64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pattern declares exactly which parameters may vary. Anything outside that boundary escalates automatically rather than being absorbed silently.</w:t>
            </w:r>
          </w:p>
        </w:tc>
      </w:tr>
      <w:tr>
        <w:tc>
          <w:tcPr>
            <w:tcW w:type="dxa" w:w="29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Three-strike escalation</w:t>
            </w:r>
          </w:p>
        </w:tc>
        <w:tc>
          <w:tcPr>
            <w:tcW w:type="dxa" w:w="64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Three consecutive failures on the same gate escalates to Lean+. A partner repeatedly failing the same check is stuck, and self-service is not going to resolve it.</w:t>
            </w:r>
          </w:p>
        </w:tc>
      </w:tr>
      <w:tr>
        <w:tc>
          <w:tcPr>
            <w:tcW w:type="dxa" w:w="29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No silent exceptions</w:t>
            </w:r>
          </w:p>
        </w:tc>
        <w:tc>
          <w:tcPr>
            <w:tcW w:type="dxa" w:w="64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platform refuses rather than guesses on any unresolvable parameter. A Lean intake must never proceed on an assumption.</w:t>
            </w:r>
          </w:p>
        </w:tc>
      </w:tr>
      <w:tr>
        <w:tc>
          <w:tcPr>
            <w:tcW w:type="dxa" w:w="29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Compliance spot-audit</w:t>
            </w:r>
          </w:p>
        </w:tc>
        <w:tc>
          <w:tcPr>
            <w:tcW w:type="dxa" w:w="64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sampled proportion of completed Lean intakes is audited by the Governance Desk after go-live. This is the assurance mechanism that lets compliance functions accept the tier.</w:t>
            </w:r>
          </w:p>
        </w:tc>
      </w:tr>
      <w:tr>
        <w:tc>
          <w:tcPr>
            <w:tcW w:type="dxa" w:w="29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Clinic access is guaranteed, not optional</w:t>
            </w:r>
          </w:p>
        </w:tc>
        <w:tc>
          <w:tcPr>
            <w:tcW w:type="dxa" w:w="64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Open slots must genuinely exist and be bookable. A Lean tier with no reachable human is not a tier, it is a withdrawal of service.</w:t>
            </w:r>
          </w:p>
        </w:tc>
      </w:tr>
    </w:tbl>
    <w:p>
      <w:pPr>
        <w:pStyle w:val="Heading2"/>
        <w:spacing w:after="170" w:before="320"/>
      </w:pPr>
      <w:r>
        <w:rPr>
          <w:rFonts w:ascii="Cambria" w:cs="Cambria" w:eastAsia="Cambria" w:hAnsi="Cambria"/>
          <w:b/>
          <w:bCs/>
          <w:color w:val="15304F"/>
          <w:sz w:val="27"/>
          <w:szCs w:val="27"/>
        </w:rPr>
        <w:t xml:space="preserve">7.3 Lean+ specific guardrails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900"/>
        <w:gridCol w:w="6460"/>
      </w:tblGrid>
      <w:tr>
        <w:trPr>
          <w:tblHeader/>
        </w:trPr>
        <w:tc>
          <w:tcPr>
            <w:tcW w:type="dxa" w:w="29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Guardrail</w:t>
            </w:r>
          </w:p>
        </w:tc>
        <w:tc>
          <w:tcPr>
            <w:tcW w:type="dxa" w:w="64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Rationale</w:t>
            </w:r>
          </w:p>
        </w:tc>
      </w:tr>
      <w:tr>
        <w:tc>
          <w:tcPr>
            <w:tcW w:type="dxa" w:w="29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Both checkpoints are mandatory</w:t>
            </w:r>
          </w:p>
        </w:tc>
        <w:tc>
          <w:tcPr>
            <w:tcW w:type="dxa" w:w="64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 baseline and pre-promotion readiness cannot be waived, deferred past their phase, or combined. They are the entire assurance mechanism of the tier.</w:t>
            </w:r>
          </w:p>
        </w:tc>
      </w:tr>
      <w:tr>
        <w:tc>
          <w:tcPr>
            <w:tcW w:type="dxa" w:w="29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Checkpoints require a completed artefact</w:t>
            </w:r>
          </w:p>
        </w:tc>
        <w:tc>
          <w:tcPr>
            <w:tcW w:type="dxa" w:w="64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review without the artefact becomes an unplanned working session, which is how Lean+ silently becomes Dedicated. No artefact, no review — rebook.</w:t>
            </w:r>
          </w:p>
        </w:tc>
      </w:tr>
      <w:tr>
        <w:tc>
          <w:tcPr>
            <w:tcW w:type="dxa" w:w="29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The guide is a contact, not a resource</w:t>
            </w:r>
          </w:p>
        </w:tc>
        <w:tc>
          <w:tcPr>
            <w:tcW w:type="dxa" w:w="64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guide who starts doing the partner's implementation has converted one Lean+ intake into a Dedicated one using capacity that was never allocated. Guide time is tracked and capped.</w:t>
            </w:r>
          </w:p>
        </w:tc>
      </w:tr>
      <w:tr>
        <w:tc>
          <w:tcPr>
            <w:tcW w:type="dxa" w:w="29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Escalation is automatic, not negotiated</w:t>
            </w:r>
          </w:p>
        </w:tc>
        <w:tc>
          <w:tcPr>
            <w:tcW w:type="dxa" w:w="64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Drift triggers re-tier the intake. A guide may not absorb an escalation trigger by working harder.</w:t>
            </w:r>
          </w:p>
        </w:tc>
      </w:tr>
    </w:tbl>
    <w:p>
      <w:pPr>
        <w:pStyle w:val="Heading2"/>
        <w:spacing w:after="170" w:before="320"/>
      </w:pPr>
      <w:r>
        <w:rPr>
          <w:rFonts w:ascii="Cambria" w:cs="Cambria" w:eastAsia="Cambria" w:hAnsi="Cambria"/>
          <w:b/>
          <w:bCs/>
          <w:color w:val="15304F"/>
          <w:sz w:val="27"/>
          <w:szCs w:val="27"/>
        </w:rPr>
        <w:t xml:space="preserve">7.4 Dedicated-specific guardrails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900"/>
        <w:gridCol w:w="6460"/>
      </w:tblGrid>
      <w:tr>
        <w:trPr>
          <w:tblHeader/>
        </w:trPr>
        <w:tc>
          <w:tcPr>
            <w:tcW w:type="dxa" w:w="29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Guardrail</w:t>
            </w:r>
          </w:p>
        </w:tc>
        <w:tc>
          <w:tcPr>
            <w:tcW w:type="dxa" w:w="64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Rationale</w:t>
            </w:r>
          </w:p>
        </w:tc>
      </w:tr>
      <w:tr>
        <w:tc>
          <w:tcPr>
            <w:tcW w:type="dxa" w:w="29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Pattern harvest is a closure condition</w:t>
            </w:r>
          </w:p>
        </w:tc>
        <w:tc>
          <w:tcPr>
            <w:tcW w:type="dxa" w:w="64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Delivery without a pattern candidate leaves the next identical intake just as expensive. This is the mechanism that makes Dedicated work compound.</w:t>
            </w:r>
          </w:p>
        </w:tc>
      </w:tr>
      <w:tr>
        <w:tc>
          <w:tcPr>
            <w:tcW w:type="dxa" w:w="29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De-escalation at phase gates</w:t>
            </w:r>
          </w:p>
        </w:tc>
        <w:tc>
          <w:tcPr>
            <w:tcW w:type="dxa" w:w="64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Once the novel element is complete, the pod is released and the remainder runs as Lean+. Pods are the scarcest resource and must not be held through routine phases.</w:t>
            </w:r>
          </w:p>
        </w:tc>
      </w:tr>
      <w:tr>
        <w:tc>
          <w:tcPr>
            <w:tcW w:type="dxa" w:w="29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Justification is recorded</w:t>
            </w:r>
          </w:p>
        </w:tc>
        <w:tc>
          <w:tcPr>
            <w:tcW w:type="dxa" w:w="64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Every Dedicated assignment records which determinant or override produced it. This is what makes the tiering rubric auditable and recalibratable.</w:t>
            </w:r>
          </w:p>
        </w:tc>
      </w:tr>
      <w:tr>
        <w:tc>
          <w:tcPr>
            <w:tcW w:type="dxa" w:w="29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Queue transparency</w:t>
            </w:r>
          </w:p>
        </w:tc>
        <w:tc>
          <w:tcPr>
            <w:tcW w:type="dxa" w:w="64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Partners waiting for a pod are told their position and expected window. An undisclosed queue is how partners learn to escalate instead of wait.</w:t>
            </w:r>
          </w:p>
        </w:tc>
      </w:tr>
    </w:tbl>
    <w:p>
      <w:pPr>
        <w:pStyle w:val="Heading2"/>
        <w:spacing w:after="170" w:before="320"/>
      </w:pPr>
      <w:r>
        <w:rPr>
          <w:rFonts w:ascii="Cambria" w:cs="Cambria" w:eastAsia="Cambria" w:hAnsi="Cambria"/>
          <w:b/>
          <w:bCs/>
          <w:color w:val="15304F"/>
          <w:sz w:val="27"/>
          <w:szCs w:val="27"/>
        </w:rPr>
        <w:t xml:space="preserve">7.5 Guardrails on the operating model itself</w:t>
      </w:r>
    </w:p>
    <w:p>
      <w:pPr>
        <w:spacing w:after="130" w:before="0"/>
      </w:pPr>
      <w:r>
        <w:rPr>
          <w:rFonts w:ascii="Calibri" w:cs="Calibri" w:eastAsia="Calibri" w:hAnsi="Calibri"/>
          <w:b w:val="false"/>
          <w:bCs w:val="false"/>
          <w:i w:val="false"/>
          <w:iCs w:val="false"/>
          <w:color w:val="1B2432"/>
          <w:sz w:val="21"/>
          <w:szCs w:val="21"/>
        </w:rPr>
        <w:t xml:space="preserve">The model can fail without any individual intake failing. These guardrails monitor the health of the model and trigger intervention before the failure becomes visible as delivery pain.</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500"/>
        <w:gridCol w:w="2900"/>
        <w:gridCol w:w="3960"/>
      </w:tblGrid>
      <w:tr>
        <w:trPr>
          <w:tblHeader/>
        </w:trPr>
        <w:tc>
          <w:tcPr>
            <w:tcW w:type="dxa" w:w="2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Signal</w:t>
            </w:r>
          </w:p>
        </w:tc>
        <w:tc>
          <w:tcPr>
            <w:tcW w:type="dxa" w:w="29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Threshold</w:t>
            </w:r>
          </w:p>
        </w:tc>
        <w:tc>
          <w:tcPr>
            <w:tcW w:type="dxa" w:w="39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Intervention</w:t>
            </w:r>
          </w:p>
        </w:tc>
      </w:tr>
      <w:tr>
        <w:tc>
          <w:tcPr>
            <w:tcW w:type="dxa" w:w="2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Escalation rate from Lean</w:t>
            </w:r>
          </w:p>
        </w:tc>
        <w:tc>
          <w:tcPr>
            <w:tcW w:type="dxa" w:w="29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More than 20% of Lean intakes escalating</w:t>
            </w:r>
          </w:p>
        </w:tc>
        <w:tc>
          <w:tcPr>
            <w:tcW w:type="dxa" w:w="3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pattern is mis-scoped or the rubric is mis-calibrated. Suspend Lean for that pattern and re-harden it.</w:t>
            </w:r>
          </w:p>
        </w:tc>
      </w:tr>
      <w:tr>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Clinic demand against capacity</w:t>
            </w:r>
          </w:p>
        </w:tc>
        <w:tc>
          <w:tcPr>
            <w:tcW w:type="dxa" w:w="29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Open slots fully booked three weeks running</w:t>
            </w:r>
          </w:p>
        </w:tc>
        <w:tc>
          <w:tcPr>
            <w:tcW w:type="dxa" w:w="39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Clinic is under-sized or Lean patterns are too immature. Either resize or pull patterns back to Lean+.</w:t>
            </w:r>
          </w:p>
        </w:tc>
      </w:tr>
      <w:tr>
        <w:tc>
          <w:tcPr>
            <w:tcW w:type="dxa" w:w="2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Pod utilisation</w:t>
            </w:r>
          </w:p>
        </w:tc>
        <w:tc>
          <w:tcPr>
            <w:tcW w:type="dxa" w:w="29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Above 90% sustained</w:t>
            </w:r>
          </w:p>
        </w:tc>
        <w:tc>
          <w:tcPr>
            <w:tcW w:type="dxa" w:w="3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Dedicated is absorbing work that should have tiered lower. Re-audit recent tier assignments.</w:t>
            </w:r>
          </w:p>
        </w:tc>
      </w:tr>
      <w:tr>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Pattern debt</w:t>
            </w:r>
          </w:p>
        </w:tc>
        <w:tc>
          <w:tcPr>
            <w:tcW w:type="dxa" w:w="29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Dedicated intakes closing without a pattern candidate</w:t>
            </w:r>
          </w:p>
        </w:tc>
        <w:tc>
          <w:tcPr>
            <w:tcW w:type="dxa" w:w="39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compounding mechanism has stopped. Treat as a delivery defect, not an administrative gap.</w:t>
            </w:r>
          </w:p>
        </w:tc>
      </w:tr>
      <w:tr>
        <w:tc>
          <w:tcPr>
            <w:tcW w:type="dxa" w:w="2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Appeal success rate</w:t>
            </w:r>
          </w:p>
        </w:tc>
        <w:tc>
          <w:tcPr>
            <w:tcW w:type="dxa" w:w="29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Above 30% on the same determinant</w:t>
            </w:r>
          </w:p>
        </w:tc>
        <w:tc>
          <w:tcPr>
            <w:tcW w:type="dxa" w:w="3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rubric is wrong on that dimension. Recalibrate rather than defending it.</w:t>
            </w:r>
          </w:p>
        </w:tc>
      </w:tr>
      <w:tr>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Platform team raided for intake work</w:t>
            </w:r>
          </w:p>
        </w:tc>
        <w:tc>
          <w:tcPr>
            <w:tcW w:type="dxa" w:w="29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Any occurrence</w:t>
            </w:r>
          </w:p>
        </w:tc>
        <w:tc>
          <w:tcPr>
            <w:tcW w:type="dxa" w:w="39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Escalate to leadership immediately. This is the failure mode that ends the programme.</w:t>
            </w:r>
          </w:p>
        </w:tc>
      </w:tr>
      <w:tr>
        <w:tc>
          <w:tcPr>
            <w:tcW w:type="dxa" w:w="2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Governance determination turnaround</w:t>
            </w:r>
          </w:p>
        </w:tc>
        <w:tc>
          <w:tcPr>
            <w:tcW w:type="dxa" w:w="29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Beyond published service level</w:t>
            </w:r>
          </w:p>
        </w:tc>
        <w:tc>
          <w:tcPr>
            <w:tcW w:type="dxa" w:w="3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Desk is the system constraint. Resource it or the lighter tiers stop being fast.</w:t>
            </w:r>
          </w:p>
        </w:tc>
      </w:tr>
    </w:tbl>
    <w:p>
      <w:pPr>
        <w:pStyle w:val="Heading2"/>
        <w:spacing w:after="170" w:before="320"/>
      </w:pPr>
      <w:r>
        <w:rPr>
          <w:rFonts w:ascii="Cambria" w:cs="Cambria" w:eastAsia="Cambria" w:hAnsi="Cambria"/>
          <w:b/>
          <w:bCs/>
          <w:color w:val="15304F"/>
          <w:sz w:val="27"/>
          <w:szCs w:val="27"/>
        </w:rPr>
        <w:t xml:space="preserve">7.6 What happens when a guardrail fires</w:t>
      </w:r>
    </w:p>
    <w:p>
      <w:pPr>
        <w:spacing w:after="130" w:before="0"/>
      </w:pPr>
      <w:r>
        <w:rPr>
          <w:rFonts w:ascii="Calibri" w:cs="Calibri" w:eastAsia="Calibri" w:hAnsi="Calibri"/>
          <w:b w:val="false"/>
          <w:bCs w:val="false"/>
          <w:i w:val="false"/>
          <w:iCs w:val="false"/>
          <w:color w:val="1B2432"/>
          <w:sz w:val="21"/>
          <w:szCs w:val="21"/>
        </w:rPr>
        <w:t xml:space="preserve">A guardrail that fires and is then worked around is worse than no guardrail, because it teaches everyone that the controls are advisory. The response protocol is therefore fixed.</w:t>
      </w:r>
    </w:p>
    <w:p>
      <w:pPr>
        <w:pStyle w:val="ListParagraph"/>
        <w:numPr>
          <w:ilvl w:val="0"/>
          <w:numId w:val="5"/>
        </w:numPr>
        <w:spacing w:after="75"/>
      </w:pPr>
      <w:r>
        <w:rPr>
          <w:rFonts w:ascii="Calibri" w:cs="Calibri" w:eastAsia="Calibri" w:hAnsi="Calibri"/>
          <w:color w:val="1B2432"/>
          <w:sz w:val="21"/>
          <w:szCs w:val="21"/>
        </w:rPr>
        <w:t xml:space="preserve">The action is blocked. Not warned, not flagged for later — blocked, at the point of attempt.</w:t>
      </w:r>
    </w:p>
    <w:p>
      <w:pPr>
        <w:pStyle w:val="ListParagraph"/>
        <w:numPr>
          <w:ilvl w:val="0"/>
          <w:numId w:val="5"/>
        </w:numPr>
        <w:spacing w:after="75"/>
      </w:pPr>
      <w:r>
        <w:rPr>
          <w:rFonts w:ascii="Calibri" w:cs="Calibri" w:eastAsia="Calibri" w:hAnsi="Calibri"/>
          <w:color w:val="1B2432"/>
          <w:sz w:val="21"/>
          <w:szCs w:val="21"/>
        </w:rPr>
        <w:t xml:space="preserve">The reason is returned explicitly and in full, naming the failing condition and what would satisfy it.</w:t>
      </w:r>
    </w:p>
    <w:p>
      <w:pPr>
        <w:pStyle w:val="ListParagraph"/>
        <w:numPr>
          <w:ilvl w:val="0"/>
          <w:numId w:val="5"/>
        </w:numPr>
        <w:spacing w:after="75"/>
      </w:pPr>
      <w:r>
        <w:rPr>
          <w:rFonts w:ascii="Calibri" w:cs="Calibri" w:eastAsia="Calibri" w:hAnsi="Calibri"/>
          <w:color w:val="1B2432"/>
          <w:sz w:val="21"/>
          <w:szCs w:val="21"/>
        </w:rPr>
        <w:t xml:space="preserve">The item is routed to whoever can resolve it, with the intake context attached.</w:t>
      </w:r>
    </w:p>
    <w:p>
      <w:pPr>
        <w:pStyle w:val="ListParagraph"/>
        <w:numPr>
          <w:ilvl w:val="0"/>
          <w:numId w:val="5"/>
        </w:numPr>
        <w:spacing w:after="75"/>
      </w:pPr>
      <w:r>
        <w:rPr>
          <w:rFonts w:ascii="Calibri" w:cs="Calibri" w:eastAsia="Calibri" w:hAnsi="Calibri"/>
          <w:color w:val="1B2432"/>
          <w:sz w:val="21"/>
          <w:szCs w:val="21"/>
        </w:rPr>
        <w:t xml:space="preserve">The block, its reason and its resolution are written to the audit trail.</w:t>
      </w:r>
    </w:p>
    <w:p>
      <w:pPr>
        <w:pStyle w:val="ListParagraph"/>
        <w:numPr>
          <w:ilvl w:val="0"/>
          <w:numId w:val="5"/>
        </w:numPr>
        <w:spacing w:after="75"/>
      </w:pPr>
      <w:r>
        <w:rPr>
          <w:rFonts w:ascii="Calibri" w:cs="Calibri" w:eastAsia="Calibri" w:hAnsi="Calibri"/>
          <w:color w:val="1B2432"/>
          <w:sz w:val="21"/>
          <w:szCs w:val="21"/>
        </w:rPr>
        <w:t xml:space="preserve">Only the named authority for that guardrail may override it, and an override is itself an audited event with a recorded justification.</w:t>
      </w:r>
    </w:p>
    <w:p>
      <w:pPr>
        <w:pStyle w:val="ListParagraph"/>
        <w:numPr>
          <w:ilvl w:val="0"/>
          <w:numId w:val="5"/>
        </w:numPr>
        <w:spacing w:after="75"/>
      </w:pPr>
      <w:r>
        <w:rPr>
          <w:rFonts w:ascii="Calibri" w:cs="Calibri" w:eastAsia="Calibri" w:hAnsi="Calibri"/>
          <w:color w:val="1B2432"/>
          <w:sz w:val="21"/>
          <w:szCs w:val="21"/>
        </w:rPr>
        <w:t xml:space="preserve">Repeat fires of the same guardrail across intakes are reviewed monthly as a pattern or rubric defect — not as a series of individual partner problems.</w:t>
      </w:r>
    </w:p>
    <w:p>
      <w:r>
        <w:br w:type="page"/>
      </w:r>
    </w:p>
    <w:p>
      <w:pPr>
        <w:pStyle w:val="Heading1"/>
        <w:spacing w:after="220" w:before="400"/>
      </w:pPr>
      <w:r>
        <w:rPr>
          <w:rFonts w:ascii="Cambria" w:cs="Cambria" w:eastAsia="Cambria" w:hAnsi="Cambria"/>
          <w:b/>
          <w:bCs/>
          <w:color w:val="15304F"/>
          <w:sz w:val="34"/>
          <w:szCs w:val="34"/>
        </w:rPr>
        <w:t xml:space="preserve">Part 8 — Value, Trade-offs and Adoption</w:t>
      </w:r>
    </w:p>
    <w:p>
      <w:pPr>
        <w:pStyle w:val="Heading2"/>
        <w:spacing w:after="170" w:before="320"/>
      </w:pPr>
      <w:r>
        <w:rPr>
          <w:rFonts w:ascii="Cambria" w:cs="Cambria" w:eastAsia="Cambria" w:hAnsi="Cambria"/>
          <w:b/>
          <w:bCs/>
          <w:color w:val="15304F"/>
          <w:sz w:val="27"/>
          <w:szCs w:val="27"/>
        </w:rPr>
        <w:t xml:space="preserve">8.1 What each model gives the partner</w:t>
      </w:r>
    </w:p>
    <w:p>
      <w:pPr>
        <w:pStyle w:val="Heading3"/>
        <w:spacing w:after="130" w:before="250"/>
      </w:pPr>
      <w:r>
        <w:rPr>
          <w:rFonts w:ascii="Calibri" w:cs="Calibri" w:eastAsia="Calibri" w:hAnsi="Calibri"/>
          <w:b/>
          <w:bCs/>
          <w:color w:val="1B2432"/>
          <w:sz w:val="23"/>
          <w:szCs w:val="23"/>
        </w:rPr>
        <w:t xml:space="preserve">Lean</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600"/>
        <w:gridCol w:w="6760"/>
      </w:tblGrid>
      <w:tr>
        <w:trPr>
          <w:tblHeader/>
        </w:trPr>
        <w:tc>
          <w:tcPr>
            <w:tcW w:type="dxa" w:w="26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Value</w:t>
            </w:r>
          </w:p>
        </w:tc>
        <w:tc>
          <w:tcPr>
            <w:tcW w:type="dxa" w:w="67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Why it follows from the model</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Start immediately</w:t>
            </w:r>
          </w:p>
        </w:tc>
        <w:tc>
          <w:tcPr>
            <w:tcW w:type="dxa" w:w="6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 capacity has to become free first. Tier assignment is the only thing between intake and work.</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Timeline under the partner's own control</w:t>
            </w:r>
          </w:p>
        </w:tc>
        <w:tc>
          <w:tcPr>
            <w:tcW w:type="dxa" w:w="6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Progress is bounded by the partner's throughput rather than by the ECM queue. A partner who moves fast finishes fast.</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Predictable because it is pre-decided</w:t>
            </w:r>
          </w:p>
        </w:tc>
        <w:tc>
          <w:tcPr>
            <w:tcW w:type="dxa" w:w="6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Every determination the pattern depends on was made when the pattern was built. There is no discovery phase in which scope can move.</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Lower ceremony</w:t>
            </w:r>
          </w:p>
        </w:tc>
        <w:tc>
          <w:tcPr>
            <w:tcW w:type="dxa" w:w="6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 standing meetings, no status reporting, no coordination overhead on either side.</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Transparent state</w:t>
            </w:r>
          </w:p>
        </w:tc>
        <w:tc>
          <w:tcPr>
            <w:tcW w:type="dxa" w:w="6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cockpit answers where things stand without having to ask anyone.</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Repeatable</w:t>
            </w:r>
          </w:p>
        </w:tc>
        <w:tc>
          <w:tcPr>
            <w:tcW w:type="dxa" w:w="6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partner doing the same shape of thing again gets the same experience, faster each time.</w:t>
            </w:r>
          </w:p>
        </w:tc>
      </w:tr>
    </w:tbl>
    <w:p>
      <w:pPr>
        <w:pStyle w:val="Heading3"/>
        <w:spacing w:after="130" w:before="250"/>
      </w:pPr>
      <w:r>
        <w:rPr>
          <w:rFonts w:ascii="Calibri" w:cs="Calibri" w:eastAsia="Calibri" w:hAnsi="Calibri"/>
          <w:b/>
          <w:bCs/>
          <w:color w:val="1B2432"/>
          <w:sz w:val="23"/>
          <w:szCs w:val="23"/>
        </w:rPr>
        <w:t xml:space="preserve">Lean+</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600"/>
        <w:gridCol w:w="6760"/>
      </w:tblGrid>
      <w:tr>
        <w:trPr>
          <w:tblHeader/>
        </w:trPr>
        <w:tc>
          <w:tcPr>
            <w:tcW w:type="dxa" w:w="26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Value</w:t>
            </w:r>
          </w:p>
        </w:tc>
        <w:tc>
          <w:tcPr>
            <w:tcW w:type="dxa" w:w="67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Why it follows from the model</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Design assurance where it matters</w:t>
            </w:r>
          </w:p>
        </w:tc>
        <w:tc>
          <w:tcPr>
            <w:tcW w:type="dxa" w:w="6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Two reviews placed at the two points where a wrong decision is expensive, rather than continuous attention spread thin.</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A named person</w:t>
            </w:r>
          </w:p>
        </w:tc>
        <w:tc>
          <w:tcPr>
            <w:tcW w:type="dxa" w:w="6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guide who knows the intake, without waiting for a full pod to become available.</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Short queue</w:t>
            </w:r>
          </w:p>
        </w:tc>
        <w:tc>
          <w:tcPr>
            <w:tcW w:type="dxa" w:w="6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Checkpoints are scheduled, not queued. Waiting is measured in days to a slot, not a planning increment.</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Flexibility inside the pattern</w:t>
            </w:r>
          </w:p>
        </w:tc>
        <w:tc>
          <w:tcPr>
            <w:tcW w:type="dxa" w:w="6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Room to vary within declared tolerance, with ECM confirming the variation is safe.</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Escalation without restart</w:t>
            </w:r>
          </w:p>
        </w:tc>
        <w:tc>
          <w:tcPr>
            <w:tcW w:type="dxa" w:w="6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If the intake turns out to need more, it moves up a tier carrying everything already done.</w:t>
            </w:r>
          </w:p>
        </w:tc>
      </w:tr>
    </w:tbl>
    <w:p>
      <w:pPr>
        <w:pStyle w:val="Heading3"/>
        <w:spacing w:after="130" w:before="250"/>
      </w:pPr>
      <w:r>
        <w:rPr>
          <w:rFonts w:ascii="Calibri" w:cs="Calibri" w:eastAsia="Calibri" w:hAnsi="Calibri"/>
          <w:b/>
          <w:bCs/>
          <w:color w:val="1B2432"/>
          <w:sz w:val="23"/>
          <w:szCs w:val="23"/>
        </w:rPr>
        <w:t xml:space="preserve">Dedicated</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600"/>
        <w:gridCol w:w="6760"/>
      </w:tblGrid>
      <w:tr>
        <w:trPr>
          <w:tblHeader/>
        </w:trPr>
        <w:tc>
          <w:tcPr>
            <w:tcW w:type="dxa" w:w="26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Value</w:t>
            </w:r>
          </w:p>
        </w:tc>
        <w:tc>
          <w:tcPr>
            <w:tcW w:type="dxa" w:w="67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Why it follows from the model</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Genuine design partnership</w:t>
            </w:r>
          </w:p>
        </w:tc>
        <w:tc>
          <w:tcPr>
            <w:tcW w:type="dxa" w:w="6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ECM authors the solution rather than reviewing the partner's attempt at it.</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Single accountable team</w:t>
            </w:r>
          </w:p>
        </w:tc>
        <w:tc>
          <w:tcPr>
            <w:tcW w:type="dxa" w:w="6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One pod owns the outcome end to end, including coordination with every specialist team.</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Appropriate for novelty</w:t>
            </w:r>
          </w:p>
        </w:tc>
        <w:tc>
          <w:tcPr>
            <w:tcW w:type="dxa" w:w="6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Where no pattern exists, there is nothing for a lighter tier to run on. Dedicated is the only safe option.</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Carries regulatory weight</w:t>
            </w:r>
          </w:p>
        </w:tc>
        <w:tc>
          <w:tcPr>
            <w:tcW w:type="dxa" w:w="6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first regulated position or a classification cutover gets continuous assurance, which is what the risk warrants.</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Lowest partner-side burden</w:t>
            </w:r>
          </w:p>
        </w:tc>
        <w:tc>
          <w:tcPr>
            <w:tcW w:type="dxa" w:w="6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partner supplies requirements, samples and acceptance; ECM does the rest.</w:t>
            </w:r>
          </w:p>
        </w:tc>
      </w:tr>
    </w:tbl>
    <w:p>
      <w:pPr>
        <w:pStyle w:val="Heading2"/>
        <w:spacing w:after="170" w:before="320"/>
      </w:pPr>
      <w:r>
        <w:rPr>
          <w:rFonts w:ascii="Cambria" w:cs="Cambria" w:eastAsia="Cambria" w:hAnsi="Cambria"/>
          <w:b/>
          <w:bCs/>
          <w:color w:val="15304F"/>
          <w:sz w:val="27"/>
          <w:szCs w:val="27"/>
        </w:rPr>
        <w:t xml:space="preserve">8.2 What each model gives ECM</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1900"/>
        <w:gridCol w:w="2480"/>
        <w:gridCol w:w="2480"/>
        <w:gridCol w:w="2500"/>
      </w:tblGrid>
      <w:tr>
        <w:trPr>
          <w:tblHeader/>
        </w:trPr>
        <w:tc>
          <w:tcPr>
            <w:tcW w:type="dxa" w:w="19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
            </w:r>
          </w:p>
        </w:tc>
        <w:tc>
          <w:tcPr>
            <w:tcW w:type="dxa" w:w="248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Lean</w:t>
            </w:r>
          </w:p>
        </w:tc>
        <w:tc>
          <w:tcPr>
            <w:tcW w:type="dxa" w:w="248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Lean+</w:t>
            </w:r>
          </w:p>
        </w:tc>
        <w:tc>
          <w:tcPr>
            <w:tcW w:type="dxa" w:w="2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Dedicated</w:t>
            </w:r>
          </w:p>
        </w:tc>
      </w:tr>
      <w:tr>
        <w:tc>
          <w:tcPr>
            <w:tcW w:type="dxa" w:w="19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Capacity consumed</w:t>
            </w:r>
          </w:p>
        </w:tc>
        <w:tc>
          <w:tcPr>
            <w:tcW w:type="dxa" w:w="2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Marginal</w:t>
            </w:r>
          </w:p>
        </w:tc>
        <w:tc>
          <w:tcPr>
            <w:tcW w:type="dxa" w:w="2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Checkpoint hours, shared</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Full pod allocation</w:t>
            </w:r>
          </w:p>
        </w:tc>
      </w:tr>
      <w:tr>
        <w:tc>
          <w:tcPr>
            <w:tcW w:type="dxa" w:w="19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Scaling</w:t>
            </w:r>
          </w:p>
        </w:tc>
        <w:tc>
          <w:tcPr>
            <w:tcW w:type="dxa" w:w="2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Flat</w:t>
            </w:r>
          </w:p>
        </w:tc>
        <w:tc>
          <w:tcPr>
            <w:tcW w:type="dxa" w:w="2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Sub-linear</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Linear</w:t>
            </w:r>
          </w:p>
        </w:tc>
      </w:tr>
      <w:tr>
        <w:tc>
          <w:tcPr>
            <w:tcW w:type="dxa" w:w="19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Quality mechanism</w:t>
            </w:r>
          </w:p>
        </w:tc>
        <w:tc>
          <w:tcPr>
            <w:tcW w:type="dxa" w:w="2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Enforced by platform</w:t>
            </w:r>
          </w:p>
        </w:tc>
        <w:tc>
          <w:tcPr>
            <w:tcW w:type="dxa" w:w="2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Enforced by platform, assured by review</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Enforced by platform, assured continuously</w:t>
            </w:r>
          </w:p>
        </w:tc>
      </w:tr>
      <w:tr>
        <w:tc>
          <w:tcPr>
            <w:tcW w:type="dxa" w:w="19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Learning produced</w:t>
            </w:r>
          </w:p>
        </w:tc>
        <w:tc>
          <w:tcPr>
            <w:tcW w:type="dxa" w:w="2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Pattern telemetry — where partners struggle</w:t>
            </w:r>
          </w:p>
        </w:tc>
        <w:tc>
          <w:tcPr>
            <w:tcW w:type="dxa" w:w="2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Pattern variation data</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New patterns</w:t>
            </w:r>
          </w:p>
        </w:tc>
      </w:tr>
      <w:tr>
        <w:tc>
          <w:tcPr>
            <w:tcW w:type="dxa" w:w="19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Risk profile</w:t>
            </w:r>
          </w:p>
        </w:tc>
        <w:tc>
          <w:tcPr>
            <w:tcW w:type="dxa" w:w="2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Low — only mature patterns qualify</w:t>
            </w:r>
          </w:p>
        </w:tc>
        <w:tc>
          <w:tcPr>
            <w:tcW w:type="dxa" w:w="2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Low to moderate</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Highest — it is where novelty lives</w:t>
            </w:r>
          </w:p>
        </w:tc>
      </w:tr>
    </w:tbl>
    <w:p>
      <w:pPr>
        <w:pStyle w:val="Heading2"/>
        <w:spacing w:after="170" w:before="320"/>
      </w:pPr>
      <w:r>
        <w:rPr>
          <w:rFonts w:ascii="Cambria" w:cs="Cambria" w:eastAsia="Cambria" w:hAnsi="Cambria"/>
          <w:b/>
          <w:bCs/>
          <w:color w:val="15304F"/>
          <w:sz w:val="27"/>
          <w:szCs w:val="27"/>
        </w:rPr>
        <w:t xml:space="preserve">8.3 The trade-offs, stated honestly</w:t>
      </w:r>
    </w:p>
    <w:p>
      <w:pPr>
        <w:spacing w:after="130" w:before="0"/>
      </w:pPr>
      <w:r>
        <w:rPr>
          <w:rFonts w:ascii="Calibri" w:cs="Calibri" w:eastAsia="Calibri" w:hAnsi="Calibri"/>
          <w:b w:val="false"/>
          <w:bCs w:val="false"/>
          <w:i w:val="false"/>
          <w:iCs w:val="false"/>
          <w:color w:val="1B2432"/>
          <w:sz w:val="21"/>
          <w:szCs w:val="21"/>
        </w:rPr>
        <w:t xml:space="preserve">A model presented without its costs will be disbelieved, and rightly. These are the real trade-offs.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300"/>
        <w:gridCol w:w="3400"/>
        <w:gridCol w:w="3660"/>
      </w:tblGrid>
      <w:tr>
        <w:trPr>
          <w:tblHeader/>
        </w:trPr>
        <w:tc>
          <w:tcPr>
            <w:tcW w:type="dxa" w:w="23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Trade-off</w:t>
            </w:r>
          </w:p>
        </w:tc>
        <w:tc>
          <w:tcPr>
            <w:tcW w:type="dxa" w:w="34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Who bears it</w:t>
            </w:r>
          </w:p>
        </w:tc>
        <w:tc>
          <w:tcPr>
            <w:tcW w:type="dxa" w:w="36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Mitigation</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Lean shifts implementation effort to the partner</w:t>
            </w:r>
          </w:p>
        </w:tc>
        <w:tc>
          <w:tcPr>
            <w:tcW w:type="dxa" w:w="34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w:t>
            </w:r>
          </w:p>
        </w:tc>
        <w:tc>
          <w:tcPr>
            <w:tcW w:type="dxa" w:w="3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Only offered where the pattern is mature enough that the effort is genuinely low; certification ensures the partner knows what they are accepting.</w:t>
            </w:r>
          </w:p>
        </w:tc>
      </w:tr>
      <w:tr>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Lean partners can feel unsupported</w:t>
            </w:r>
          </w:p>
        </w:tc>
        <w:tc>
          <w:tcPr>
            <w:tcW w:type="dxa" w:w="34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w:t>
            </w:r>
          </w:p>
        </w:tc>
        <w:tc>
          <w:tcPr>
            <w:tcW w:type="dxa" w:w="3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Guaranteed clinic access, explicit three-strike escalation, and transparent state in the cockpit.</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Lean+ checkpoints can become bottlenecks</w:t>
            </w:r>
          </w:p>
        </w:tc>
        <w:tc>
          <w:tcPr>
            <w:tcW w:type="dxa" w:w="34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Both</w:t>
            </w:r>
          </w:p>
        </w:tc>
        <w:tc>
          <w:tcPr>
            <w:tcW w:type="dxa" w:w="3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Clinic sized against aggregate checkpoint load; booking is visible; demand-against-capacity is a monitored guardrail.</w:t>
            </w:r>
          </w:p>
        </w:tc>
      </w:tr>
      <w:tr>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Dedicated has the longest wait</w:t>
            </w:r>
          </w:p>
        </w:tc>
        <w:tc>
          <w:tcPr>
            <w:tcW w:type="dxa" w:w="34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w:t>
            </w:r>
          </w:p>
        </w:tc>
        <w:tc>
          <w:tcPr>
            <w:tcW w:type="dxa" w:w="3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Queue position disclosed. De-escalation at phase gates releases pods sooner.</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Platform investment delays benefit</w:t>
            </w:r>
          </w:p>
        </w:tc>
        <w:tc>
          <w:tcPr>
            <w:tcW w:type="dxa" w:w="34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ECM</w:t>
            </w:r>
          </w:p>
        </w:tc>
        <w:tc>
          <w:tcPr>
            <w:tcW w:type="dxa" w:w="3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Sequenced waves with visible intermediate value; Lean+ delivers before Lean does.</w:t>
            </w:r>
          </w:p>
        </w:tc>
      </w:tr>
      <w:tr>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Mis-tiering damages trust</w:t>
            </w:r>
          </w:p>
        </w:tc>
        <w:tc>
          <w:tcPr>
            <w:tcW w:type="dxa" w:w="34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Both</w:t>
            </w:r>
          </w:p>
        </w:tc>
        <w:tc>
          <w:tcPr>
            <w:tcW w:type="dxa" w:w="3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Published rubric, recorded justification, one-step appeal, quarterly recalibration.</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Throughput dips during transition</w:t>
            </w:r>
          </w:p>
        </w:tc>
        <w:tc>
          <w:tcPr>
            <w:tcW w:type="dxa" w:w="34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ECM and partners</w:t>
            </w:r>
          </w:p>
        </w:tc>
        <w:tc>
          <w:tcPr>
            <w:tcW w:type="dxa" w:w="3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Acknowledged up front in the business case rather than discovered in month four.</w:t>
            </w:r>
          </w:p>
        </w:tc>
      </w:tr>
    </w:tbl>
    <w:p>
      <w:r>
        <w:br w:type="page"/>
      </w:r>
    </w:p>
    <w:p>
      <w:pPr>
        <w:pStyle w:val="Heading2"/>
        <w:spacing w:after="170" w:before="320"/>
      </w:pPr>
      <w:r>
        <w:rPr>
          <w:rFonts w:ascii="Cambria" w:cs="Cambria" w:eastAsia="Cambria" w:hAnsi="Cambria"/>
          <w:b/>
          <w:bCs/>
          <w:color w:val="15304F"/>
          <w:sz w:val="27"/>
          <w:szCs w:val="27"/>
        </w:rPr>
        <w:t xml:space="preserve">8.4 Scenario-based adoption guidance</w:t>
      </w:r>
    </w:p>
    <w:p>
      <w:pPr>
        <w:spacing w:after="130" w:before="0"/>
      </w:pPr>
      <w:r>
        <w:rPr>
          <w:rFonts w:ascii="Calibri" w:cs="Calibri" w:eastAsia="Calibri" w:hAnsi="Calibri"/>
          <w:b w:val="false"/>
          <w:bCs w:val="false"/>
          <w:i w:val="false"/>
          <w:iCs w:val="false"/>
          <w:color w:val="1B2432"/>
          <w:sz w:val="21"/>
          <w:szCs w:val="21"/>
        </w:rPr>
        <w:t xml:space="preserve">The question a partner actually asks is not which model is best, but which model applies to the thing they are asking for. These are the decision rules, expressed as the partner would encounter them.</w:t>
      </w:r>
    </w:p>
    <w:p>
      <w:pPr>
        <w:pStyle w:val="Heading3"/>
        <w:spacing w:after="130" w:before="250"/>
      </w:pPr>
      <w:r>
        <w:rPr>
          <w:rFonts w:ascii="Calibri" w:cs="Calibri" w:eastAsia="Calibri" w:hAnsi="Calibri"/>
          <w:b/>
          <w:bCs/>
          <w:color w:val="1B2432"/>
          <w:sz w:val="23"/>
          <w:szCs w:val="23"/>
        </w:rPr>
        <w:t xml:space="preserve">Choose Lean when</w:t>
      </w:r>
    </w:p>
    <w:p>
      <w:pPr>
        <w:pStyle w:val="ListParagraph"/>
        <w:numPr>
          <w:ilvl w:val="0"/>
          <w:numId w:val="3"/>
        </w:numPr>
        <w:spacing w:after="75"/>
      </w:pPr>
      <w:r>
        <w:rPr>
          <w:rFonts w:ascii="Calibri" w:cs="Calibri" w:eastAsia="Calibri" w:hAnsi="Calibri"/>
          <w:color w:val="1B2432"/>
          <w:sz w:val="21"/>
          <w:szCs w:val="21"/>
        </w:rPr>
        <w:t xml:space="preserve">The pattern is one the partner has already been through, or one the platform has delivered many times</w:t>
      </w:r>
    </w:p>
    <w:p>
      <w:pPr>
        <w:pStyle w:val="ListParagraph"/>
        <w:numPr>
          <w:ilvl w:val="0"/>
          <w:numId w:val="3"/>
        </w:numPr>
        <w:spacing w:after="75"/>
      </w:pPr>
      <w:r>
        <w:rPr>
          <w:rFonts w:ascii="Calibri" w:cs="Calibri" w:eastAsia="Calibri" w:hAnsi="Calibri"/>
          <w:color w:val="1B2432"/>
          <w:sz w:val="21"/>
          <w:szCs w:val="21"/>
        </w:rPr>
        <w:t xml:space="preserve">No new document type, trust posture or retention position is being introduced</w:t>
      </w:r>
    </w:p>
    <w:p>
      <w:pPr>
        <w:pStyle w:val="ListParagraph"/>
        <w:numPr>
          <w:ilvl w:val="0"/>
          <w:numId w:val="3"/>
        </w:numPr>
        <w:spacing w:after="75"/>
      </w:pPr>
      <w:r>
        <w:rPr>
          <w:rFonts w:ascii="Calibri" w:cs="Calibri" w:eastAsia="Calibri" w:hAnsi="Calibri"/>
          <w:color w:val="1B2432"/>
          <w:sz w:val="21"/>
          <w:szCs w:val="21"/>
        </w:rPr>
        <w:t xml:space="preserve">Volumes sit within the band already certified</w:t>
      </w:r>
    </w:p>
    <w:p>
      <w:pPr>
        <w:pStyle w:val="ListParagraph"/>
        <w:numPr>
          <w:ilvl w:val="0"/>
          <w:numId w:val="3"/>
        </w:numPr>
        <w:spacing w:after="75"/>
      </w:pPr>
      <w:r>
        <w:rPr>
          <w:rFonts w:ascii="Calibri" w:cs="Calibri" w:eastAsia="Calibri" w:hAnsi="Calibri"/>
          <w:color w:val="1B2432"/>
          <w:sz w:val="21"/>
          <w:szCs w:val="21"/>
        </w:rPr>
        <w:t xml:space="preserve">The change is an extension of entitlement rather than a change of shape — a new subscription, a tier change, an access grant, new content on an existing flow</w:t>
      </w:r>
    </w:p>
    <w:p>
      <w:pPr>
        <w:pStyle w:val="ListParagraph"/>
        <w:numPr>
          <w:ilvl w:val="0"/>
          <w:numId w:val="3"/>
        </w:numPr>
        <w:spacing w:after="75"/>
      </w:pPr>
      <w:r>
        <w:rPr>
          <w:rFonts w:ascii="Calibri" w:cs="Calibri" w:eastAsia="Calibri" w:hAnsi="Calibri"/>
          <w:color w:val="1B2432"/>
          <w:sz w:val="21"/>
          <w:szCs w:val="21"/>
        </w:rPr>
        <w:t xml:space="preserve">The partner has engineering capacity available now and wants to move at their own pace</w:t>
      </w:r>
    </w:p>
    <w:p>
      <w:pPr>
        <w:pStyle w:val="Heading3"/>
        <w:spacing w:after="130" w:before="250"/>
      </w:pPr>
      <w:r>
        <w:rPr>
          <w:rFonts w:ascii="Calibri" w:cs="Calibri" w:eastAsia="Calibri" w:hAnsi="Calibri"/>
          <w:b/>
          <w:bCs/>
          <w:color w:val="1B2432"/>
          <w:sz w:val="23"/>
          <w:szCs w:val="23"/>
        </w:rPr>
        <w:t xml:space="preserve">Choose Lean+ when</w:t>
      </w:r>
    </w:p>
    <w:p>
      <w:pPr>
        <w:pStyle w:val="ListParagraph"/>
        <w:numPr>
          <w:ilvl w:val="0"/>
          <w:numId w:val="3"/>
        </w:numPr>
        <w:spacing w:after="75"/>
      </w:pPr>
      <w:r>
        <w:rPr>
          <w:rFonts w:ascii="Calibri" w:cs="Calibri" w:eastAsia="Calibri" w:hAnsi="Calibri"/>
          <w:color w:val="1B2432"/>
          <w:sz w:val="21"/>
          <w:szCs w:val="21"/>
        </w:rPr>
        <w:t xml:space="preserve">The pattern exists but the partner is varying it — a new flow, a channel migration, a forward-only data model change</w:t>
      </w:r>
    </w:p>
    <w:p>
      <w:pPr>
        <w:pStyle w:val="ListParagraph"/>
        <w:numPr>
          <w:ilvl w:val="0"/>
          <w:numId w:val="3"/>
        </w:numPr>
        <w:spacing w:after="75"/>
      </w:pPr>
      <w:r>
        <w:rPr>
          <w:rFonts w:ascii="Calibri" w:cs="Calibri" w:eastAsia="Calibri" w:hAnsi="Calibri"/>
          <w:color w:val="1B2432"/>
          <w:sz w:val="21"/>
          <w:szCs w:val="21"/>
        </w:rPr>
        <w:t xml:space="preserve">One or two decisions in the intake need a second opinion, but the rest is routine</w:t>
      </w:r>
    </w:p>
    <w:p>
      <w:pPr>
        <w:pStyle w:val="ListParagraph"/>
        <w:numPr>
          <w:ilvl w:val="0"/>
          <w:numId w:val="3"/>
        </w:numPr>
        <w:spacing w:after="75"/>
      </w:pPr>
      <w:r>
        <w:rPr>
          <w:rFonts w:ascii="Calibri" w:cs="Calibri" w:eastAsia="Calibri" w:hAnsi="Calibri"/>
          <w:color w:val="1B2432"/>
          <w:sz w:val="21"/>
          <w:szCs w:val="21"/>
        </w:rPr>
        <w:t xml:space="preserve">New content is being introduced that is non-regulated and whose classification follows an existing determination</w:t>
      </w:r>
    </w:p>
    <w:p>
      <w:pPr>
        <w:pStyle w:val="ListParagraph"/>
        <w:numPr>
          <w:ilvl w:val="0"/>
          <w:numId w:val="3"/>
        </w:numPr>
        <w:spacing w:after="75"/>
      </w:pPr>
      <w:r>
        <w:rPr>
          <w:rFonts w:ascii="Calibri" w:cs="Calibri" w:eastAsia="Calibri" w:hAnsi="Calibri"/>
          <w:color w:val="1B2432"/>
          <w:sz w:val="21"/>
          <w:szCs w:val="21"/>
        </w:rPr>
        <w:t xml:space="preserve">Volumes are changing enough to warrant performance validation but not redesign</w:t>
      </w:r>
    </w:p>
    <w:p>
      <w:pPr>
        <w:pStyle w:val="ListParagraph"/>
        <w:numPr>
          <w:ilvl w:val="0"/>
          <w:numId w:val="3"/>
        </w:numPr>
        <w:spacing w:after="75"/>
      </w:pPr>
      <w:r>
        <w:rPr>
          <w:rFonts w:ascii="Calibri" w:cs="Calibri" w:eastAsia="Calibri" w:hAnsi="Calibri"/>
          <w:color w:val="1B2432"/>
          <w:sz w:val="21"/>
          <w:szCs w:val="21"/>
        </w:rPr>
        <w:t xml:space="preserve">The partner wants assurance at the decision points without waiting for a pod</w:t>
      </w:r>
    </w:p>
    <w:p>
      <w:pPr>
        <w:pStyle w:val="Heading3"/>
        <w:spacing w:after="130" w:before="250"/>
      </w:pPr>
      <w:r>
        <w:rPr>
          <w:rFonts w:ascii="Calibri" w:cs="Calibri" w:eastAsia="Calibri" w:hAnsi="Calibri"/>
          <w:b/>
          <w:bCs/>
          <w:color w:val="1B2432"/>
          <w:sz w:val="23"/>
          <w:szCs w:val="23"/>
        </w:rPr>
        <w:t xml:space="preserve">Choose Dedicated when</w:t>
      </w:r>
    </w:p>
    <w:p>
      <w:pPr>
        <w:pStyle w:val="ListParagraph"/>
        <w:numPr>
          <w:ilvl w:val="0"/>
          <w:numId w:val="3"/>
        </w:numPr>
        <w:spacing w:after="75"/>
      </w:pPr>
      <w:r>
        <w:rPr>
          <w:rFonts w:ascii="Calibri" w:cs="Calibri" w:eastAsia="Calibri" w:hAnsi="Calibri"/>
          <w:color w:val="1B2432"/>
          <w:sz w:val="21"/>
          <w:szCs w:val="21"/>
        </w:rPr>
        <w:t xml:space="preserve">No pattern exists for what is being asked</w:t>
      </w:r>
    </w:p>
    <w:p>
      <w:pPr>
        <w:pStyle w:val="ListParagraph"/>
        <w:numPr>
          <w:ilvl w:val="0"/>
          <w:numId w:val="3"/>
        </w:numPr>
        <w:spacing w:after="75"/>
      </w:pPr>
      <w:r>
        <w:rPr>
          <w:rFonts w:ascii="Calibri" w:cs="Calibri" w:eastAsia="Calibri" w:hAnsi="Calibri"/>
          <w:color w:val="1B2432"/>
          <w:sz w:val="21"/>
          <w:szCs w:val="21"/>
        </w:rPr>
        <w:t xml:space="preserve">Regulated content or a new retention position is in scope</w:t>
      </w:r>
    </w:p>
    <w:p>
      <w:pPr>
        <w:pStyle w:val="ListParagraph"/>
        <w:numPr>
          <w:ilvl w:val="0"/>
          <w:numId w:val="3"/>
        </w:numPr>
        <w:spacing w:after="75"/>
      </w:pPr>
      <w:r>
        <w:rPr>
          <w:rFonts w:ascii="Calibri" w:cs="Calibri" w:eastAsia="Calibri" w:hAnsi="Calibri"/>
          <w:color w:val="1B2432"/>
          <w:sz w:val="21"/>
          <w:szCs w:val="21"/>
        </w:rPr>
        <w:t xml:space="preserve">Classification posture is changing on content that is already live</w:t>
      </w:r>
    </w:p>
    <w:p>
      <w:pPr>
        <w:pStyle w:val="ListParagraph"/>
        <w:numPr>
          <w:ilvl w:val="0"/>
          <w:numId w:val="3"/>
        </w:numPr>
        <w:spacing w:after="75"/>
      </w:pPr>
      <w:r>
        <w:rPr>
          <w:rFonts w:ascii="Calibri" w:cs="Calibri" w:eastAsia="Calibri" w:hAnsi="Calibri"/>
          <w:color w:val="1B2432"/>
          <w:sz w:val="21"/>
          <w:szCs w:val="21"/>
        </w:rPr>
        <w:t xml:space="preserve">Existing content or metadata must be remediated rather than added to</w:t>
      </w:r>
    </w:p>
    <w:p>
      <w:pPr>
        <w:pStyle w:val="ListParagraph"/>
        <w:numPr>
          <w:ilvl w:val="0"/>
          <w:numId w:val="3"/>
        </w:numPr>
        <w:spacing w:after="75"/>
      </w:pPr>
      <w:r>
        <w:rPr>
          <w:rFonts w:ascii="Calibri" w:cs="Calibri" w:eastAsia="Calibri" w:hAnsi="Calibri"/>
          <w:color w:val="1B2432"/>
          <w:sz w:val="21"/>
          <w:szCs w:val="21"/>
        </w:rPr>
        <w:t xml:space="preserve">The change spans multiple lines of business or multiple partners</w:t>
      </w:r>
    </w:p>
    <w:p>
      <w:pPr>
        <w:pStyle w:val="ListParagraph"/>
        <w:numPr>
          <w:ilvl w:val="0"/>
          <w:numId w:val="3"/>
        </w:numPr>
        <w:spacing w:after="75"/>
      </w:pPr>
      <w:r>
        <w:rPr>
          <w:rFonts w:ascii="Calibri" w:cs="Calibri" w:eastAsia="Calibri" w:hAnsi="Calibri"/>
          <w:color w:val="1B2432"/>
          <w:sz w:val="21"/>
          <w:szCs w:val="21"/>
        </w:rPr>
        <w:t xml:space="preserve">Two target repositories, staged storage, or multi-context processing is involved</w:t>
      </w:r>
    </w:p>
    <w:p>
      <w:pPr>
        <w:pStyle w:val="Heading3"/>
        <w:spacing w:after="130" w:before="250"/>
      </w:pPr>
      <w:r>
        <w:rPr>
          <w:rFonts w:ascii="Calibri" w:cs="Calibri" w:eastAsia="Calibri" w:hAnsi="Calibri"/>
          <w:b/>
          <w:bCs/>
          <w:color w:val="1B2432"/>
          <w:sz w:val="23"/>
          <w:szCs w:val="23"/>
        </w:rPr>
        <w:t xml:space="preserve">Route to the Migration Factory when</w:t>
      </w:r>
    </w:p>
    <w:p>
      <w:pPr>
        <w:pStyle w:val="ListParagraph"/>
        <w:numPr>
          <w:ilvl w:val="0"/>
          <w:numId w:val="3"/>
        </w:numPr>
        <w:spacing w:after="75"/>
      </w:pPr>
      <w:r>
        <w:rPr>
          <w:rFonts w:ascii="Calibri" w:cs="Calibri" w:eastAsia="Calibri" w:hAnsi="Calibri"/>
          <w:color w:val="1B2432"/>
          <w:sz w:val="21"/>
          <w:szCs w:val="21"/>
        </w:rPr>
        <w:t xml:space="preserve">The work is remediation of content already under retention</w:t>
      </w:r>
    </w:p>
    <w:p>
      <w:pPr>
        <w:pStyle w:val="ListParagraph"/>
        <w:numPr>
          <w:ilvl w:val="0"/>
          <w:numId w:val="3"/>
        </w:numPr>
        <w:spacing w:after="75"/>
      </w:pPr>
      <w:r>
        <w:rPr>
          <w:rFonts w:ascii="Calibri" w:cs="Calibri" w:eastAsia="Calibri" w:hAnsi="Calibri"/>
          <w:color w:val="1B2432"/>
          <w:sz w:val="21"/>
          <w:szCs w:val="21"/>
        </w:rPr>
        <w:t xml:space="preserve">The driver is enterprise risk reduction rather than partner business need</w:t>
      </w:r>
    </w:p>
    <w:p>
      <w:pPr>
        <w:pStyle w:val="ListParagraph"/>
        <w:numPr>
          <w:ilvl w:val="0"/>
          <w:numId w:val="3"/>
        </w:numPr>
        <w:spacing w:after="75"/>
      </w:pPr>
      <w:r>
        <w:rPr>
          <w:rFonts w:ascii="Calibri" w:cs="Calibri" w:eastAsia="Calibri" w:hAnsi="Calibri"/>
          <w:color w:val="1B2432"/>
          <w:sz w:val="21"/>
          <w:szCs w:val="21"/>
        </w:rPr>
        <w:t xml:space="preserve">The same change applies across many partners in the same shape</w:t>
      </w:r>
    </w:p>
    <w:p>
      <w:pPr>
        <w:pStyle w:val="ListParagraph"/>
        <w:numPr>
          <w:ilvl w:val="0"/>
          <w:numId w:val="3"/>
        </w:numPr>
        <w:spacing w:after="75"/>
      </w:pPr>
      <w:r>
        <w:rPr>
          <w:rFonts w:ascii="Calibri" w:cs="Calibri" w:eastAsia="Calibri" w:hAnsi="Calibri"/>
          <w:color w:val="1B2432"/>
          <w:sz w:val="21"/>
          <w:szCs w:val="21"/>
        </w:rPr>
        <w:t xml:space="preserve">Success is measured in content volume remediated rather than in a partner going live</w:t>
      </w:r>
    </w:p>
    <w:p>
      <w:pPr>
        <w:pStyle w:val="Heading2"/>
        <w:spacing w:after="170" w:before="320"/>
      </w:pPr>
      <w:r>
        <w:rPr>
          <w:rFonts w:ascii="Cambria" w:cs="Cambria" w:eastAsia="Cambria" w:hAnsi="Cambria"/>
          <w:b/>
          <w:bCs/>
          <w:color w:val="15304F"/>
          <w:sz w:val="27"/>
          <w:szCs w:val="27"/>
        </w:rPr>
        <w:t xml:space="preserve">8.5 Worked examples</w:t>
      </w:r>
    </w:p>
    <w:p>
      <w:pPr>
        <w:pStyle w:val="Heading4"/>
        <w:spacing w:after="105" w:before="210"/>
      </w:pPr>
      <w:r>
        <w:rPr>
          <w:rFonts w:ascii="Calibri" w:cs="Calibri" w:eastAsia="Calibri" w:hAnsi="Calibri"/>
          <w:b/>
          <w:bCs/>
          <w:color w:val="0B6E6E"/>
          <w:sz w:val="21"/>
          <w:szCs w:val="21"/>
        </w:rPr>
        <w:t xml:space="preserve">Example 1 — An existing partner adding a second source system</w:t>
      </w:r>
    </w:p>
    <w:p>
      <w:pPr>
        <w:spacing w:after="130" w:before="0"/>
      </w:pPr>
      <w:r>
        <w:rPr>
          <w:rFonts w:ascii="Calibri" w:cs="Calibri" w:eastAsia="Calibri" w:hAnsi="Calibri"/>
          <w:b w:val="false"/>
          <w:bCs w:val="false"/>
          <w:i w:val="false"/>
          <w:iCs w:val="false"/>
          <w:color w:val="1B2432"/>
          <w:sz w:val="21"/>
          <w:szCs w:val="21"/>
        </w:rPr>
        <w:t xml:space="preserve">A partner already ingesting through the gateway introduces a new upstream system that will send the same document types, through the same flow, at comparable volume.</w:t>
      </w:r>
    </w:p>
    <w:p>
      <w:pPr>
        <w:spacing w:after="130" w:before="0"/>
      </w:pPr>
      <w:r>
        <w:rPr>
          <w:rFonts w:ascii="Calibri" w:cs="Calibri" w:eastAsia="Calibri" w:hAnsi="Calibri"/>
          <w:b w:val="false"/>
          <w:bCs w:val="false"/>
          <w:i w:val="false"/>
          <w:iCs w:val="false"/>
          <w:color w:val="1B2432"/>
          <w:sz w:val="21"/>
          <w:szCs w:val="21"/>
        </w:rPr>
        <w:t xml:space="preserve">Scoring: pattern exact fit (0), posture unchanged (0), retention reused (0), no classification change (0), no data model change (0), volume within band (0), single partner single flow (0). Total 0.</w:t>
      </w:r>
    </w:p>
    <w:p>
      <w:pPr>
        <w:spacing w:after="130" w:before="0"/>
      </w:pPr>
      <w:r>
        <w:rPr>
          <w:rFonts w:ascii="Calibri" w:cs="Calibri" w:eastAsia="Calibri" w:hAnsi="Calibri"/>
          <w:b/>
          <w:bCs/>
          <w:i w:val="false"/>
          <w:iCs w:val="false"/>
          <w:color w:val="0B6E6E"/>
          <w:sz w:val="21"/>
          <w:szCs w:val="21"/>
        </w:rPr>
        <w:t xml:space="preserve">Tier: Lean. </w:t>
      </w:r>
      <w:r>
        <w:rPr>
          <w:rFonts w:ascii="Calibri" w:cs="Calibri" w:eastAsia="Calibri" w:hAnsi="Calibri"/>
          <w:b w:val="false"/>
          <w:bCs w:val="false"/>
          <w:i w:val="false"/>
          <w:iCs w:val="false"/>
          <w:color w:val="1B2432"/>
          <w:sz w:val="21"/>
          <w:szCs w:val="21"/>
        </w:rPr>
        <w:t xml:space="preserve">The partner selects the subscription-extension pattern, self-provisions within bounds, clears automated gates and promotes. Expected elapsed time is days. Had this gone to Dedicated, the partner would have waited for a pod and then received an engineer to perform configuration the platform already performs.</w:t>
      </w:r>
    </w:p>
    <w:p>
      <w:pPr>
        <w:pStyle w:val="Heading4"/>
        <w:spacing w:after="105" w:before="210"/>
      </w:pPr>
      <w:r>
        <w:rPr>
          <w:rFonts w:ascii="Calibri" w:cs="Calibri" w:eastAsia="Calibri" w:hAnsi="Calibri"/>
          <w:b/>
          <w:bCs/>
          <w:color w:val="9A6410"/>
          <w:sz w:val="21"/>
          <w:szCs w:val="21"/>
        </w:rPr>
        <w:t xml:space="preserve">Example 2 — A partner moving from UI ingestion to automated ingestion</w:t>
      </w:r>
    </w:p>
    <w:p>
      <w:pPr>
        <w:spacing w:after="130" w:before="0"/>
      </w:pPr>
      <w:r>
        <w:rPr>
          <w:rFonts w:ascii="Calibri" w:cs="Calibri" w:eastAsia="Calibri" w:hAnsi="Calibri"/>
          <w:b w:val="false"/>
          <w:bCs w:val="false"/>
          <w:i w:val="false"/>
          <w:iCs w:val="false"/>
          <w:color w:val="1B2432"/>
          <w:sz w:val="21"/>
          <w:szCs w:val="21"/>
        </w:rPr>
        <w:t xml:space="preserve">A partner currently uploading through the user interface moves to notification-based ingestion. Content types are unchanged and already determined. Reconciliation is new to them. Volume rises but stays below the load-testing threshold.</w:t>
      </w:r>
    </w:p>
    <w:p>
      <w:pPr>
        <w:spacing w:after="130" w:before="0"/>
      </w:pPr>
      <w:r>
        <w:rPr>
          <w:rFonts w:ascii="Calibri" w:cs="Calibri" w:eastAsia="Calibri" w:hAnsi="Calibri"/>
          <w:b w:val="false"/>
          <w:bCs w:val="false"/>
          <w:i w:val="false"/>
          <w:iCs w:val="false"/>
          <w:color w:val="1B2432"/>
          <w:sz w:val="21"/>
          <w:szCs w:val="21"/>
        </w:rPr>
        <w:t xml:space="preserve">Scoring: M3 pattern with tolerated variation (1), new content posture unchanged (0), existing retention (1), no classification change (0), additive forward-only (1), band change below threshold (1), single partner multiple flows (1). Total 5 — but the reconciliation design is a judgement the partner has not made before.</w:t>
      </w:r>
    </w:p>
    <w:p>
      <w:pPr>
        <w:spacing w:after="130" w:before="0"/>
      </w:pPr>
      <w:r>
        <w:rPr>
          <w:rFonts w:ascii="Calibri" w:cs="Calibri" w:eastAsia="Calibri" w:hAnsi="Calibri"/>
          <w:b/>
          <w:bCs/>
          <w:i w:val="false"/>
          <w:iCs w:val="false"/>
          <w:color w:val="9A6410"/>
          <w:sz w:val="21"/>
          <w:szCs w:val="21"/>
        </w:rPr>
        <w:t xml:space="preserve">Tier: Lean+. </w:t>
      </w:r>
      <w:r>
        <w:rPr>
          <w:rFonts w:ascii="Calibri" w:cs="Calibri" w:eastAsia="Calibri" w:hAnsi="Calibri"/>
          <w:b w:val="false"/>
          <w:bCs w:val="false"/>
          <w:i w:val="false"/>
          <w:iCs w:val="false"/>
          <w:color w:val="1B2432"/>
          <w:sz w:val="21"/>
          <w:szCs w:val="21"/>
        </w:rPr>
        <w:t xml:space="preserve">The score sits at the Lean boundary; the enablement lead assigns Lean+ because reconciliation and exception handling are genuinely new to this partner. Checkpoint 1 reviews the reconciliation design, checkpoint 2 reviews readiness. The guide is available weekly. This is exactly the discretion the rubric is meant to permit — and the reason is recorded.</w:t>
      </w:r>
    </w:p>
    <w:p>
      <w:pPr>
        <w:pStyle w:val="Heading4"/>
        <w:spacing w:after="105" w:before="210"/>
      </w:pPr>
      <w:r>
        <w:rPr>
          <w:rFonts w:ascii="Calibri" w:cs="Calibri" w:eastAsia="Calibri" w:hAnsi="Calibri"/>
          <w:b/>
          <w:bCs/>
          <w:color w:val="15304F"/>
          <w:sz w:val="21"/>
          <w:szCs w:val="21"/>
        </w:rPr>
        <w:t xml:space="preserve">Example 3 — A partner moving untrusted content to AI classification</w:t>
      </w:r>
    </w:p>
    <w:p>
      <w:pPr>
        <w:spacing w:after="130" w:before="0"/>
      </w:pPr>
      <w:r>
        <w:rPr>
          <w:rFonts w:ascii="Calibri" w:cs="Calibri" w:eastAsia="Calibri" w:hAnsi="Calibri"/>
          <w:b w:val="false"/>
          <w:bCs w:val="false"/>
          <w:i w:val="false"/>
          <w:iCs w:val="false"/>
          <w:color w:val="1B2432"/>
          <w:sz w:val="21"/>
          <w:szCs w:val="21"/>
        </w:rPr>
        <w:t xml:space="preserve">A partner with untrusted content currently classified through a legacy capture engine moves to AI classification. Several of their document types are not well represented in the knowledge base.</w:t>
      </w:r>
    </w:p>
    <w:p>
      <w:pPr>
        <w:spacing w:after="130" w:before="0"/>
      </w:pPr>
      <w:r>
        <w:rPr>
          <w:rFonts w:ascii="Calibri" w:cs="Calibri" w:eastAsia="Calibri" w:hAnsi="Calibri"/>
          <w:b w:val="false"/>
          <w:bCs w:val="false"/>
          <w:i w:val="false"/>
          <w:iCs w:val="false"/>
          <w:color w:val="1B2432"/>
          <w:sz w:val="21"/>
          <w:szCs w:val="21"/>
        </w:rPr>
        <w:t xml:space="preserve">Scoring: M1 pattern (2), posture changing on live content (3), existing retention (1), engine change with new types (3), additive (1), volume unchanged (0), single partner (1). Total 11, with a hard override on live posture change.</w:t>
      </w:r>
    </w:p>
    <w:p>
      <w:pPr>
        <w:spacing w:after="130" w:before="0"/>
      </w:pPr>
      <w:r>
        <w:rPr>
          <w:rFonts w:ascii="Calibri" w:cs="Calibri" w:eastAsia="Calibri" w:hAnsi="Calibri"/>
          <w:b/>
          <w:bCs/>
          <w:i w:val="false"/>
          <w:iCs w:val="false"/>
          <w:color w:val="15304F"/>
          <w:sz w:val="21"/>
          <w:szCs w:val="21"/>
        </w:rPr>
        <w:t xml:space="preserve">Tier: Dedicated. </w:t>
      </w:r>
      <w:r>
        <w:rPr>
          <w:rFonts w:ascii="Calibri" w:cs="Calibri" w:eastAsia="Calibri" w:hAnsi="Calibri"/>
          <w:b w:val="false"/>
          <w:bCs w:val="false"/>
          <w:i w:val="false"/>
          <w:iCs w:val="false"/>
          <w:color w:val="1B2432"/>
          <w:sz w:val="21"/>
          <w:szCs w:val="21"/>
        </w:rPr>
        <w:t xml:space="preserve">A pod is assigned. Knowledge base coverage is assessed at P1 and extension is scoped as a governance dependency on the critical path. Expected human review volume is derived from the coverage position rather than discovered in production. At closure the pod produces a pattern candidate so that the next partner making the same move can be assessed at Lean+.</w:t>
      </w:r>
    </w:p>
    <w:p>
      <w:pPr>
        <w:pStyle w:val="Heading4"/>
        <w:spacing w:after="105" w:before="210"/>
      </w:pPr>
      <w:r>
        <w:rPr>
          <w:rFonts w:ascii="Calibri" w:cs="Calibri" w:eastAsia="Calibri" w:hAnsi="Calibri"/>
          <w:b/>
          <w:bCs/>
          <w:color w:val="5B4A72"/>
          <w:sz w:val="21"/>
          <w:szCs w:val="21"/>
        </w:rPr>
        <w:t xml:space="preserve">Example 4 — Records management remediation across eleven partners</w:t>
      </w:r>
    </w:p>
    <w:p>
      <w:pPr>
        <w:spacing w:after="130" w:before="0"/>
      </w:pPr>
      <w:r>
        <w:rPr>
          <w:rFonts w:ascii="Calibri" w:cs="Calibri" w:eastAsia="Calibri" w:hAnsi="Calibri"/>
          <w:b w:val="false"/>
          <w:bCs w:val="false"/>
          <w:i w:val="false"/>
          <w:iCs w:val="false"/>
          <w:color w:val="1B2432"/>
          <w:sz w:val="21"/>
          <w:szCs w:val="21"/>
        </w:rPr>
        <w:t xml:space="preserve">A retention policy change requires reclassification of historical content held by eleven partners across four lines of business.</w:t>
      </w:r>
    </w:p>
    <w:p>
      <w:pPr>
        <w:spacing w:after="130" w:before="0"/>
      </w:pPr>
      <w:r>
        <w:rPr>
          <w:rFonts w:ascii="Calibri" w:cs="Calibri" w:eastAsia="Calibri" w:hAnsi="Calibri"/>
          <w:b/>
          <w:bCs/>
          <w:i w:val="false"/>
          <w:iCs w:val="false"/>
          <w:color w:val="5B4A72"/>
          <w:sz w:val="21"/>
          <w:szCs w:val="21"/>
        </w:rPr>
        <w:t xml:space="preserve">Route: Migration Factory. </w:t>
      </w:r>
      <w:r>
        <w:rPr>
          <w:rFonts w:ascii="Calibri" w:cs="Calibri" w:eastAsia="Calibri" w:hAnsi="Calibri"/>
          <w:b w:val="false"/>
          <w:bCs w:val="false"/>
          <w:i w:val="false"/>
          <w:iCs w:val="false"/>
          <w:color w:val="1B2432"/>
          <w:sz w:val="21"/>
          <w:szCs w:val="21"/>
        </w:rPr>
        <w:t xml:space="preserve">This is not eleven onboardings. It is one campaign with eleven participants, each with a small standardised set of obligations — confirm scope, validate a sample, accept the outcome. Running it as eleven Dedicated intakes would consume the entire pod capacity for a planning increment and deliver the same result more slowly.</w:t>
      </w:r>
    </w:p>
    <w:p>
      <w:pPr>
        <w:pStyle w:val="Heading2"/>
        <w:spacing w:after="170" w:before="320"/>
      </w:pPr>
      <w:r>
        <w:rPr>
          <w:rFonts w:ascii="Cambria" w:cs="Cambria" w:eastAsia="Cambria" w:hAnsi="Cambria"/>
          <w:b/>
          <w:bCs/>
          <w:color w:val="15304F"/>
          <w:sz w:val="27"/>
          <w:szCs w:val="27"/>
        </w:rPr>
        <w:t xml:space="preserve">8.6 Anti-patterns to watch for</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700"/>
        <w:gridCol w:w="6660"/>
      </w:tblGrid>
      <w:tr>
        <w:trPr>
          <w:tblHeader/>
        </w:trPr>
        <w:tc>
          <w:tcPr>
            <w:tcW w:type="dxa" w:w="27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Anti-pattern</w:t>
            </w:r>
          </w:p>
        </w:tc>
        <w:tc>
          <w:tcPr>
            <w:tcW w:type="dxa" w:w="66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Why it is corrosive</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Tiering by partner importance</w:t>
            </w:r>
          </w:p>
        </w:tc>
        <w:tc>
          <w:tcPr>
            <w:tcW w:type="dxa" w:w="6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Reintroduces allocation by influence, which is the problem the model exists to solve. Tier the work.</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Lean as a cost-saving announcement before the platform exists</w:t>
            </w:r>
          </w:p>
        </w:tc>
        <w:tc>
          <w:tcPr>
            <w:tcW w:type="dxa" w:w="6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Produces unsupported partners and destroys the model's credibility permanently.</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Guides quietly doing implementation</w:t>
            </w:r>
          </w:p>
        </w:tc>
        <w:tc>
          <w:tcPr>
            <w:tcW w:type="dxa" w:w="6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Converts Lean+ into unfunded Dedicated. Tracked and capped for exactly this reason.</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Pods held through routine phases</w:t>
            </w:r>
          </w:p>
        </w:tc>
        <w:tc>
          <w:tcPr>
            <w:tcW w:type="dxa" w:w="6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Wastes the scarcest resource. De-escalate at phase gates.</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Dedicated intakes closing without a pattern</w:t>
            </w:r>
          </w:p>
        </w:tc>
        <w:tc>
          <w:tcPr>
            <w:tcW w:type="dxa" w:w="6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Stops the compounding. Treat as a delivery defect.</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Platform team borrowed for a pressured quarter</w:t>
            </w:r>
          </w:p>
        </w:tc>
        <w:tc>
          <w:tcPr>
            <w:tcW w:type="dxa" w:w="6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single fastest way to end the programme. Protect it explicitly.</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Waiving a gate for an important partner</w:t>
            </w:r>
          </w:p>
        </w:tc>
        <w:tc>
          <w:tcPr>
            <w:tcW w:type="dxa" w:w="6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Teaches everyone the controls are advisory, and the next waiver is easier.</w:t>
            </w:r>
          </w:p>
        </w:tc>
      </w:tr>
    </w:tbl>
    <w:p>
      <w:r>
        <w:br w:type="page"/>
      </w:r>
    </w:p>
    <w:p>
      <w:pPr>
        <w:pStyle w:val="Heading1"/>
        <w:spacing w:after="220" w:before="400"/>
      </w:pPr>
      <w:r>
        <w:rPr>
          <w:rFonts w:ascii="Cambria" w:cs="Cambria" w:eastAsia="Cambria" w:hAnsi="Cambria"/>
          <w:b/>
          <w:bCs/>
          <w:color w:val="15304F"/>
          <w:sz w:val="34"/>
          <w:szCs w:val="34"/>
        </w:rPr>
        <w:t xml:space="preserve">Part 9 — The Migration and Remediation Stream</w:t>
      </w:r>
    </w:p>
    <w:p>
      <w:pPr>
        <w:pStyle w:val="Heading2"/>
        <w:spacing w:after="170" w:before="320"/>
      </w:pPr>
      <w:r>
        <w:rPr>
          <w:rFonts w:ascii="Cambria" w:cs="Cambria" w:eastAsia="Cambria" w:hAnsi="Cambria"/>
          <w:b/>
          <w:bCs/>
          <w:color w:val="15304F"/>
          <w:sz w:val="27"/>
          <w:szCs w:val="27"/>
        </w:rPr>
        <w:t xml:space="preserve">9.1 Why this is not onboarding</w:t>
      </w:r>
    </w:p>
    <w:p>
      <w:pPr>
        <w:spacing w:after="130" w:before="0"/>
      </w:pPr>
      <w:r>
        <w:rPr>
          <w:rFonts w:ascii="Calibri" w:cs="Calibri" w:eastAsia="Calibri" w:hAnsi="Calibri"/>
          <w:b w:val="false"/>
          <w:bCs w:val="false"/>
          <w:i w:val="false"/>
          <w:iCs w:val="false"/>
          <w:color w:val="1B2432"/>
          <w:sz w:val="21"/>
          <w:szCs w:val="21"/>
        </w:rPr>
        <w:t xml:space="preserve">Migration off non-compliant and legacy repositories shares vocabulary with onboarding — content, metadata, classification, retention — and almost nothing else.</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300"/>
        <w:gridCol w:w="3500"/>
        <w:gridCol w:w="3560"/>
      </w:tblGrid>
      <w:tr>
        <w:trPr>
          <w:tblHeader/>
        </w:trPr>
        <w:tc>
          <w:tcPr>
            <w:tcW w:type="dxa" w:w="23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Dimension</w:t>
            </w:r>
          </w:p>
        </w:tc>
        <w:tc>
          <w:tcPr>
            <w:tcW w:type="dxa" w:w="3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Partner onboarding</w:t>
            </w:r>
          </w:p>
        </w:tc>
        <w:tc>
          <w:tcPr>
            <w:tcW w:type="dxa" w:w="35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Migration and remediation</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Who initiates</w:t>
            </w:r>
          </w:p>
        </w:tc>
        <w:tc>
          <w:tcPr>
            <w:tcW w:type="dxa" w:w="3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partner, from a business need</w:t>
            </w:r>
          </w:p>
        </w:tc>
        <w:tc>
          <w:tcPr>
            <w:tcW w:type="dxa" w:w="3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enterprise, from a risk position</w:t>
            </w:r>
          </w:p>
        </w:tc>
      </w:tr>
      <w:tr>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Predictability</w:t>
            </w:r>
          </w:p>
        </w:tc>
        <w:tc>
          <w:tcPr>
            <w:tcW w:type="dxa" w:w="3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Arrives unevenly, scope emerges</w:t>
            </w:r>
          </w:p>
        </w:tc>
        <w:tc>
          <w:tcPr>
            <w:tcW w:type="dxa" w:w="3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Known in advance, scope derivable from the source repository</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Repetition</w:t>
            </w:r>
          </w:p>
        </w:tc>
        <w:tc>
          <w:tcPr>
            <w:tcW w:type="dxa" w:w="3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Each partner differs</w:t>
            </w:r>
          </w:p>
        </w:tc>
        <w:tc>
          <w:tcPr>
            <w:tcW w:type="dxa" w:w="3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Same shape repeated across many partners</w:t>
            </w:r>
          </w:p>
        </w:tc>
      </w:tr>
      <w:tr>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Partner's role</w:t>
            </w:r>
          </w:p>
        </w:tc>
        <w:tc>
          <w:tcPr>
            <w:tcW w:type="dxa" w:w="3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Builds an integration</w:t>
            </w:r>
          </w:p>
        </w:tc>
        <w:tc>
          <w:tcPr>
            <w:tcW w:type="dxa" w:w="3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Confirms scope, validates samples, accepts outcome</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Measure of success</w:t>
            </w:r>
          </w:p>
        </w:tc>
        <w:tc>
          <w:tcPr>
            <w:tcW w:type="dxa" w:w="3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 live and operating</w:t>
            </w:r>
          </w:p>
        </w:tc>
        <w:tc>
          <w:tcPr>
            <w:tcW w:type="dxa" w:w="3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Content volume remediated; repositories decommissioned</w:t>
            </w:r>
          </w:p>
        </w:tc>
      </w:tr>
      <w:tr>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Failure mode</w:t>
            </w:r>
          </w:p>
        </w:tc>
        <w:tc>
          <w:tcPr>
            <w:tcW w:type="dxa" w:w="3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 cannot integrate</w:t>
            </w:r>
          </w:p>
        </w:tc>
        <w:tc>
          <w:tcPr>
            <w:tcW w:type="dxa" w:w="3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Content remediated incorrectly — a compliance event</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Right unit of work</w:t>
            </w:r>
          </w:p>
        </w:tc>
        <w:tc>
          <w:tcPr>
            <w:tcW w:type="dxa" w:w="3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An intake</w:t>
            </w:r>
          </w:p>
        </w:tc>
        <w:tc>
          <w:tcPr>
            <w:tcW w:type="dxa" w:w="3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campaign</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Running campaign-shaped work through an intake-shaped process is why this stream consumes disproportionate capacity today. Each partner's slice of a common change is handled as an individual project, with individual analysis, individual scheduling and individual coordination — eleven times over for a change that is identical eleven times.</w:t>
      </w:r>
    </w:p>
    <w:p>
      <w:pPr>
        <w:pStyle w:val="Heading2"/>
        <w:spacing w:after="170" w:before="320"/>
      </w:pPr>
      <w:r>
        <w:rPr>
          <w:rFonts w:ascii="Cambria" w:cs="Cambria" w:eastAsia="Cambria" w:hAnsi="Cambria"/>
          <w:b/>
          <w:bCs/>
          <w:color w:val="15304F"/>
          <w:sz w:val="27"/>
          <w:szCs w:val="27"/>
        </w:rPr>
        <w:t xml:space="preserve">9.2 The campaign model</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1900"/>
        <w:gridCol w:w="7460"/>
      </w:tblGrid>
      <w:tr>
        <w:trPr>
          <w:tblHeader/>
        </w:trPr>
        <w:tc>
          <w:tcPr>
            <w:tcW w:type="dxa" w:w="19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Stage</w:t>
            </w:r>
          </w:p>
        </w:tc>
        <w:tc>
          <w:tcPr>
            <w:tcW w:type="dxa" w:w="74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What happens</w:t>
            </w:r>
          </w:p>
        </w:tc>
      </w:tr>
      <w:tr>
        <w:tc>
          <w:tcPr>
            <w:tcW w:type="dxa" w:w="19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Campaign definition</w:t>
            </w:r>
          </w:p>
        </w:tc>
        <w:tc>
          <w:tcPr>
            <w:tcW w:type="dxa" w:w="74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Scope is defined by source repository, content class and target state — not by partner. The affected partner set is derived from the content, and the compliance driver and deadline are stated.</w:t>
            </w:r>
          </w:p>
        </w:tc>
      </w:tr>
      <w:tr>
        <w:tc>
          <w:tcPr>
            <w:tcW w:type="dxa" w:w="19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Impact derivation</w:t>
            </w:r>
          </w:p>
        </w:tc>
        <w:tc>
          <w:tcPr>
            <w:tcW w:type="dxa" w:w="74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platform derives which partners, document classes, retention positions and downstream consumers are affected. This is a query, not a series of conversations.</w:t>
            </w:r>
          </w:p>
        </w:tc>
      </w:tr>
      <w:tr>
        <w:tc>
          <w:tcPr>
            <w:tcW w:type="dxa" w:w="19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Pattern selection</w:t>
            </w:r>
          </w:p>
        </w:tc>
        <w:tc>
          <w:tcPr>
            <w:tcW w:type="dxa" w:w="74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migration pattern is selected or built: extraction, mapping, validation, reconciliation and cutover approach.</w:t>
            </w:r>
          </w:p>
        </w:tc>
      </w:tr>
      <w:tr>
        <w:tc>
          <w:tcPr>
            <w:tcW w:type="dxa" w:w="19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Partner notification</w:t>
            </w:r>
          </w:p>
        </w:tc>
        <w:tc>
          <w:tcPr>
            <w:tcW w:type="dxa" w:w="74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Every affected partner receives the same standardised notification: what is changing, what they must confirm, what they must validate, and by when.</w:t>
            </w:r>
          </w:p>
        </w:tc>
      </w:tr>
      <w:tr>
        <w:tc>
          <w:tcPr>
            <w:tcW w:type="dxa" w:w="19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Wave execution</w:t>
            </w:r>
          </w:p>
        </w:tc>
        <w:tc>
          <w:tcPr>
            <w:tcW w:type="dxa" w:w="74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Partners are batched into waves by similarity and risk. Each wave runs the same tooling with partner-specific parameters.</w:t>
            </w:r>
          </w:p>
        </w:tc>
      </w:tr>
      <w:tr>
        <w:tc>
          <w:tcPr>
            <w:tcW w:type="dxa" w:w="19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Validation and acceptance</w:t>
            </w:r>
          </w:p>
        </w:tc>
        <w:tc>
          <w:tcPr>
            <w:tcW w:type="dxa" w:w="74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Sample-based validation per partner, full reconciliation per wave, formal acceptance recorded per partner.</w:t>
            </w:r>
          </w:p>
        </w:tc>
      </w:tr>
      <w:tr>
        <w:tc>
          <w:tcPr>
            <w:tcW w:type="dxa" w:w="19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Decommission</w:t>
            </w:r>
          </w:p>
        </w:tc>
        <w:tc>
          <w:tcPr>
            <w:tcW w:type="dxa" w:w="74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Source repository or non-compliant path is retired, which is the outcome the enterprise actually wanted.</w:t>
            </w:r>
          </w:p>
        </w:tc>
      </w:tr>
    </w:tbl>
    <w:p>
      <w:pPr>
        <w:pStyle w:val="Heading2"/>
        <w:spacing w:after="170" w:before="320"/>
      </w:pPr>
      <w:r>
        <w:rPr>
          <w:rFonts w:ascii="Cambria" w:cs="Cambria" w:eastAsia="Cambria" w:hAnsi="Cambria"/>
          <w:b/>
          <w:bCs/>
          <w:color w:val="15304F"/>
          <w:sz w:val="27"/>
          <w:szCs w:val="27"/>
        </w:rPr>
        <w:t xml:space="preserve">9.3 Factory operating rhythm</w:t>
      </w:r>
    </w:p>
    <w:p>
      <w:pPr>
        <w:pStyle w:val="ListParagraph"/>
        <w:numPr>
          <w:ilvl w:val="0"/>
          <w:numId w:val="3"/>
        </w:numPr>
        <w:spacing w:after="75"/>
      </w:pPr>
      <w:r>
        <w:rPr>
          <w:rFonts w:ascii="Calibri" w:cs="Calibri" w:eastAsia="Calibri" w:hAnsi="Calibri"/>
          <w:color w:val="1B2432"/>
          <w:sz w:val="21"/>
          <w:szCs w:val="21"/>
        </w:rPr>
        <w:t xml:space="preserve">Campaigns run on a fixed cadence with published wave dates, so affected partners can plan</w:t>
      </w:r>
    </w:p>
    <w:p>
      <w:pPr>
        <w:pStyle w:val="ListParagraph"/>
        <w:numPr>
          <w:ilvl w:val="0"/>
          <w:numId w:val="3"/>
        </w:numPr>
        <w:spacing w:after="75"/>
      </w:pPr>
      <w:r>
        <w:rPr>
          <w:rFonts w:ascii="Calibri" w:cs="Calibri" w:eastAsia="Calibri" w:hAnsi="Calibri"/>
          <w:color w:val="1B2432"/>
          <w:sz w:val="21"/>
          <w:szCs w:val="21"/>
        </w:rPr>
        <w:t xml:space="preserve">Partner obligations are small, standardised and time-boxed — the factory absorbs the variability</w:t>
      </w:r>
    </w:p>
    <w:p>
      <w:pPr>
        <w:pStyle w:val="ListParagraph"/>
        <w:numPr>
          <w:ilvl w:val="0"/>
          <w:numId w:val="3"/>
        </w:numPr>
        <w:spacing w:after="75"/>
      </w:pPr>
      <w:r>
        <w:rPr>
          <w:rFonts w:ascii="Calibri" w:cs="Calibri" w:eastAsia="Calibri" w:hAnsi="Calibri"/>
          <w:color w:val="1B2432"/>
          <w:sz w:val="21"/>
          <w:szCs w:val="21"/>
        </w:rPr>
        <w:t xml:space="preserve">Tooling investment is amortised across campaigns rather than rebuilt per partner</w:t>
      </w:r>
    </w:p>
    <w:p>
      <w:pPr>
        <w:pStyle w:val="ListParagraph"/>
        <w:numPr>
          <w:ilvl w:val="0"/>
          <w:numId w:val="3"/>
        </w:numPr>
        <w:spacing w:after="75"/>
      </w:pPr>
      <w:r>
        <w:rPr>
          <w:rFonts w:ascii="Calibri" w:cs="Calibri" w:eastAsia="Calibri" w:hAnsi="Calibri"/>
          <w:color w:val="1B2432"/>
          <w:sz w:val="21"/>
          <w:szCs w:val="21"/>
        </w:rPr>
        <w:t xml:space="preserve">A partner in an active migration wave is not simultaneously expected to progress a Dedicated onboarding; the scheduling conflict is managed centrally</w:t>
      </w:r>
    </w:p>
    <w:p>
      <w:pPr>
        <w:pStyle w:val="ListParagraph"/>
        <w:numPr>
          <w:ilvl w:val="0"/>
          <w:numId w:val="3"/>
        </w:numPr>
        <w:spacing w:after="75"/>
      </w:pPr>
      <w:r>
        <w:rPr>
          <w:rFonts w:ascii="Calibri" w:cs="Calibri" w:eastAsia="Calibri" w:hAnsi="Calibri"/>
          <w:color w:val="1B2432"/>
          <w:sz w:val="21"/>
          <w:szCs w:val="21"/>
        </w:rPr>
        <w:t xml:space="preserve">Remediation findings feed back into the pattern catalogue, so new onboardings do not recreate the non-compliance being remediated</w:t>
      </w:r>
    </w:p>
    <w:tbl>
      <w:tblPr>
        <w:tblW w:type="dxa" w:w="9360"/>
        <w:tblBorders>
          <w:top w:val="single" w:color="5B4A72" w:sz="6"/>
          <w:left w:val="single" w:color="5B4A72" w:sz="6"/>
          <w:bottom w:val="single" w:color="5B4A72" w:sz="6"/>
          <w:right w:val="single" w:color="5B4A72" w:sz="6"/>
          <w:insideH w:val="none"/>
          <w:insideV w:val="none"/>
        </w:tblBorders>
      </w:tblPr>
      <w:tblGrid>
        <w:gridCol w:w="9360"/>
      </w:tblGrid>
      <w:tr>
        <w:tc>
          <w:tcPr>
            <w:tcW w:type="dxa" w:w="9360"/>
            <w:shd w:fill="F1EEF6" w:color="auto" w:val="clear"/>
            <w:tcMar>
              <w:top w:type="dxa" w:w="140"/>
              <w:left w:type="dxa" w:w="165"/>
              <w:bottom w:type="dxa" w:w="140"/>
              <w:right w:type="dxa" w:w="165"/>
            </w:tcMar>
          </w:tcPr>
          <w:p>
            <w:pPr>
              <w:spacing w:after="85"/>
            </w:pPr>
            <w:r>
              <w:rPr>
                <w:rFonts w:ascii="Calibri" w:cs="Calibri" w:eastAsia="Calibri" w:hAnsi="Calibri"/>
                <w:b/>
                <w:bCs/>
                <w:color w:val="5B4A72"/>
                <w:sz w:val="20"/>
                <w:szCs w:val="20"/>
              </w:rPr>
              <w:t xml:space="preserve">THE FEEDBACK LOOP WORTH BUILDING DELIBERATELY</w:t>
            </w:r>
          </w:p>
          <w:p>
            <w:pPr>
              <w:spacing w:after="65"/>
            </w:pPr>
            <w:r>
              <w:rPr>
                <w:rFonts w:ascii="Calibri" w:cs="Calibri" w:eastAsia="Calibri" w:hAnsi="Calibri"/>
                <w:color w:val="1B2432"/>
                <w:sz w:val="20"/>
                <w:szCs w:val="20"/>
              </w:rPr>
              <w:t xml:space="preserve">Scenario 34 in the current list — making non-compliant systems, approaches or documents compliant — covers untrusted documents arriving as trusted, missing key metadata, multi-context documents sent as single documents, and wrongly classified trusted documents.</w:t>
            </w:r>
          </w:p>
          <w:p>
            <w:pPr>
              <w:spacing w:after="65"/>
            </w:pPr>
            <w:r>
              <w:rPr>
                <w:rFonts w:ascii="Calibri" w:cs="Calibri" w:eastAsia="Calibri" w:hAnsi="Calibri"/>
                <w:color w:val="1B2432"/>
                <w:sz w:val="20"/>
                <w:szCs w:val="20"/>
              </w:rPr>
              <w:t xml:space="preserve">Every one of those is something a well-designed pattern with enforced gates would have prevented at onboarding.</w:t>
            </w:r>
          </w:p>
          <w:p>
            <w:pPr>
              <w:spacing w:after="65"/>
            </w:pPr>
            <w:r>
              <w:rPr>
                <w:rFonts w:ascii="Calibri" w:cs="Calibri" w:eastAsia="Calibri" w:hAnsi="Calibri"/>
                <w:color w:val="1B2432"/>
                <w:sz w:val="20"/>
                <w:szCs w:val="20"/>
              </w:rPr>
              <w:t xml:space="preserve">The factory should therefore report, per campaign, which non-compliance classes it found and whether current patterns would still allow them. That report is direct input to Platform Engineering, and it is how the remediation backlog eventually stops growing.</w:t>
            </w:r>
          </w:p>
        </w:tc>
      </w:tr>
    </w:tbl>
    <w:p>
      <w:r>
        <w:br w:type="page"/>
      </w:r>
    </w:p>
    <w:p>
      <w:pPr>
        <w:pStyle w:val="Heading1"/>
        <w:spacing w:after="220" w:before="400"/>
      </w:pPr>
      <w:r>
        <w:rPr>
          <w:rFonts w:ascii="Cambria" w:cs="Cambria" w:eastAsia="Cambria" w:hAnsi="Cambria"/>
          <w:b/>
          <w:bCs/>
          <w:color w:val="15304F"/>
          <w:sz w:val="34"/>
          <w:szCs w:val="34"/>
        </w:rPr>
        <w:t xml:space="preserve">Part 10 — Making the Case</w:t>
      </w:r>
    </w:p>
    <w:p>
      <w:pPr>
        <w:pStyle w:val="Heading2"/>
        <w:spacing w:after="170" w:before="320"/>
      </w:pPr>
      <w:r>
        <w:rPr>
          <w:rFonts w:ascii="Cambria" w:cs="Cambria" w:eastAsia="Cambria" w:hAnsi="Cambria"/>
          <w:b/>
          <w:bCs/>
          <w:color w:val="15304F"/>
          <w:sz w:val="27"/>
          <w:szCs w:val="27"/>
        </w:rPr>
        <w:t xml:space="preserve">10.1 The capacity model</w:t>
      </w:r>
    </w:p>
    <w:p>
      <w:pPr>
        <w:spacing w:after="130" w:before="0"/>
      </w:pPr>
      <w:r>
        <w:rPr>
          <w:rFonts w:ascii="Calibri" w:cs="Calibri" w:eastAsia="Calibri" w:hAnsi="Calibri"/>
          <w:b w:val="false"/>
          <w:bCs w:val="false"/>
          <w:i w:val="false"/>
          <w:iCs w:val="false"/>
          <w:color w:val="1B2432"/>
          <w:sz w:val="21"/>
          <w:szCs w:val="21"/>
        </w:rPr>
        <w:t xml:space="preserve">The structural argument does not depend on precise numbers, but leadership will reasonably ask for shape. The model below is illustrative and uses placeholder inputs. The placeholders are marked, and Part 10.2 states what must be measured before any of these figures is presented as fact.</w:t>
      </w:r>
    </w:p>
    <w:p>
      <w:pPr>
        <w:pStyle w:val="Heading3"/>
        <w:spacing w:after="130" w:before="250"/>
      </w:pPr>
      <w:r>
        <w:rPr>
          <w:rFonts w:ascii="Calibri" w:cs="Calibri" w:eastAsia="Calibri" w:hAnsi="Calibri"/>
          <w:b/>
          <w:bCs/>
          <w:color w:val="1B2432"/>
          <w:sz w:val="23"/>
          <w:szCs w:val="23"/>
        </w:rPr>
        <w:t xml:space="preserve">The mechanism</w:t>
      </w:r>
    </w:p>
    <w:p>
      <w:pPr>
        <w:spacing w:after="130" w:before="0"/>
      </w:pPr>
      <w:r>
        <w:rPr>
          <w:rFonts w:ascii="Calibri" w:cs="Calibri" w:eastAsia="Calibri" w:hAnsi="Calibri"/>
          <w:b w:val="false"/>
          <w:bCs w:val="false"/>
          <w:i w:val="false"/>
          <w:iCs w:val="false"/>
          <w:color w:val="1B2432"/>
          <w:sz w:val="21"/>
          <w:szCs w:val="21"/>
        </w:rPr>
        <w:t xml:space="preserve">In the current model, capacity consumed is intake count multiplied by average depth. In the target model it becomes:</w:t>
      </w:r>
    </w:p>
    <w:p>
      <w:pPr>
        <w:spacing w:after="100" w:before="100"/>
        <w:jc w:val="center"/>
      </w:pPr>
      <w:r>
        <w:rPr>
          <w:rFonts w:ascii="Calibri" w:cs="Calibri" w:eastAsia="Calibri" w:hAnsi="Calibri"/>
          <w:b/>
          <w:bCs/>
          <w:i w:val="false"/>
          <w:iCs w:val="false"/>
          <w:color w:val="15304F"/>
          <w:sz w:val="21"/>
          <w:szCs w:val="21"/>
        </w:rPr>
        <w:t xml:space="preserve">Capacity  =  (Lean count × ~0)  +  (Lean+ count × checkpoint load)  +  (Dedicated count × pod load)  +  Platform investment</w:t>
      </w:r>
    </w:p>
    <w:p>
      <w:pPr>
        <w:spacing w:after="130" w:before="0"/>
      </w:pPr>
      <w:r>
        <w:rPr>
          <w:rFonts w:ascii="Calibri" w:cs="Calibri" w:eastAsia="Calibri" w:hAnsi="Calibri"/>
          <w:b w:val="false"/>
          <w:bCs w:val="false"/>
          <w:i w:val="false"/>
          <w:iCs w:val="false"/>
          <w:color w:val="1B2432"/>
          <w:sz w:val="21"/>
          <w:szCs w:val="21"/>
        </w:rPr>
        <w:t xml:space="preserve">Three things follow. The first term is flat regardless of volume. The second grows sub-linearly because the pool absorbs variance. Only the third behaves as the current model behaves — and it now receives roughly a third of intakes rather than all of them.</w:t>
      </w:r>
    </w:p>
    <w:p>
      <w:pPr>
        <w:pStyle w:val="Heading3"/>
        <w:spacing w:after="130" w:before="250"/>
      </w:pPr>
      <w:r>
        <w:rPr>
          <w:rFonts w:ascii="Calibri" w:cs="Calibri" w:eastAsia="Calibri" w:hAnsi="Calibri"/>
          <w:b/>
          <w:bCs/>
          <w:color w:val="1B2432"/>
          <w:sz w:val="23"/>
          <w:szCs w:val="23"/>
        </w:rPr>
        <w:t xml:space="preserve">Illustrative shape</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700"/>
        <w:gridCol w:w="1650"/>
        <w:gridCol w:w="1650"/>
        <w:gridCol w:w="1680"/>
        <w:gridCol w:w="1680"/>
      </w:tblGrid>
      <w:tr>
        <w:trPr>
          <w:tblHeader/>
        </w:trPr>
        <w:tc>
          <w:tcPr>
            <w:tcW w:type="dxa" w:w="27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
            </w:r>
          </w:p>
        </w:tc>
        <w:tc>
          <w:tcPr>
            <w:tcW w:type="dxa" w:w="165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Today</w:t>
            </w:r>
          </w:p>
        </w:tc>
        <w:tc>
          <w:tcPr>
            <w:tcW w:type="dxa" w:w="165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Wave 1</w:t>
            </w:r>
          </w:p>
        </w:tc>
        <w:tc>
          <w:tcPr>
            <w:tcW w:type="dxa" w:w="168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Wave 2</w:t>
            </w:r>
          </w:p>
        </w:tc>
        <w:tc>
          <w:tcPr>
            <w:tcW w:type="dxa" w:w="168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Steady state</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Intakes absorbed per period</w:t>
            </w:r>
          </w:p>
        </w:tc>
        <w:tc>
          <w:tcPr>
            <w:tcW w:type="dxa" w:w="16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Baseline</w:t>
            </w:r>
          </w:p>
        </w:tc>
        <w:tc>
          <w:tcPr>
            <w:tcW w:type="dxa" w:w="16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Baseline −15%</w:t>
            </w:r>
          </w:p>
        </w:tc>
        <w:tc>
          <w:tcPr>
            <w:tcW w:type="dxa" w:w="16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Baseline +20%</w:t>
            </w:r>
          </w:p>
        </w:tc>
        <w:tc>
          <w:tcPr>
            <w:tcW w:type="dxa" w:w="16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Baseline +60% to +90%</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Share routed to Lean</w:t>
            </w:r>
          </w:p>
        </w:tc>
        <w:tc>
          <w:tcPr>
            <w:tcW w:type="dxa" w:w="16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0%</w:t>
            </w:r>
          </w:p>
        </w:tc>
        <w:tc>
          <w:tcPr>
            <w:tcW w:type="dxa" w:w="16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0%</w:t>
            </w:r>
          </w:p>
        </w:tc>
        <w:tc>
          <w:tcPr>
            <w:tcW w:type="dxa" w:w="16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15%</w:t>
            </w:r>
          </w:p>
        </w:tc>
        <w:tc>
          <w:tcPr>
            <w:tcW w:type="dxa" w:w="16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35–45%</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Share routed to Lean+</w:t>
            </w:r>
          </w:p>
        </w:tc>
        <w:tc>
          <w:tcPr>
            <w:tcW w:type="dxa" w:w="16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0%</w:t>
            </w:r>
          </w:p>
        </w:tc>
        <w:tc>
          <w:tcPr>
            <w:tcW w:type="dxa" w:w="16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25%</w:t>
            </w:r>
          </w:p>
        </w:tc>
        <w:tc>
          <w:tcPr>
            <w:tcW w:type="dxa" w:w="16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35%</w:t>
            </w:r>
          </w:p>
        </w:tc>
        <w:tc>
          <w:tcPr>
            <w:tcW w:type="dxa" w:w="16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30–35%</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Share routed to Dedicated</w:t>
            </w:r>
          </w:p>
        </w:tc>
        <w:tc>
          <w:tcPr>
            <w:tcW w:type="dxa" w:w="16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100%</w:t>
            </w:r>
          </w:p>
        </w:tc>
        <w:tc>
          <w:tcPr>
            <w:tcW w:type="dxa" w:w="16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70%</w:t>
            </w:r>
          </w:p>
        </w:tc>
        <w:tc>
          <w:tcPr>
            <w:tcW w:type="dxa" w:w="16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45%</w:t>
            </w:r>
          </w:p>
        </w:tc>
        <w:tc>
          <w:tcPr>
            <w:tcW w:type="dxa" w:w="16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20%</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Share routed to Factory</w:t>
            </w:r>
          </w:p>
        </w:tc>
        <w:tc>
          <w:tcPr>
            <w:tcW w:type="dxa" w:w="16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0%</w:t>
            </w:r>
          </w:p>
        </w:tc>
        <w:tc>
          <w:tcPr>
            <w:tcW w:type="dxa" w:w="16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5%</w:t>
            </w:r>
          </w:p>
        </w:tc>
        <w:tc>
          <w:tcPr>
            <w:tcW w:type="dxa" w:w="16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5%</w:t>
            </w:r>
          </w:p>
        </w:tc>
        <w:tc>
          <w:tcPr>
            <w:tcW w:type="dxa" w:w="16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5%</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Engineers on platform capability</w:t>
            </w:r>
          </w:p>
        </w:tc>
        <w:tc>
          <w:tcPr>
            <w:tcW w:type="dxa" w:w="16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0</w:t>
            </w:r>
          </w:p>
        </w:tc>
        <w:tc>
          <w:tcPr>
            <w:tcW w:type="dxa" w:w="16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5</w:t>
            </w:r>
          </w:p>
        </w:tc>
        <w:tc>
          <w:tcPr>
            <w:tcW w:type="dxa" w:w="16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8</w:t>
            </w:r>
          </w:p>
        </w:tc>
        <w:tc>
          <w:tcPr>
            <w:tcW w:type="dxa" w:w="16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9</w:t>
            </w:r>
          </w:p>
        </w:tc>
      </w:tr>
    </w:tbl>
    <w:p>
      <w:pPr>
        <w:spacing w:after="140"/>
      </w:pPr>
      <w:r>
        <w:t xml:space="preserve"/>
      </w:r>
    </w:p>
    <w:tbl>
      <w:tblPr>
        <w:tblW w:type="dxa" w:w="9360"/>
        <w:tblBorders>
          <w:top w:val="single" w:color="A44A2A" w:sz="6"/>
          <w:left w:val="single" w:color="A44A2A" w:sz="6"/>
          <w:bottom w:val="single" w:color="A44A2A" w:sz="6"/>
          <w:right w:val="single" w:color="A44A2A" w:sz="6"/>
          <w:insideH w:val="none"/>
          <w:insideV w:val="none"/>
        </w:tblBorders>
      </w:tblPr>
      <w:tblGrid>
        <w:gridCol w:w="9360"/>
      </w:tblGrid>
      <w:tr>
        <w:tc>
          <w:tcPr>
            <w:tcW w:type="dxa" w:w="9360"/>
            <w:shd w:fill="FDF5F1" w:color="auto" w:val="clear"/>
            <w:tcMar>
              <w:top w:type="dxa" w:w="140"/>
              <w:left w:type="dxa" w:w="165"/>
              <w:bottom w:type="dxa" w:w="140"/>
              <w:right w:type="dxa" w:w="165"/>
            </w:tcMar>
          </w:tcPr>
          <w:p>
            <w:pPr>
              <w:spacing w:after="85"/>
            </w:pPr>
            <w:r>
              <w:rPr>
                <w:rFonts w:ascii="Calibri" w:cs="Calibri" w:eastAsia="Calibri" w:hAnsi="Calibri"/>
                <w:b/>
                <w:bCs/>
                <w:color w:val="A44A2A"/>
                <w:sz w:val="20"/>
                <w:szCs w:val="20"/>
              </w:rPr>
              <w:t xml:space="preserve">WHAT THESE NUMBERS ARE AND ARE NOT</w:t>
            </w:r>
          </w:p>
          <w:p>
            <w:pPr>
              <w:spacing w:after="65"/>
            </w:pPr>
            <w:r>
              <w:rPr>
                <w:rFonts w:ascii="Calibri" w:cs="Calibri" w:eastAsia="Calibri" w:hAnsi="Calibri"/>
                <w:color w:val="1B2432"/>
                <w:sz w:val="20"/>
                <w:szCs w:val="20"/>
              </w:rPr>
              <w:t xml:space="preserve">They are a shape, derived from the scenario distribution in Part 4 and the pattern maturity trajectory. They show direction and relative magnitude.</w:t>
            </w:r>
          </w:p>
          <w:p>
            <w:pPr>
              <w:spacing w:after="65"/>
            </w:pPr>
            <w:r>
              <w:rPr>
                <w:rFonts w:ascii="Calibri" w:cs="Calibri" w:eastAsia="Calibri" w:hAnsi="Calibri"/>
                <w:color w:val="1B2432"/>
                <w:sz w:val="20"/>
                <w:szCs w:val="20"/>
              </w:rPr>
              <w:t xml:space="preserve">They are not a forecast. The absolute figures depend on a baseline that does not currently exist — effort per intake per stage, and elapsed time per stage.</w:t>
            </w:r>
          </w:p>
          <w:p>
            <w:pPr>
              <w:spacing w:after="65"/>
            </w:pPr>
            <w:r>
              <w:rPr>
                <w:rFonts w:ascii="Calibri" w:cs="Calibri" w:eastAsia="Calibri" w:hAnsi="Calibri"/>
                <w:color w:val="1B2432"/>
                <w:sz w:val="20"/>
                <w:szCs w:val="20"/>
              </w:rPr>
              <w:t xml:space="preserve">The dip in Wave 1 is real and should be presented as such. Moving five engineers to platform work reduces delivery capacity before any lighter tier exists to compensate. A business case that hides this loses credibility in month four when it appears anyway.</w:t>
            </w:r>
          </w:p>
        </w:tc>
      </w:tr>
    </w:tbl>
    <w:p>
      <w:pPr>
        <w:pStyle w:val="Heading2"/>
        <w:spacing w:after="170" w:before="320"/>
      </w:pPr>
      <w:r>
        <w:rPr>
          <w:rFonts w:ascii="Cambria" w:cs="Cambria" w:eastAsia="Cambria" w:hAnsi="Cambria"/>
          <w:b/>
          <w:bCs/>
          <w:color w:val="15304F"/>
          <w:sz w:val="27"/>
          <w:szCs w:val="27"/>
        </w:rPr>
        <w:t xml:space="preserve">10.2 What must be measured before committing to numbers</w:t>
      </w:r>
    </w:p>
    <w:p>
      <w:pPr>
        <w:spacing w:after="130" w:before="0"/>
      </w:pPr>
      <w:r>
        <w:rPr>
          <w:rFonts w:ascii="Calibri" w:cs="Calibri" w:eastAsia="Calibri" w:hAnsi="Calibri"/>
          <w:b w:val="false"/>
          <w:bCs w:val="false"/>
          <w:i w:val="false"/>
          <w:iCs w:val="false"/>
          <w:color w:val="1B2432"/>
          <w:sz w:val="21"/>
          <w:szCs w:val="21"/>
        </w:rPr>
        <w:t xml:space="preserve">Three measurements are prerequisites. None is currently available, and all three are obtainable from completed intakes within a quarter.</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800"/>
        <w:gridCol w:w="6560"/>
      </w:tblGrid>
      <w:tr>
        <w:trPr>
          <w:tblHeader/>
        </w:trPr>
        <w:tc>
          <w:tcPr>
            <w:tcW w:type="dxa" w:w="28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Measurement</w:t>
            </w:r>
          </w:p>
        </w:tc>
        <w:tc>
          <w:tcPr>
            <w:tcW w:type="dxa" w:w="65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Why it is required</w:t>
            </w:r>
          </w:p>
        </w:tc>
      </w:tr>
      <w:tr>
        <w:tc>
          <w:tcPr>
            <w:tcW w:type="dxa" w:w="28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Effort per intake, by stage and by role, in person-days</w:t>
            </w:r>
          </w:p>
        </w:tc>
        <w:tc>
          <w:tcPr>
            <w:tcW w:type="dxa" w:w="6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Establishes what an intake actually costs today, and therefore what a lighter tier saves. Without it, every saving claim is an assertion.</w:t>
            </w:r>
          </w:p>
        </w:tc>
      </w:tr>
      <w:tr>
        <w:tc>
          <w:tcPr>
            <w:tcW w:type="dxa" w:w="28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Elapsed time per stage, from stage entry to stage exit</w:t>
            </w:r>
          </w:p>
        </w:tc>
        <w:tc>
          <w:tcPr>
            <w:tcW w:type="dxa" w:w="6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gap between effort and elapsed time is waiting. Most of the partner-visible benefit of the lighter tiers is removal of waiting, not removal of work — and the two cannot be distinguished without both measures.</w:t>
            </w:r>
          </w:p>
        </w:tc>
      </w:tr>
      <w:tr>
        <w:tc>
          <w:tcPr>
            <w:tcW w:type="dxa" w:w="28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Historical intake distribution against the tiering rubric</w:t>
            </w:r>
          </w:p>
        </w:tc>
        <w:tc>
          <w:tcPr>
            <w:tcW w:type="dxa" w:w="6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Retrospectively scoring the last twelve months of intakes tests whether the predicted distribution in Part 4 holds against real demand. If it does not, the rubric needs recalibrating before launch, not after.</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The third measurement is the cheapest and the most valuable. Scoring historical intakes against the rubric costs a few days and either validates the central assumption of this design or disproves it before anything is built.</w:t>
      </w:r>
    </w:p>
    <w:p>
      <w:pPr>
        <w:pStyle w:val="Heading2"/>
        <w:spacing w:after="170" w:before="320"/>
      </w:pPr>
      <w:r>
        <w:rPr>
          <w:rFonts w:ascii="Cambria" w:cs="Cambria" w:eastAsia="Cambria" w:hAnsi="Cambria"/>
          <w:b/>
          <w:bCs/>
          <w:color w:val="15304F"/>
          <w:sz w:val="27"/>
          <w:szCs w:val="27"/>
        </w:rPr>
        <w:t xml:space="preserve">10.3 Risks and mitigations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600"/>
        <w:gridCol w:w="1500"/>
        <w:gridCol w:w="5260"/>
      </w:tblGrid>
      <w:tr>
        <w:trPr>
          <w:tblHeader/>
        </w:trPr>
        <w:tc>
          <w:tcPr>
            <w:tcW w:type="dxa" w:w="26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Risk</w:t>
            </w:r>
          </w:p>
        </w:tc>
        <w:tc>
          <w:tcPr>
            <w:tcW w:type="dxa" w:w="1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Severity</w:t>
            </w:r>
          </w:p>
        </w:tc>
        <w:tc>
          <w:tcPr>
            <w:tcW w:type="dxa" w:w="52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Mitigation</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Platform team is raided for delivery work</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Critical</w:t>
            </w:r>
          </w:p>
        </w:tc>
        <w:tc>
          <w:tcPr>
            <w:tcW w:type="dxa" w:w="52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Explicit leadership protection; monitored as a model guardrail; escalation on any occurrence.</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Lean opens before patterns are mature</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Critical</w:t>
            </w:r>
          </w:p>
        </w:tc>
        <w:tc>
          <w:tcPr>
            <w:tcW w:type="dxa" w:w="52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Pattern maturity is a hard constraint on tier availability, not a guideline. M3 required for Lean.</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Partners resist assigned tiering</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High</w:t>
            </w:r>
          </w:p>
        </w:tc>
        <w:tc>
          <w:tcPr>
            <w:tcW w:type="dxa" w:w="52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Published rubric, recorded justification, one-step appeal, and the commercial reframing that Dedicated is the slowest tier.</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Governance determinations become the bottleneck</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High</w:t>
            </w:r>
          </w:p>
        </w:tc>
        <w:tc>
          <w:tcPr>
            <w:tcW w:type="dxa" w:w="52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Published determination service level; Desk resourced against measured demand; submission assembly moved off the Desk.</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Patterns are not harvested</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High</w:t>
            </w:r>
          </w:p>
        </w:tc>
        <w:tc>
          <w:tcPr>
            <w:tcW w:type="dxa" w:w="52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Closure condition on Dedicated intakes; monitored as pattern debt.</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Compliance function rejects the lighter tiers</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High</w:t>
            </w:r>
          </w:p>
        </w:tc>
        <w:tc>
          <w:tcPr>
            <w:tcW w:type="dxa" w:w="52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Invariant gates identical across tiers; platform-enforced rather than attention-enforced; spot-audit of completed Lean intakes.</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Transition dip is longer than planned</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Moderate</w:t>
            </w:r>
          </w:p>
        </w:tc>
        <w:tc>
          <w:tcPr>
            <w:tcW w:type="dxa" w:w="52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Waves sequenced so Lean+ delivers value before Lean; intermediate value is visible from month four.</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Clinic is under-sized</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Moderate</w:t>
            </w:r>
          </w:p>
        </w:tc>
        <w:tc>
          <w:tcPr>
            <w:tcW w:type="dxa" w:w="52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Demand-against-capacity monitored weekly; patterns pulled back to a heavier tier rather than leaving partners unserved.</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Skills gap in new roles, particularly Pattern Engineer</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Moderate</w:t>
            </w:r>
          </w:p>
        </w:tc>
        <w:tc>
          <w:tcPr>
            <w:tcW w:type="dxa" w:w="52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Identify and develop candidates during Wave 0; consider external hire for the first pattern engineering role.</w:t>
            </w:r>
          </w:p>
        </w:tc>
      </w:tr>
    </w:tbl>
    <w:p>
      <w:pPr>
        <w:pStyle w:val="Heading2"/>
        <w:spacing w:after="170" w:before="320"/>
      </w:pPr>
      <w:r>
        <w:rPr>
          <w:rFonts w:ascii="Cambria" w:cs="Cambria" w:eastAsia="Cambria" w:hAnsi="Cambria"/>
          <w:b/>
          <w:bCs/>
          <w:color w:val="15304F"/>
          <w:sz w:val="27"/>
          <w:szCs w:val="27"/>
        </w:rPr>
        <w:t xml:space="preserve">10.4 Success measures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900"/>
        <w:gridCol w:w="3200"/>
        <w:gridCol w:w="3260"/>
      </w:tblGrid>
      <w:tr>
        <w:trPr>
          <w:tblHeader/>
        </w:trPr>
        <w:tc>
          <w:tcPr>
            <w:tcW w:type="dxa" w:w="29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Measure</w:t>
            </w:r>
          </w:p>
        </w:tc>
        <w:tc>
          <w:tcPr>
            <w:tcW w:type="dxa" w:w="32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Why it matters</w:t>
            </w:r>
          </w:p>
        </w:tc>
        <w:tc>
          <w:tcPr>
            <w:tcW w:type="dxa" w:w="32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Target direction</w:t>
            </w:r>
          </w:p>
        </w:tc>
      </w:tr>
      <w:tr>
        <w:tc>
          <w:tcPr>
            <w:tcW w:type="dxa" w:w="29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Share of intakes routed to Lean or Lean+</w:t>
            </w:r>
          </w:p>
        </w:tc>
        <w:tc>
          <w:tcPr>
            <w:tcW w:type="dxa" w:w="3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Direct measure of whether pattern investment is working</w:t>
            </w:r>
          </w:p>
        </w:tc>
        <w:tc>
          <w:tcPr>
            <w:tcW w:type="dxa" w:w="32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Rising; 60%+ combined by steady state</w:t>
            </w:r>
          </w:p>
        </w:tc>
      </w:tr>
      <w:tr>
        <w:tc>
          <w:tcPr>
            <w:tcW w:type="dxa" w:w="29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Pattern maturity distribution</w:t>
            </w:r>
          </w:p>
        </w:tc>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Leading indicator of future tier distribution</w:t>
            </w:r>
          </w:p>
        </w:tc>
        <w:tc>
          <w:tcPr>
            <w:tcW w:type="dxa" w:w="32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Patterns moving M0 → M1 → M2 → M3 continuously</w:t>
            </w:r>
          </w:p>
        </w:tc>
      </w:tr>
      <w:tr>
        <w:tc>
          <w:tcPr>
            <w:tcW w:type="dxa" w:w="29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Pattern candidates produced per Dedicated closure</w:t>
            </w:r>
          </w:p>
        </w:tc>
        <w:tc>
          <w:tcPr>
            <w:tcW w:type="dxa" w:w="3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Whether the compounding mechanism is functioning</w:t>
            </w:r>
          </w:p>
        </w:tc>
        <w:tc>
          <w:tcPr>
            <w:tcW w:type="dxa" w:w="32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One per closure, no exceptions</w:t>
            </w:r>
          </w:p>
        </w:tc>
      </w:tr>
      <w:tr>
        <w:tc>
          <w:tcPr>
            <w:tcW w:type="dxa" w:w="29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Elapsed time from intake to go-live, by tier</w:t>
            </w:r>
          </w:p>
        </w:tc>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Partner-visible outcome</w:t>
            </w:r>
          </w:p>
        </w:tc>
        <w:tc>
          <w:tcPr>
            <w:tcW w:type="dxa" w:w="32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Falling, with Lean materially below Dedicated</w:t>
            </w:r>
          </w:p>
        </w:tc>
      </w:tr>
      <w:tr>
        <w:tc>
          <w:tcPr>
            <w:tcW w:type="dxa" w:w="29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Escalation rate out of Lean</w:t>
            </w:r>
          </w:p>
        </w:tc>
        <w:tc>
          <w:tcPr>
            <w:tcW w:type="dxa" w:w="3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Whether tiering is accurate</w:t>
            </w:r>
          </w:p>
        </w:tc>
        <w:tc>
          <w:tcPr>
            <w:tcW w:type="dxa" w:w="32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Below 20%</w:t>
            </w:r>
          </w:p>
        </w:tc>
      </w:tr>
      <w:tr>
        <w:tc>
          <w:tcPr>
            <w:tcW w:type="dxa" w:w="29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Gate failure rate by pattern</w:t>
            </w:r>
          </w:p>
        </w:tc>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Where patterns are unclear or wrong</w:t>
            </w:r>
          </w:p>
        </w:tc>
        <w:tc>
          <w:tcPr>
            <w:tcW w:type="dxa" w:w="32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Falling per pattern version</w:t>
            </w:r>
          </w:p>
        </w:tc>
      </w:tr>
      <w:tr>
        <w:tc>
          <w:tcPr>
            <w:tcW w:type="dxa" w:w="29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Intakes absorbed per period at constant headcount</w:t>
            </w:r>
          </w:p>
        </w:tc>
        <w:tc>
          <w:tcPr>
            <w:tcW w:type="dxa" w:w="3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headline capacity outcome</w:t>
            </w:r>
          </w:p>
        </w:tc>
        <w:tc>
          <w:tcPr>
            <w:tcW w:type="dxa" w:w="32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Rising after Wave 1</w:t>
            </w:r>
          </w:p>
        </w:tc>
      </w:tr>
      <w:tr>
        <w:tc>
          <w:tcPr>
            <w:tcW w:type="dxa" w:w="29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Compliance findings on completed intakes</w:t>
            </w:r>
          </w:p>
        </w:tc>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Whether lighter tiers are safe</w:t>
            </w:r>
          </w:p>
        </w:tc>
        <w:tc>
          <w:tcPr>
            <w:tcW w:type="dxa" w:w="32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 increase relative to current baseline</w:t>
            </w:r>
          </w:p>
        </w:tc>
      </w:tr>
    </w:tbl>
    <w:p>
      <w:pPr>
        <w:pStyle w:val="Heading2"/>
        <w:spacing w:after="170" w:before="320"/>
      </w:pPr>
      <w:r>
        <w:rPr>
          <w:rFonts w:ascii="Cambria" w:cs="Cambria" w:eastAsia="Cambria" w:hAnsi="Cambria"/>
          <w:b/>
          <w:bCs/>
          <w:color w:val="15304F"/>
          <w:sz w:val="27"/>
          <w:szCs w:val="27"/>
        </w:rPr>
        <w:t xml:space="preserve">10.5 Decisions required from leadership</w:t>
      </w:r>
    </w:p>
    <w:p>
      <w:pPr>
        <w:spacing w:after="130" w:before="0"/>
      </w:pPr>
      <w:r>
        <w:rPr>
          <w:rFonts w:ascii="Calibri" w:cs="Calibri" w:eastAsia="Calibri" w:hAnsi="Calibri"/>
          <w:b w:val="false"/>
          <w:bCs w:val="false"/>
          <w:i w:val="false"/>
          <w:iCs w:val="false"/>
          <w:color w:val="1B2432"/>
          <w:sz w:val="21"/>
          <w:szCs w:val="21"/>
        </w:rPr>
        <w:t xml:space="preserve">This design cannot proceed on general endorsement. Six specific decisions are needed.</w:t>
      </w:r>
    </w:p>
    <w:p>
      <w:pPr>
        <w:pStyle w:val="ListParagraph"/>
        <w:numPr>
          <w:ilvl w:val="0"/>
          <w:numId w:val="6"/>
        </w:numPr>
        <w:spacing w:after="75"/>
      </w:pPr>
      <w:r>
        <w:rPr>
          <w:rFonts w:ascii="Calibri" w:cs="Calibri" w:eastAsia="Calibri" w:hAnsi="Calibri"/>
          <w:color w:val="1B2432"/>
          <w:sz w:val="21"/>
          <w:szCs w:val="21"/>
        </w:rPr>
        <w:t xml:space="preserve">Approve the principle that enablement tier is assigned by ECM against a published rubric, and is not selected by the partner.</w:t>
      </w:r>
    </w:p>
    <w:p>
      <w:pPr>
        <w:pStyle w:val="ListParagraph"/>
        <w:numPr>
          <w:ilvl w:val="0"/>
          <w:numId w:val="6"/>
        </w:numPr>
        <w:spacing w:after="75"/>
      </w:pPr>
      <w:r>
        <w:rPr>
          <w:rFonts w:ascii="Calibri" w:cs="Calibri" w:eastAsia="Calibri" w:hAnsi="Calibri"/>
          <w:color w:val="1B2432"/>
          <w:sz w:val="21"/>
          <w:szCs w:val="21"/>
        </w:rPr>
        <w:t xml:space="preserve">Approve the creation of a Platform Engineering function funded from existing delivery capacity, and commit to protecting it from intake work.</w:t>
      </w:r>
    </w:p>
    <w:p>
      <w:pPr>
        <w:pStyle w:val="ListParagraph"/>
        <w:numPr>
          <w:ilvl w:val="0"/>
          <w:numId w:val="6"/>
        </w:numPr>
        <w:spacing w:after="75"/>
      </w:pPr>
      <w:r>
        <w:rPr>
          <w:rFonts w:ascii="Calibri" w:cs="Calibri" w:eastAsia="Calibri" w:hAnsi="Calibri"/>
          <w:color w:val="1B2432"/>
          <w:sz w:val="21"/>
          <w:szCs w:val="21"/>
        </w:rPr>
        <w:t xml:space="preserve">Accept a planned reduction in delivery throughput during Wave 1, with a stated window and a stated recovery point.</w:t>
      </w:r>
    </w:p>
    <w:p>
      <w:pPr>
        <w:pStyle w:val="ListParagraph"/>
        <w:numPr>
          <w:ilvl w:val="0"/>
          <w:numId w:val="6"/>
        </w:numPr>
        <w:spacing w:after="75"/>
      </w:pPr>
      <w:r>
        <w:rPr>
          <w:rFonts w:ascii="Calibri" w:cs="Calibri" w:eastAsia="Calibri" w:hAnsi="Calibri"/>
          <w:color w:val="1B2432"/>
          <w:sz w:val="21"/>
          <w:szCs w:val="21"/>
        </w:rPr>
        <w:t xml:space="preserve">Approve the separation of migration and remediation into a Factory operating on campaigns, with its own measures.</w:t>
      </w:r>
    </w:p>
    <w:p>
      <w:pPr>
        <w:pStyle w:val="ListParagraph"/>
        <w:numPr>
          <w:ilvl w:val="0"/>
          <w:numId w:val="6"/>
        </w:numPr>
        <w:spacing w:after="75"/>
      </w:pPr>
      <w:r>
        <w:rPr>
          <w:rFonts w:ascii="Calibri" w:cs="Calibri" w:eastAsia="Calibri" w:hAnsi="Calibri"/>
          <w:color w:val="1B2432"/>
          <w:sz w:val="21"/>
          <w:szCs w:val="21"/>
        </w:rPr>
        <w:t xml:space="preserve">Endorse the invariant gates as identical across all tiers, and sponsor the conversation with risk, audit and compliance functions on that basis.</w:t>
      </w:r>
    </w:p>
    <w:p>
      <w:pPr>
        <w:pStyle w:val="ListParagraph"/>
        <w:numPr>
          <w:ilvl w:val="0"/>
          <w:numId w:val="6"/>
        </w:numPr>
        <w:spacing w:after="75"/>
      </w:pPr>
      <w:r>
        <w:rPr>
          <w:rFonts w:ascii="Calibri" w:cs="Calibri" w:eastAsia="Calibri" w:hAnsi="Calibri"/>
          <w:color w:val="1B2432"/>
          <w:sz w:val="21"/>
          <w:szCs w:val="21"/>
        </w:rPr>
        <w:t xml:space="preserve">Commission the three baseline measurements in Part 10.2 immediately, independently of any decision on the rest — they are cheap, they are needed regardless, and the third one tests this design's central assumption.</w:t>
      </w:r>
    </w:p>
    <w:tbl>
      <w:tblPr>
        <w:tblW w:type="dxa" w:w="9360"/>
        <w:tblBorders>
          <w:top w:val="single" w:color="15304F" w:sz="6"/>
          <w:left w:val="single" w:color="15304F" w:sz="6"/>
          <w:bottom w:val="single" w:color="15304F" w:sz="6"/>
          <w:right w:val="single" w:color="15304F" w:sz="6"/>
          <w:insideH w:val="none"/>
          <w:insideV w:val="none"/>
        </w:tblBorders>
      </w:tblPr>
      <w:tblGrid>
        <w:gridCol w:w="9360"/>
      </w:tblGrid>
      <w:tr>
        <w:tc>
          <w:tcPr>
            <w:tcW w:type="dxa" w:w="9360"/>
            <w:shd w:fill="EEF2F7" w:color="auto" w:val="clear"/>
            <w:tcMar>
              <w:top w:type="dxa" w:w="140"/>
              <w:left w:type="dxa" w:w="165"/>
              <w:bottom w:type="dxa" w:w="140"/>
              <w:right w:type="dxa" w:w="165"/>
            </w:tcMar>
          </w:tcPr>
          <w:p>
            <w:pPr>
              <w:spacing w:after="85"/>
            </w:pPr>
            <w:r>
              <w:rPr>
                <w:rFonts w:ascii="Calibri" w:cs="Calibri" w:eastAsia="Calibri" w:hAnsi="Calibri"/>
                <w:b/>
                <w:bCs/>
                <w:color w:val="15304F"/>
                <w:sz w:val="20"/>
                <w:szCs w:val="20"/>
              </w:rPr>
              <w:t xml:space="preserve">IF ONLY ONE DECISION IS TAKEN NOW</w:t>
            </w:r>
          </w:p>
          <w:p>
            <w:pPr>
              <w:spacing w:after="65"/>
            </w:pPr>
            <w:r>
              <w:rPr>
                <w:rFonts w:ascii="Calibri" w:cs="Calibri" w:eastAsia="Calibri" w:hAnsi="Calibri"/>
                <w:color w:val="1B2432"/>
                <w:sz w:val="20"/>
                <w:szCs w:val="20"/>
              </w:rPr>
              <w:t xml:space="preserve">Commission the historical scoring exercise in Part 10.2.</w:t>
            </w:r>
          </w:p>
          <w:p>
            <w:pPr>
              <w:spacing w:after="65"/>
            </w:pPr>
            <w:r>
              <w:rPr>
                <w:rFonts w:ascii="Calibri" w:cs="Calibri" w:eastAsia="Calibri" w:hAnsi="Calibri"/>
                <w:color w:val="1B2432"/>
                <w:sz w:val="20"/>
                <w:szCs w:val="20"/>
              </w:rPr>
              <w:t xml:space="preserve">Scoring the last twelve months of intakes against the tiering rubric costs a few days of analyst effort and answers the only question that really matters: how much of ECM's actual demand could run in a lighter tier if the platform existed.</w:t>
            </w:r>
          </w:p>
          <w:p>
            <w:pPr>
              <w:spacing w:after="65"/>
            </w:pPr>
            <w:r>
              <w:rPr>
                <w:rFonts w:ascii="Calibri" w:cs="Calibri" w:eastAsia="Calibri" w:hAnsi="Calibri"/>
                <w:color w:val="1B2432"/>
                <w:sz w:val="20"/>
                <w:szCs w:val="20"/>
              </w:rPr>
              <w:t xml:space="preserve">If the answer is close to the distribution predicted in Part 4, the rest of this design is worth building. If it is materially lower, the rubric or the model needs rethinking — and far better to learn that now than after nine engineers have been moved.</w:t>
            </w:r>
          </w:p>
        </w:tc>
      </w:tr>
    </w:tbl>
    <w:p>
      <w:r>
        <w:br w:type="page"/>
      </w:r>
    </w:p>
    <w:p>
      <w:pPr>
        <w:pStyle w:val="Heading1"/>
        <w:spacing w:after="220" w:before="400"/>
      </w:pPr>
      <w:r>
        <w:rPr>
          <w:rFonts w:ascii="Cambria" w:cs="Cambria" w:eastAsia="Cambria" w:hAnsi="Cambria"/>
          <w:b/>
          <w:bCs/>
          <w:color w:val="15304F"/>
          <w:sz w:val="34"/>
          <w:szCs w:val="34"/>
        </w:rPr>
        <w:t xml:space="preserve">Part 11 — Phase 1: The Manual Approach</w:t>
      </w:r>
    </w:p>
    <w:p>
      <w:pPr>
        <w:spacing w:after="130" w:before="0"/>
      </w:pPr>
      <w:r>
        <w:rPr>
          <w:rFonts w:ascii="Calibri" w:cs="Calibri" w:eastAsia="Calibri" w:hAnsi="Calibri"/>
          <w:b w:val="false"/>
          <w:bCs w:val="false"/>
          <w:i w:val="false"/>
          <w:iCs w:val="false"/>
          <w:color w:val="1B2432"/>
          <w:sz w:val="21"/>
          <w:szCs w:val="21"/>
        </w:rPr>
        <w:t xml:space="preserve">Parts 1 to 10 describe an operating model and the platform that supports it. This part describes how that model is run from Day 1 with no platform at all — no tooling, no automation, no agents, no build of any kind — using only written guidance, a changed triage conversation, and a shared pool drawn from the squads that already exist.</w:t>
      </w:r>
    </w:p>
    <w:p>
      <w:pPr>
        <w:spacing w:after="120" w:before="120"/>
      </w:pPr>
      <w:r>
        <w:rPr>
          <w:rFonts w:ascii="Calibri" w:cs="Calibri" w:eastAsia="Calibri" w:hAnsi="Calibri"/>
          <w:b/>
          <w:bCs/>
          <w:i w:val="false"/>
          <w:iCs w:val="false"/>
          <w:color w:val="15304F"/>
          <w:sz w:val="23"/>
          <w:szCs w:val="23"/>
        </w:rPr>
        <w:t xml:space="preserve">The manual approach is not a lesser version of the model. It is the same model, executed by people — and it is how the organisation earns the right to automate it.</w:t>
      </w:r>
    </w:p>
    <w:p>
      <w:pPr>
        <w:pStyle w:val="Heading2"/>
        <w:spacing w:after="170" w:before="320"/>
      </w:pPr>
      <w:r>
        <w:rPr>
          <w:rFonts w:ascii="Cambria" w:cs="Cambria" w:eastAsia="Cambria" w:hAnsi="Cambria"/>
          <w:b/>
          <w:bCs/>
          <w:color w:val="15304F"/>
          <w:sz w:val="27"/>
          <w:szCs w:val="27"/>
        </w:rPr>
        <w:t xml:space="preserve">11.1 Two phases, and why this order</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1500"/>
        <w:gridCol w:w="3800"/>
        <w:gridCol w:w="4060"/>
      </w:tblGrid>
      <w:tr>
        <w:trPr>
          <w:tblHeader/>
        </w:trPr>
        <w:tc>
          <w:tcPr>
            <w:tcW w:type="dxa" w:w="1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
            </w:r>
          </w:p>
        </w:tc>
        <w:tc>
          <w:tcPr>
            <w:tcW w:type="dxa" w:w="38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Phase 1 — Manual</w:t>
            </w:r>
          </w:p>
        </w:tc>
        <w:tc>
          <w:tcPr>
            <w:tcW w:type="dxa" w:w="40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Phase 2 — Automated and AI-assisted</w:t>
            </w:r>
          </w:p>
        </w:tc>
      </w:tr>
      <w:tr>
        <w:tc>
          <w:tcPr>
            <w:tcW w:type="dxa" w:w="1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What changes</w:t>
            </w:r>
          </w:p>
        </w:tc>
        <w:tc>
          <w:tcPr>
            <w:tcW w:type="dxa" w:w="38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triage conversation, who assigns the tier, and how capacity is organised</w:t>
            </w:r>
          </w:p>
        </w:tc>
        <w:tc>
          <w:tcPr>
            <w:tcW w:type="dxa" w:w="40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platform that makes the lighter tiers scale and removes the clerical load</w:t>
            </w:r>
          </w:p>
        </w:tc>
      </w:tr>
      <w:tr>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What is built</w:t>
            </w:r>
          </w:p>
        </w:tc>
        <w:tc>
          <w:tcPr>
            <w:tcW w:type="dxa" w:w="38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Nothing. Written guidance only.</w:t>
            </w:r>
          </w:p>
        </w:tc>
        <w:tc>
          <w:tcPr>
            <w:tcW w:type="dxa" w:w="40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Enablement record, pattern catalogue, provisioning, gates, cockpit, AI assistance</w:t>
            </w:r>
          </w:p>
        </w:tc>
      </w:tr>
      <w:tr>
        <w:tc>
          <w:tcPr>
            <w:tcW w:type="dxa" w:w="1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Investment</w:t>
            </w:r>
          </w:p>
        </w:tc>
        <w:tc>
          <w:tcPr>
            <w:tcW w:type="dxa" w:w="38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Roughly two weeks of preparation by people who already hold the knowledge</w:t>
            </w:r>
          </w:p>
        </w:tc>
        <w:tc>
          <w:tcPr>
            <w:tcW w:type="dxa" w:w="40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Four sprints, five to six people protected from delivery</w:t>
            </w:r>
          </w:p>
        </w:tc>
      </w:tr>
      <w:tr>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Duration</w:t>
            </w:r>
          </w:p>
        </w:tc>
        <w:tc>
          <w:tcPr>
            <w:tcW w:type="dxa" w:w="38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One quarter</w:t>
            </w:r>
          </w:p>
        </w:tc>
        <w:tc>
          <w:tcPr>
            <w:tcW w:type="dxa" w:w="40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Eight weeks to first proof, then wave-based</w:t>
            </w:r>
          </w:p>
        </w:tc>
      </w:tr>
      <w:tr>
        <w:tc>
          <w:tcPr>
            <w:tcW w:type="dxa" w:w="1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Risk if it fails</w:t>
            </w:r>
          </w:p>
        </w:tc>
        <w:tc>
          <w:tcPr>
            <w:tcW w:type="dxa" w:w="38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quarter of process change. Nothing is stranded.</w:t>
            </w:r>
          </w:p>
        </w:tc>
        <w:tc>
          <w:tcPr>
            <w:tcW w:type="dxa" w:w="40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Engineering capacity committed against an unproven model</w:t>
            </w:r>
          </w:p>
        </w:tc>
      </w:tr>
      <w:tr>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What it produces</w:t>
            </w:r>
          </w:p>
        </w:tc>
        <w:tc>
          <w:tcPr>
            <w:tcW w:type="dxa" w:w="38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Evidence: the real distribution, the real baseline, the real bottleneck</w:t>
            </w:r>
          </w:p>
        </w:tc>
        <w:tc>
          <w:tcPr>
            <w:tcW w:type="dxa" w:w="40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Capacity decoupled from demand</w:t>
            </w:r>
          </w:p>
        </w:tc>
      </w:tr>
      <w:tr>
        <w:tc>
          <w:tcPr>
            <w:tcW w:type="dxa" w:w="1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Approval needed</w:t>
            </w:r>
          </w:p>
        </w:tc>
        <w:tc>
          <w:tcPr>
            <w:tcW w:type="dxa" w:w="38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decision to change how triage runs</w:t>
            </w:r>
          </w:p>
        </w:tc>
        <w:tc>
          <w:tcPr>
            <w:tcW w:type="dxa" w:w="40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business case built on Phase 1 evidence</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The sequencing argument is simple. Every number in the business case for Phase 2 — the tier distribution, the effort baseline, the elapsed-time baseline, the size of the clerical load — does not currently exist. Phase 1 produces all of them as a by-product of running. Building first means committing engineering capacity against assumptions; running first means committing it against measurements.</w:t>
      </w:r>
    </w:p>
    <w:tbl>
      <w:tblPr>
        <w:tblW w:type="dxa" w:w="9360"/>
        <w:tblBorders>
          <w:top w:val="single" w:color="15304F" w:sz="6"/>
          <w:left w:val="single" w:color="15304F" w:sz="6"/>
          <w:bottom w:val="single" w:color="15304F" w:sz="6"/>
          <w:right w:val="single" w:color="15304F" w:sz="6"/>
          <w:insideH w:val="none"/>
          <w:insideV w:val="none"/>
        </w:tblBorders>
      </w:tblPr>
      <w:tblGrid>
        <w:gridCol w:w="9360"/>
      </w:tblGrid>
      <w:tr>
        <w:tc>
          <w:tcPr>
            <w:tcW w:type="dxa" w:w="9360"/>
            <w:shd w:fill="EEF2F7" w:color="auto" w:val="clear"/>
            <w:tcMar>
              <w:top w:type="dxa" w:w="140"/>
              <w:left w:type="dxa" w:w="165"/>
              <w:bottom w:type="dxa" w:w="140"/>
              <w:right w:type="dxa" w:w="165"/>
            </w:tcMar>
          </w:tcPr>
          <w:p>
            <w:pPr>
              <w:spacing w:after="85"/>
            </w:pPr>
            <w:r>
              <w:rPr>
                <w:rFonts w:ascii="Calibri" w:cs="Calibri" w:eastAsia="Calibri" w:hAnsi="Calibri"/>
                <w:b/>
                <w:bCs/>
                <w:color w:val="15304F"/>
                <w:sz w:val="20"/>
                <w:szCs w:val="20"/>
              </w:rPr>
              <w:t xml:space="preserve">WHAT PHASE 1 IS ACTUALLY TESTING</w:t>
            </w:r>
          </w:p>
          <w:p>
            <w:pPr>
              <w:spacing w:after="65"/>
            </w:pPr>
            <w:r>
              <w:rPr>
                <w:rFonts w:ascii="Calibri" w:cs="Calibri" w:eastAsia="Calibri" w:hAnsi="Calibri"/>
                <w:color w:val="1B2432"/>
                <w:sz w:val="20"/>
                <w:szCs w:val="20"/>
              </w:rPr>
              <w:t xml:space="preserve">Does the tiering rubric produce a workable distribution against real demand, or does everything score as Dedicated?</w:t>
            </w:r>
          </w:p>
          <w:p>
            <w:pPr>
              <w:spacing w:after="65"/>
            </w:pPr>
            <w:r>
              <w:rPr>
                <w:rFonts w:ascii="Calibri" w:cs="Calibri" w:eastAsia="Calibri" w:hAnsi="Calibri"/>
                <w:color w:val="1B2432"/>
                <w:sz w:val="20"/>
                <w:szCs w:val="20"/>
              </w:rPr>
              <w:t xml:space="preserve">Do the lighter tiers hold, or does every Lean+ intake quietly escalate?</w:t>
            </w:r>
          </w:p>
          <w:p>
            <w:pPr>
              <w:spacing w:after="65"/>
            </w:pPr>
            <w:r>
              <w:rPr>
                <w:rFonts w:ascii="Calibri" w:cs="Calibri" w:eastAsia="Calibri" w:hAnsi="Calibri"/>
                <w:color w:val="1B2432"/>
                <w:sz w:val="20"/>
                <w:szCs w:val="20"/>
              </w:rPr>
              <w:t xml:space="preserve">Do partners accept a tier they did not choose?</w:t>
            </w:r>
          </w:p>
          <w:p>
            <w:pPr>
              <w:spacing w:after="65"/>
            </w:pPr>
            <w:r>
              <w:rPr>
                <w:rFonts w:ascii="Calibri" w:cs="Calibri" w:eastAsia="Calibri" w:hAnsi="Calibri"/>
                <w:color w:val="1B2432"/>
                <w:sz w:val="20"/>
                <w:szCs w:val="20"/>
              </w:rPr>
              <w:t xml:space="preserve">Does a deeper triage conversation measurably reduce clarification cycles?</w:t>
            </w:r>
          </w:p>
          <w:p>
            <w:pPr>
              <w:spacing w:after="65"/>
            </w:pPr>
            <w:r>
              <w:rPr>
                <w:rFonts w:ascii="Calibri" w:cs="Calibri" w:eastAsia="Calibri" w:hAnsi="Calibri"/>
                <w:color w:val="1B2432"/>
                <w:sz w:val="20"/>
                <w:szCs w:val="20"/>
              </w:rPr>
              <w:t xml:space="preserve">Where does the residual manual effort concentrate once the model is running — because that, and not a design assumption, is the automation backlog.</w:t>
            </w:r>
          </w:p>
          <w:p>
            <w:pPr>
              <w:spacing w:after="65"/>
            </w:pPr>
            <w:r>
              <w:rPr>
                <w:rFonts w:ascii="Calibri" w:cs="Calibri" w:eastAsia="Calibri" w:hAnsi="Calibri"/>
                <w:color w:val="1B2432"/>
                <w:sz w:val="20"/>
                <w:szCs w:val="20"/>
              </w:rPr>
              <w:t xml:space="preserve">If any of the first four fail, the model needs rework before a single engineer is moved. That is the value of running first.</w:t>
            </w:r>
          </w:p>
        </w:tc>
      </w:tr>
    </w:tbl>
    <w:p>
      <w:pPr>
        <w:pStyle w:val="Heading2"/>
        <w:spacing w:after="170" w:before="320"/>
      </w:pPr>
      <w:r>
        <w:rPr>
          <w:rFonts w:ascii="Cambria" w:cs="Cambria" w:eastAsia="Cambria" w:hAnsi="Cambria"/>
          <w:b/>
          <w:bCs/>
          <w:color w:val="15304F"/>
          <w:sz w:val="27"/>
          <w:szCs w:val="27"/>
        </w:rPr>
        <w:t xml:space="preserve">11.2 What 'manual' means precisely</w:t>
      </w:r>
    </w:p>
    <w:p>
      <w:pPr>
        <w:spacing w:after="130" w:before="0"/>
      </w:pPr>
      <w:r>
        <w:rPr>
          <w:rFonts w:ascii="Calibri" w:cs="Calibri" w:eastAsia="Calibri" w:hAnsi="Calibri"/>
          <w:b w:val="false"/>
          <w:bCs w:val="false"/>
          <w:i w:val="false"/>
          <w:iCs w:val="false"/>
          <w:color w:val="1B2432"/>
          <w:sz w:val="21"/>
          <w:szCs w:val="21"/>
        </w:rPr>
        <w:t xml:space="preserve">Every mechanism in the platform design has a human equivalent. The manual approach is the systematic substitution of a person and a piece of paper for each one.</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3200"/>
        <w:gridCol w:w="3080"/>
        <w:gridCol w:w="3080"/>
      </w:tblGrid>
      <w:tr>
        <w:trPr>
          <w:tblHeader/>
        </w:trPr>
        <w:tc>
          <w:tcPr>
            <w:tcW w:type="dxa" w:w="32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Platform mechanism (Phase 2)</w:t>
            </w:r>
          </w:p>
        </w:tc>
        <w:tc>
          <w:tcPr>
            <w:tcW w:type="dxa" w:w="308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Manual equivalent (Phase 1)</w:t>
            </w:r>
          </w:p>
        </w:tc>
        <w:tc>
          <w:tcPr>
            <w:tcW w:type="dxa" w:w="308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What is lost</w:t>
            </w:r>
          </w:p>
        </w:tc>
      </w:tr>
      <w:tr>
        <w:tc>
          <w:tcPr>
            <w:tcW w:type="dxa" w:w="32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Intake copilot</w:t>
            </w:r>
          </w:p>
        </w:tc>
        <w:tc>
          <w:tcPr>
            <w:tcW w:type="dxa" w:w="30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structured triage conversation, worked from a written question guide</w:t>
            </w:r>
          </w:p>
        </w:tc>
        <w:tc>
          <w:tcPr>
            <w:tcW w:type="dxa" w:w="30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 cannot self-serve; the conversation needs a skilled lead and real time</w:t>
            </w:r>
          </w:p>
        </w:tc>
      </w:tr>
      <w:tr>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Intake data catalogue and why-register</w:t>
            </w:r>
          </w:p>
        </w:tc>
        <w:tc>
          <w:tcPr>
            <w:tcW w:type="dxa" w:w="30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same content as a written guide the triage lead works from</w:t>
            </w:r>
          </w:p>
        </w:tc>
        <w:tc>
          <w:tcPr>
            <w:tcW w:type="dxa" w:w="30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Nothing material — the knowledge is the asset either way</w:t>
            </w:r>
          </w:p>
        </w:tc>
      </w:tr>
      <w:tr>
        <w:tc>
          <w:tcPr>
            <w:tcW w:type="dxa" w:w="32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Completeness validation</w:t>
            </w:r>
          </w:p>
        </w:tc>
        <w:tc>
          <w:tcPr>
            <w:tcW w:type="dxa" w:w="30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lead scores the intake against the published bands</w:t>
            </w:r>
          </w:p>
        </w:tc>
        <w:tc>
          <w:tcPr>
            <w:tcW w:type="dxa" w:w="30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Consistency depends on the lead; no automatic block</w:t>
            </w:r>
          </w:p>
        </w:tc>
      </w:tr>
      <w:tr>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Gap register</w:t>
            </w:r>
          </w:p>
        </w:tc>
        <w:tc>
          <w:tcPr>
            <w:tcW w:type="dxa" w:w="30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gaps table on the intake record with owner and due date</w:t>
            </w:r>
          </w:p>
        </w:tc>
        <w:tc>
          <w:tcPr>
            <w:tcW w:type="dxa" w:w="30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 automatic ageing or chasing</w:t>
            </w:r>
          </w:p>
        </w:tc>
      </w:tr>
      <w:tr>
        <w:tc>
          <w:tcPr>
            <w:tcW w:type="dxa" w:w="32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Handoff contract</w:t>
            </w:r>
          </w:p>
        </w:tc>
        <w:tc>
          <w:tcPr>
            <w:tcW w:type="dxa" w:w="30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one-page Triage Outcome Record the lead completes</w:t>
            </w:r>
          </w:p>
        </w:tc>
        <w:tc>
          <w:tcPr>
            <w:tcW w:type="dxa" w:w="30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Produced by hand, so quality varies</w:t>
            </w:r>
          </w:p>
        </w:tc>
      </w:tr>
      <w:tr>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Tiering assistant</w:t>
            </w:r>
          </w:p>
        </w:tc>
        <w:tc>
          <w:tcPr>
            <w:tcW w:type="dxa" w:w="30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lead scores the seven determinants on a scoring sheet</w:t>
            </w:r>
          </w:p>
        </w:tc>
        <w:tc>
          <w:tcPr>
            <w:tcW w:type="dxa" w:w="30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Scoring takes time and varies between leads until calibrated</w:t>
            </w:r>
          </w:p>
        </w:tc>
      </w:tr>
      <w:tr>
        <w:tc>
          <w:tcPr>
            <w:tcW w:type="dxa" w:w="32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Pattern matcher</w:t>
            </w:r>
          </w:p>
        </w:tc>
        <w:tc>
          <w:tcPr>
            <w:tcW w:type="dxa" w:w="30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lead's own recall, supported by a pattern log</w:t>
            </w:r>
          </w:p>
        </w:tc>
        <w:tc>
          <w:tcPr>
            <w:tcW w:type="dxa" w:w="30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Weak for leads new to the domain</w:t>
            </w:r>
          </w:p>
        </w:tc>
      </w:tr>
      <w:tr>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Scope derivation</w:t>
            </w:r>
          </w:p>
        </w:tc>
        <w:tc>
          <w:tcPr>
            <w:tcW w:type="dxa" w:w="30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scope checklist per pattern in the guide</w:t>
            </w:r>
          </w:p>
        </w:tc>
        <w:tc>
          <w:tcPr>
            <w:tcW w:type="dxa" w:w="30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Only as good as the checklist; no automatic team notification</w:t>
            </w:r>
          </w:p>
        </w:tc>
      </w:tr>
      <w:tr>
        <w:tc>
          <w:tcPr>
            <w:tcW w:type="dxa" w:w="32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Gate engine</w:t>
            </w:r>
          </w:p>
        </w:tc>
        <w:tc>
          <w:tcPr>
            <w:tcW w:type="dxa" w:w="30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gate checklist walked by the lead and the pool</w:t>
            </w:r>
          </w:p>
        </w:tc>
        <w:tc>
          <w:tcPr>
            <w:tcW w:type="dxa" w:w="30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Gates can be waived under pressure — the central discipline risk</w:t>
            </w:r>
          </w:p>
        </w:tc>
      </w:tr>
      <w:tr>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Partner cockpit</w:t>
            </w:r>
          </w:p>
        </w:tc>
        <w:tc>
          <w:tcPr>
            <w:tcW w:type="dxa" w:w="30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One shared tracker, maintained by hand</w:t>
            </w:r>
          </w:p>
        </w:tc>
        <w:tc>
          <w:tcPr>
            <w:tcW w:type="dxa" w:w="30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 live state for the partner; they still have to ask</w:t>
            </w:r>
          </w:p>
        </w:tc>
      </w:tr>
      <w:tr>
        <w:tc>
          <w:tcPr>
            <w:tcW w:type="dxa" w:w="32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Artefact generation</w:t>
            </w:r>
          </w:p>
        </w:tc>
        <w:tc>
          <w:tcPr>
            <w:tcW w:type="dxa" w:w="30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Templates the onboarding resource fills in</w:t>
            </w:r>
          </w:p>
        </w:tc>
        <w:tc>
          <w:tcPr>
            <w:tcW w:type="dxa" w:w="30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clerical load remains almost entirely</w:t>
            </w:r>
          </w:p>
        </w:tc>
      </w:tr>
      <w:tr>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Clinic triage</w:t>
            </w:r>
          </w:p>
        </w:tc>
        <w:tc>
          <w:tcPr>
            <w:tcW w:type="dxa" w:w="30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pool's intake channel plus published office hours</w:t>
            </w:r>
          </w:p>
        </w:tc>
        <w:tc>
          <w:tcPr>
            <w:tcW w:type="dxa" w:w="30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Works well — this is a human process by design</w:t>
            </w:r>
          </w:p>
        </w:tc>
      </w:tr>
      <w:tr>
        <w:tc>
          <w:tcPr>
            <w:tcW w:type="dxa" w:w="32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Pattern catalogue</w:t>
            </w:r>
          </w:p>
        </w:tc>
        <w:tc>
          <w:tcPr>
            <w:tcW w:type="dxa" w:w="30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pattern log: one page written after each Dedicated delivery</w:t>
            </w:r>
          </w:p>
        </w:tc>
        <w:tc>
          <w:tcPr>
            <w:tcW w:type="dxa" w:w="30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Not executable; informs judgement rather than driving provisioning</w:t>
            </w:r>
          </w:p>
        </w:tc>
      </w:tr>
      <w:tr>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Drift detector</w:t>
            </w:r>
          </w:p>
        </w:tc>
        <w:tc>
          <w:tcPr>
            <w:tcW w:type="dxa" w:w="30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fortnightly review of active intakes against the trigger list</w:t>
            </w:r>
          </w:p>
        </w:tc>
        <w:tc>
          <w:tcPr>
            <w:tcW w:type="dxa" w:w="30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Detection is delayed by up to two weeks</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Read the right-hand column as the Phase 2 backlog in draft. What the manual approach cannot do is a more honest specification for what to build than any design exercise, because it is derived from running the model rather than from imagining it.</w:t>
      </w:r>
    </w:p>
    <w:p>
      <w:pPr>
        <w:pStyle w:val="Heading2"/>
        <w:spacing w:after="170" w:before="320"/>
      </w:pPr>
      <w:r>
        <w:rPr>
          <w:rFonts w:ascii="Cambria" w:cs="Cambria" w:eastAsia="Cambria" w:hAnsi="Cambria"/>
          <w:b/>
          <w:bCs/>
          <w:color w:val="15304F"/>
          <w:sz w:val="27"/>
          <w:szCs w:val="27"/>
        </w:rPr>
        <w:t xml:space="preserve">11.3 The one thing that gets written</w:t>
      </w:r>
    </w:p>
    <w:p>
      <w:pPr>
        <w:spacing w:after="130" w:before="0"/>
      </w:pPr>
      <w:r>
        <w:rPr>
          <w:rFonts w:ascii="Calibri" w:cs="Calibri" w:eastAsia="Calibri" w:hAnsi="Calibri"/>
          <w:b w:val="false"/>
          <w:bCs w:val="false"/>
          <w:i w:val="false"/>
          <w:iCs w:val="false"/>
          <w:color w:val="1B2432"/>
          <w:sz w:val="21"/>
          <w:szCs w:val="21"/>
        </w:rPr>
        <w:t xml:space="preserve">The manual approach involves no build. It does involve writing one document, because a triage lead cannot apply a rubric that has not been written down. The distinction matters and should be stated plainly to anyone who hears "no effort": writing guidance is days of work by people who already hold the knowledge. Building a platform is months of engineering.</w:t>
      </w:r>
    </w:p>
    <w:p>
      <w:pPr>
        <w:pStyle w:val="Heading3"/>
        <w:spacing w:after="130" w:before="250"/>
      </w:pPr>
      <w:r>
        <w:rPr>
          <w:rFonts w:ascii="Calibri" w:cs="Calibri" w:eastAsia="Calibri" w:hAnsi="Calibri"/>
          <w:b/>
          <w:bCs/>
          <w:color w:val="1B2432"/>
          <w:sz w:val="23"/>
          <w:szCs w:val="23"/>
        </w:rPr>
        <w:t xml:space="preserve">The Triage Guide</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700"/>
        <w:gridCol w:w="6660"/>
      </w:tblGrid>
      <w:tr>
        <w:trPr>
          <w:tblHeader/>
        </w:trPr>
        <w:tc>
          <w:tcPr>
            <w:tcW w:type="dxa" w:w="27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Section</w:t>
            </w:r>
          </w:p>
        </w:tc>
        <w:tc>
          <w:tcPr>
            <w:tcW w:type="dxa" w:w="66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Content</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The tier model</w:t>
            </w:r>
          </w:p>
        </w:tc>
        <w:tc>
          <w:tcPr>
            <w:tcW w:type="dxa" w:w="6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Lean, Lean+, Dedicated and Factory explained in a page each — what ECM provides, what the partner owns, what the engagement feels like.</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The seven determinants</w:t>
            </w:r>
          </w:p>
        </w:tc>
        <w:tc>
          <w:tcPr>
            <w:tcW w:type="dxa" w:w="6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D1 to D7 with the 0–3 scoring descriptors, exactly as published in Part 4.</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Thresholds and overrides</w:t>
            </w:r>
          </w:p>
        </w:tc>
        <w:tc>
          <w:tcPr>
            <w:tcW w:type="dxa" w:w="6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0–5 Lean, 6–11 Lean+, 12–21 Dedicated, plus the hard overrides that force a tier regardless of score.</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The question set</w:t>
            </w:r>
          </w:p>
        </w:tc>
        <w:tc>
          <w:tcPr>
            <w:tcW w:type="dxa" w:w="6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fifty-four data points from Appendix D, grouped by category, each with why it is required, what it blocks, what a good answer looks like, and diagnostic sub-questions for a partner who does not know.</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Completeness bands</w:t>
            </w:r>
          </w:p>
        </w:tc>
        <w:tc>
          <w:tcPr>
            <w:tcW w:type="dxa" w:w="6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Which items must be answered to accept the intake, and which may be registered as dated gaps against the design, provision and certify gates.</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Guardrails by tier</w:t>
            </w:r>
          </w:p>
        </w:tc>
        <w:tc>
          <w:tcPr>
            <w:tcW w:type="dxa" w:w="6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universal invariants and the tier-specific rules, written as things the lead applies and records.</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Escalation triggers</w:t>
            </w:r>
          </w:p>
        </w:tc>
        <w:tc>
          <w:tcPr>
            <w:tcW w:type="dxa" w:w="6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conditions that re-tier an intake, and who the lead notifies.</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Templates</w:t>
            </w:r>
          </w:p>
        </w:tc>
        <w:tc>
          <w:tcPr>
            <w:tcW w:type="dxa" w:w="6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Triage Outcome Record, the gaps table, the scoring sheet and the pattern log page.</w:t>
            </w:r>
          </w:p>
        </w:tc>
      </w:tr>
    </w:tbl>
    <w:p>
      <w:pPr>
        <w:spacing w:after="140"/>
      </w:pPr>
      <w:r>
        <w:t xml:space="preserve"/>
      </w:r>
    </w:p>
    <w:p>
      <w:pPr>
        <w:spacing w:after="130" w:before="0"/>
      </w:pPr>
      <w:r>
        <w:rPr>
          <w:rFonts w:ascii="Calibri" w:cs="Calibri" w:eastAsia="Calibri" w:hAnsi="Calibri"/>
          <w:b/>
          <w:bCs/>
          <w:i w:val="false"/>
          <w:iCs w:val="false"/>
          <w:color w:val="1B2432"/>
          <w:sz w:val="21"/>
          <w:szCs w:val="21"/>
        </w:rPr>
        <w:t xml:space="preserve">Effort: </w:t>
      </w:r>
      <w:r>
        <w:rPr>
          <w:rFonts w:ascii="Calibri" w:cs="Calibri" w:eastAsia="Calibri" w:hAnsi="Calibri"/>
          <w:b w:val="false"/>
          <w:bCs w:val="false"/>
          <w:i w:val="false"/>
          <w:iCs w:val="false"/>
          <w:color w:val="1B2432"/>
          <w:sz w:val="21"/>
          <w:szCs w:val="21"/>
        </w:rPr>
        <w:t xml:space="preserve">roughly one week of two experienced engineers plus a governance analyst, drawing on what they already know. The question set with its reasons is the bulk of it, and it is the same asset the platform would have needed — written once, used immediately, and reused unchanged in Phase 2.</w:t>
      </w:r>
    </w:p>
    <w:p>
      <w:pPr>
        <w:pStyle w:val="Heading2"/>
        <w:spacing w:after="170" w:before="320"/>
      </w:pPr>
      <w:r>
        <w:rPr>
          <w:rFonts w:ascii="Cambria" w:cs="Cambria" w:eastAsia="Cambria" w:hAnsi="Cambria"/>
          <w:b/>
          <w:bCs/>
          <w:color w:val="15304F"/>
          <w:sz w:val="27"/>
          <w:szCs w:val="27"/>
        </w:rPr>
        <w:t xml:space="preserve">11.4 The deeper triage conversation</w:t>
      </w:r>
    </w:p>
    <w:p>
      <w:pPr>
        <w:spacing w:after="130" w:before="0"/>
      </w:pPr>
      <w:r>
        <w:rPr>
          <w:rFonts w:ascii="Calibri" w:cs="Calibri" w:eastAsia="Calibri" w:hAnsi="Calibri"/>
          <w:b w:val="false"/>
          <w:bCs w:val="false"/>
          <w:i w:val="false"/>
          <w:iCs w:val="false"/>
          <w:color w:val="1B2432"/>
          <w:sz w:val="21"/>
          <w:szCs w:val="21"/>
        </w:rPr>
        <w:t xml:space="preserve">Today triage is a session that classifies and routes. In the manual model it becomes the session where the full requirement is established. That is a change of purpose, not just of length, and it is the single highest-value change in Phase 1.</w:t>
      </w:r>
    </w:p>
    <w:p>
      <w:pPr>
        <w:pStyle w:val="Heading3"/>
        <w:spacing w:after="130" w:before="250"/>
      </w:pPr>
      <w:r>
        <w:rPr>
          <w:rFonts w:ascii="Calibri" w:cs="Calibri" w:eastAsia="Calibri" w:hAnsi="Calibri"/>
          <w:b/>
          <w:bCs/>
          <w:color w:val="1B2432"/>
          <w:sz w:val="23"/>
          <w:szCs w:val="23"/>
        </w:rPr>
        <w:t xml:space="preserve">The new shape — two sessions, not one</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300"/>
        <w:gridCol w:w="2200"/>
        <w:gridCol w:w="4860"/>
      </w:tblGrid>
      <w:tr>
        <w:trPr>
          <w:tblHeader/>
        </w:trPr>
        <w:tc>
          <w:tcPr>
            <w:tcW w:type="dxa" w:w="23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Session</w:t>
            </w:r>
          </w:p>
        </w:tc>
        <w:tc>
          <w:tcPr>
            <w:tcW w:type="dxa" w:w="22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Duration</w:t>
            </w:r>
          </w:p>
        </w:tc>
        <w:tc>
          <w:tcPr>
            <w:tcW w:type="dxa" w:w="48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What happens</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Pre-read issued</w:t>
            </w:r>
          </w:p>
        </w:tc>
        <w:tc>
          <w:tcPr>
            <w:tcW w:type="dxa" w:w="2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t>
            </w:r>
          </w:p>
        </w:tc>
        <w:tc>
          <w:tcPr>
            <w:tcW w:type="dxa" w:w="48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partner receives, in advance, the list of what will be asked and why. They arrive able to answer rather than discovering the questions live.</w:t>
            </w:r>
          </w:p>
        </w:tc>
      </w:tr>
      <w:tr>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Discovery Triage</w:t>
            </w:r>
          </w:p>
        </w:tc>
        <w:tc>
          <w:tcPr>
            <w:tcW w:type="dxa" w:w="2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90 minutes, with the partner</w:t>
            </w:r>
          </w:p>
        </w:tc>
        <w:tc>
          <w:tcPr>
            <w:tcW w:type="dxa" w:w="48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lead works the question guide, explains the reason at the point of asking, probes vague answers, surfaces contradictions, and records every unknown as a dated gap with a named owner.</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Tiering Review</w:t>
            </w:r>
          </w:p>
        </w:tc>
        <w:tc>
          <w:tcPr>
            <w:tcW w:type="dxa" w:w="2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30 minutes, internal</w:t>
            </w:r>
          </w:p>
        </w:tc>
        <w:tc>
          <w:tcPr>
            <w:tcW w:type="dxa" w:w="48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lead scores the seven determinants, applies overrides, assigns the tier, selects the guardrails that apply, and records the justification.</w:t>
            </w:r>
          </w:p>
        </w:tc>
      </w:tr>
      <w:tr>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Outcome issued</w:t>
            </w:r>
          </w:p>
        </w:tc>
        <w:tc>
          <w:tcPr>
            <w:tcW w:type="dxa" w:w="2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t>
            </w:r>
          </w:p>
        </w:tc>
        <w:tc>
          <w:tcPr>
            <w:tcW w:type="dxa" w:w="48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Triage Outcome Record goes to the partner and to whoever will deliver it — answers, gaps with owners and dates, derived scope, assigned tier and reasoning, long-lead items to start now.</w:t>
            </w:r>
          </w:p>
        </w:tc>
      </w:tr>
    </w:tbl>
    <w:p>
      <w:pPr>
        <w:spacing w:after="140"/>
      </w:pPr>
      <w:r>
        <w:t xml:space="preserve"/>
      </w:r>
    </w:p>
    <w:p>
      <w:pPr>
        <w:pStyle w:val="Heading3"/>
        <w:spacing w:after="130" w:before="250"/>
      </w:pPr>
      <w:r>
        <w:rPr>
          <w:rFonts w:ascii="Calibri" w:cs="Calibri" w:eastAsia="Calibri" w:hAnsi="Calibri"/>
          <w:b/>
          <w:bCs/>
          <w:color w:val="1B2432"/>
          <w:sz w:val="23"/>
          <w:szCs w:val="23"/>
        </w:rPr>
        <w:t xml:space="preserve">What the lead does differently</w:t>
      </w:r>
    </w:p>
    <w:p>
      <w:pPr>
        <w:pStyle w:val="ListParagraph"/>
        <w:numPr>
          <w:ilvl w:val="0"/>
          <w:numId w:val="3"/>
        </w:numPr>
        <w:spacing w:after="75"/>
      </w:pPr>
      <w:r>
        <w:rPr>
          <w:rFonts w:ascii="Calibri" w:cs="Calibri" w:eastAsia="Calibri" w:hAnsi="Calibri"/>
          <w:b/>
          <w:bCs/>
          <w:i w:val="false"/>
          <w:iCs w:val="false"/>
          <w:color w:val="1B2432"/>
          <w:sz w:val="21"/>
          <w:szCs w:val="21"/>
        </w:rPr>
        <w:t xml:space="preserve">Explains the why at the point of asking. </w:t>
      </w:r>
      <w:r>
        <w:rPr>
          <w:rFonts w:ascii="Calibri" w:cs="Calibri" w:eastAsia="Calibri" w:hAnsi="Calibri"/>
          <w:b w:val="false"/>
          <w:bCs w:val="false"/>
          <w:i w:val="false"/>
          <w:iCs w:val="false"/>
          <w:color w:val="1B2432"/>
          <w:sz w:val="21"/>
          <w:szCs w:val="21"/>
        </w:rPr>
        <w:t xml:space="preserve">Not "what are the document traits" but "do any of these contain handwritten annotations or signatures — this decides whether they need human review after classification, which typically adds two to three weeks and a separate engagement." A partner who understands what an answer is for gives a usable one.</w:t>
      </w:r>
    </w:p>
    <w:p>
      <w:pPr>
        <w:pStyle w:val="ListParagraph"/>
        <w:numPr>
          <w:ilvl w:val="0"/>
          <w:numId w:val="3"/>
        </w:numPr>
        <w:spacing w:after="75"/>
      </w:pPr>
      <w:r>
        <w:rPr>
          <w:rFonts w:ascii="Calibri" w:cs="Calibri" w:eastAsia="Calibri" w:hAnsi="Calibri"/>
          <w:b/>
          <w:bCs/>
          <w:i w:val="false"/>
          <w:iCs w:val="false"/>
          <w:color w:val="1B2432"/>
          <w:sz w:val="21"/>
          <w:szCs w:val="21"/>
        </w:rPr>
        <w:t xml:space="preserve">Treats "I don't know" as a normal state with a defined path. </w:t>
      </w:r>
      <w:r>
        <w:rPr>
          <w:rFonts w:ascii="Calibri" w:cs="Calibri" w:eastAsia="Calibri" w:hAnsi="Calibri"/>
          <w:b w:val="false"/>
          <w:bCs w:val="false"/>
          <w:i w:val="false"/>
          <w:iCs w:val="false"/>
          <w:color w:val="1B2432"/>
          <w:sz w:val="21"/>
          <w:szCs w:val="21"/>
        </w:rPr>
        <w:t xml:space="preserve">Offers the realistic options with their consequences. Asks diagnostic sub-questions a non-specialist can answer. Where the answer genuinely needs someone else, registers it as a dated gap with a named owner rather than leaving a blank.</w:t>
      </w:r>
    </w:p>
    <w:p>
      <w:pPr>
        <w:pStyle w:val="ListParagraph"/>
        <w:numPr>
          <w:ilvl w:val="0"/>
          <w:numId w:val="3"/>
        </w:numPr>
        <w:spacing w:after="75"/>
      </w:pPr>
      <w:r>
        <w:rPr>
          <w:rFonts w:ascii="Calibri" w:cs="Calibri" w:eastAsia="Calibri" w:hAnsi="Calibri"/>
          <w:b/>
          <w:bCs/>
          <w:i w:val="false"/>
          <w:iCs w:val="false"/>
          <w:color w:val="1B2432"/>
          <w:sz w:val="21"/>
          <w:szCs w:val="21"/>
        </w:rPr>
        <w:t xml:space="preserve">Surfaces contradictions immediately. </w:t>
      </w:r>
      <w:r>
        <w:rPr>
          <w:rFonts w:ascii="Calibri" w:cs="Calibri" w:eastAsia="Calibri" w:hAnsi="Calibri"/>
          <w:b w:val="false"/>
          <w:bCs w:val="false"/>
          <w:i w:val="false"/>
          <w:iCs w:val="false"/>
          <w:color w:val="1B2432"/>
          <w:sz w:val="21"/>
          <w:szCs w:val="21"/>
        </w:rPr>
        <w:t xml:space="preserve">Rather than recording both answers and letting the conflict surface during build.</w:t>
      </w:r>
    </w:p>
    <w:p>
      <w:pPr>
        <w:pStyle w:val="ListParagraph"/>
        <w:numPr>
          <w:ilvl w:val="0"/>
          <w:numId w:val="3"/>
        </w:numPr>
        <w:spacing w:after="75"/>
      </w:pPr>
      <w:r>
        <w:rPr>
          <w:rFonts w:ascii="Calibri" w:cs="Calibri" w:eastAsia="Calibri" w:hAnsi="Calibri"/>
          <w:b/>
          <w:bCs/>
          <w:i w:val="false"/>
          <w:iCs w:val="false"/>
          <w:color w:val="1B2432"/>
          <w:sz w:val="21"/>
          <w:szCs w:val="21"/>
        </w:rPr>
        <w:t xml:space="preserve">Flags long-lead items on the day. </w:t>
      </w:r>
      <w:r>
        <w:rPr>
          <w:rFonts w:ascii="Calibri" w:cs="Calibri" w:eastAsia="Calibri" w:hAnsi="Calibri"/>
          <w:b w:val="false"/>
          <w:bCs w:val="false"/>
          <w:i w:val="false"/>
          <w:iCs w:val="false"/>
          <w:color w:val="1B2432"/>
          <w:sz w:val="21"/>
          <w:szCs w:val="21"/>
        </w:rPr>
        <w:t xml:space="preserve">Connectivity, certificates, governance determinations and specialist engagements are identified at triage and started immediately, not discovered mid-delivery.</w:t>
      </w:r>
    </w:p>
    <w:tbl>
      <w:tblPr>
        <w:tblW w:type="dxa" w:w="9360"/>
        <w:tblBorders>
          <w:top w:val="single" w:color="A44A2A" w:sz="6"/>
          <w:left w:val="single" w:color="A44A2A" w:sz="6"/>
          <w:bottom w:val="single" w:color="A44A2A" w:sz="6"/>
          <w:right w:val="single" w:color="A44A2A" w:sz="6"/>
          <w:insideH w:val="none"/>
          <w:insideV w:val="none"/>
        </w:tblBorders>
      </w:tblPr>
      <w:tblGrid>
        <w:gridCol w:w="9360"/>
      </w:tblGrid>
      <w:tr>
        <w:tc>
          <w:tcPr>
            <w:tcW w:type="dxa" w:w="9360"/>
            <w:shd w:fill="FDF5F1" w:color="auto" w:val="clear"/>
            <w:tcMar>
              <w:top w:type="dxa" w:w="140"/>
              <w:left w:type="dxa" w:w="165"/>
              <w:bottom w:type="dxa" w:w="140"/>
              <w:right w:type="dxa" w:w="165"/>
            </w:tcMar>
          </w:tcPr>
          <w:p>
            <w:pPr>
              <w:spacing w:after="85"/>
            </w:pPr>
            <w:r>
              <w:rPr>
                <w:rFonts w:ascii="Calibri" w:cs="Calibri" w:eastAsia="Calibri" w:hAnsi="Calibri"/>
                <w:b/>
                <w:bCs/>
                <w:color w:val="A44A2A"/>
                <w:sz w:val="20"/>
                <w:szCs w:val="20"/>
              </w:rPr>
              <w:t xml:space="preserve">THE CHANGE THAT CARRIES MOST OF THE PHASE 1 BENEFIT</w:t>
            </w:r>
          </w:p>
          <w:p>
            <w:pPr>
              <w:spacing w:after="65"/>
            </w:pPr>
            <w:r>
              <w:rPr>
                <w:rFonts w:ascii="Calibri" w:cs="Calibri" w:eastAsia="Calibri" w:hAnsi="Calibri"/>
                <w:color w:val="1B2432"/>
                <w:sz w:val="20"/>
                <w:szCs w:val="20"/>
              </w:rPr>
              <w:t xml:space="preserve">Today, the requirement for a data point is discovered incrementally, by an engineer, after the intake has landed — and each discovery costs days of elapsed time.</w:t>
            </w:r>
          </w:p>
          <w:p>
            <w:pPr>
              <w:spacing w:after="65"/>
            </w:pPr>
            <w:r>
              <w:rPr>
                <w:rFonts w:ascii="Calibri" w:cs="Calibri" w:eastAsia="Calibri" w:hAnsi="Calibri"/>
                <w:color w:val="1B2432"/>
                <w:sz w:val="20"/>
                <w:szCs w:val="20"/>
              </w:rPr>
              <w:t xml:space="preserve">In Phase 1 the full requirement is established in one ninety-minute conversation, with the reasons explained, and everything not yet knowable is converted into a dated, owned item.</w:t>
            </w:r>
          </w:p>
          <w:p>
            <w:pPr>
              <w:spacing w:after="65"/>
            </w:pPr>
            <w:r>
              <w:rPr>
                <w:rFonts w:ascii="Calibri" w:cs="Calibri" w:eastAsia="Calibri" w:hAnsi="Calibri"/>
                <w:color w:val="1B2432"/>
                <w:sz w:val="20"/>
                <w:szCs w:val="20"/>
              </w:rPr>
              <w:t xml:space="preserve">Nothing is automated. The cycle is removed by asking the questions earlier and better, in one place, by someone who knows why each one matters.</w:t>
            </w:r>
          </w:p>
        </w:tc>
      </w:tr>
    </w:tbl>
    <w:p>
      <w:pPr>
        <w:pStyle w:val="Heading2"/>
        <w:spacing w:after="170" w:before="320"/>
      </w:pPr>
      <w:r>
        <w:rPr>
          <w:rFonts w:ascii="Cambria" w:cs="Cambria" w:eastAsia="Cambria" w:hAnsi="Cambria"/>
          <w:b/>
          <w:bCs/>
          <w:color w:val="15304F"/>
          <w:sz w:val="27"/>
          <w:szCs w:val="27"/>
        </w:rPr>
        <w:t xml:space="preserve">11.5 Triage leads own the tier and the guardrails</w:t>
      </w:r>
    </w:p>
    <w:p>
      <w:pPr>
        <w:spacing w:after="130" w:before="0"/>
      </w:pPr>
      <w:r>
        <w:rPr>
          <w:rFonts w:ascii="Calibri" w:cs="Calibri" w:eastAsia="Calibri" w:hAnsi="Calibri"/>
          <w:b w:val="false"/>
          <w:bCs w:val="false"/>
          <w:i w:val="false"/>
          <w:iCs w:val="false"/>
          <w:color w:val="1B2432"/>
          <w:sz w:val="21"/>
          <w:szCs w:val="21"/>
        </w:rPr>
        <w:t xml:space="preserve">In Phase 2 the platform proposes a tier and an enablement lead confirms it. In Phase 1 the triage lead decides it outright. That is a genuine delegation of authority and it should be made explicit, because it changes what the role is.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600"/>
        <w:gridCol w:w="6760"/>
      </w:tblGrid>
      <w:tr>
        <w:trPr>
          <w:tblHeader/>
        </w:trPr>
        <w:tc>
          <w:tcPr>
            <w:tcW w:type="dxa" w:w="26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The lead owns</w:t>
            </w:r>
          </w:p>
        </w:tc>
        <w:tc>
          <w:tcPr>
            <w:tcW w:type="dxa" w:w="67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What that means in practice</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The determinant scores</w:t>
            </w:r>
          </w:p>
        </w:tc>
        <w:tc>
          <w:tcPr>
            <w:tcW w:type="dxa" w:w="6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Scored on the sheet during the Tiering Review, with a one-line reason per determinant that is non-zero.</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The tier assignment</w:t>
            </w:r>
          </w:p>
        </w:tc>
        <w:tc>
          <w:tcPr>
            <w:tcW w:type="dxa" w:w="6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Derived from the score and the overrides. The lead may deviate from the threshold, but must record why — that deviation record is calibration data.</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The guardrails that apply</w:t>
            </w:r>
          </w:p>
        </w:tc>
        <w:tc>
          <w:tcPr>
            <w:tcW w:type="dxa" w:w="6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Selected from the published set and recorded on the Outcome Record, so the delivering team and the partner both know which rules are in force.</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The completeness judgement</w:t>
            </w:r>
          </w:p>
        </w:tc>
        <w:tc>
          <w:tcPr>
            <w:tcW w:type="dxa" w:w="6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Whether the intake is complete enough to accept, and which gaps block which gate.</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The escalation call</w:t>
            </w:r>
          </w:p>
        </w:tc>
        <w:tc>
          <w:tcPr>
            <w:tcW w:type="dxa" w:w="6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Whether a trigger has fired and the intake must re-tier.</w:t>
            </w:r>
          </w:p>
        </w:tc>
      </w:tr>
    </w:tbl>
    <w:p>
      <w:pPr>
        <w:spacing w:after="140"/>
      </w:pPr>
      <w:r>
        <w:t xml:space="preserve"/>
      </w:r>
    </w:p>
    <w:p>
      <w:pPr>
        <w:pStyle w:val="Heading3"/>
        <w:spacing w:after="130" w:before="250"/>
      </w:pPr>
      <w:r>
        <w:rPr>
          <w:rFonts w:ascii="Calibri" w:cs="Calibri" w:eastAsia="Calibri" w:hAnsi="Calibri"/>
          <w:b/>
          <w:bCs/>
          <w:color w:val="1B2432"/>
          <w:sz w:val="23"/>
          <w:szCs w:val="23"/>
        </w:rPr>
        <w:t xml:space="preserve">Calibration is not optional</w:t>
      </w:r>
    </w:p>
    <w:p>
      <w:pPr>
        <w:spacing w:after="130" w:before="0"/>
      </w:pPr>
      <w:r>
        <w:rPr>
          <w:rFonts w:ascii="Calibri" w:cs="Calibri" w:eastAsia="Calibri" w:hAnsi="Calibri"/>
          <w:b w:val="false"/>
          <w:bCs w:val="false"/>
          <w:i w:val="false"/>
          <w:iCs w:val="false"/>
          <w:color w:val="1B2432"/>
          <w:sz w:val="21"/>
          <w:szCs w:val="21"/>
        </w:rPr>
        <w:t xml:space="preserve">Two leads scoring the same intake will reach different answers at first. That is expected and it is manageable, but only if it is addressed deliberately.</w:t>
      </w:r>
    </w:p>
    <w:p>
      <w:pPr>
        <w:pStyle w:val="ListParagraph"/>
        <w:numPr>
          <w:ilvl w:val="0"/>
          <w:numId w:val="3"/>
        </w:numPr>
        <w:spacing w:after="75"/>
      </w:pPr>
      <w:r>
        <w:rPr>
          <w:rFonts w:ascii="Calibri" w:cs="Calibri" w:eastAsia="Calibri" w:hAnsi="Calibri"/>
          <w:color w:val="1B2432"/>
          <w:sz w:val="21"/>
          <w:szCs w:val="21"/>
        </w:rPr>
        <w:t xml:space="preserve">Two half-day calibration sessions before Phase 1 starts: the leads score the same three historical intakes independently, then compare and reconcile.</w:t>
      </w:r>
    </w:p>
    <w:p>
      <w:pPr>
        <w:pStyle w:val="ListParagraph"/>
        <w:numPr>
          <w:ilvl w:val="0"/>
          <w:numId w:val="3"/>
        </w:numPr>
        <w:spacing w:after="75"/>
      </w:pPr>
      <w:r>
        <w:rPr>
          <w:rFonts w:ascii="Calibri" w:cs="Calibri" w:eastAsia="Calibri" w:hAnsi="Calibri"/>
          <w:color w:val="1B2432"/>
          <w:sz w:val="21"/>
          <w:szCs w:val="21"/>
        </w:rPr>
        <w:t xml:space="preserve">A fortnightly calibration review for the first two months: every tier assignment of the period is reviewed as a group, and divergences are discussed rather than corrected quietly.</w:t>
      </w:r>
    </w:p>
    <w:p>
      <w:pPr>
        <w:pStyle w:val="ListParagraph"/>
        <w:numPr>
          <w:ilvl w:val="0"/>
          <w:numId w:val="3"/>
        </w:numPr>
        <w:spacing w:after="75"/>
      </w:pPr>
      <w:r>
        <w:rPr>
          <w:rFonts w:ascii="Calibri" w:cs="Calibri" w:eastAsia="Calibri" w:hAnsi="Calibri"/>
          <w:color w:val="1B2432"/>
          <w:sz w:val="21"/>
          <w:szCs w:val="21"/>
        </w:rPr>
        <w:t xml:space="preserve">Every deviation from the threshold is recorded. A determinant that is repeatedly overridden in the same direction is a rubric defect, not a discipline problem.</w:t>
      </w:r>
    </w:p>
    <w:p>
      <w:pPr>
        <w:pStyle w:val="ListParagraph"/>
        <w:numPr>
          <w:ilvl w:val="0"/>
          <w:numId w:val="3"/>
        </w:numPr>
        <w:spacing w:after="75"/>
      </w:pPr>
      <w:r>
        <w:rPr>
          <w:rFonts w:ascii="Calibri" w:cs="Calibri" w:eastAsia="Calibri" w:hAnsi="Calibri"/>
          <w:color w:val="1B2432"/>
          <w:sz w:val="21"/>
          <w:szCs w:val="21"/>
        </w:rPr>
        <w:t xml:space="preserve">Appeal: one appeal per intake, to the enablement lead, within five working days, naming the determinant believed to be wrongly scored.</w:t>
      </w:r>
    </w:p>
    <w:p>
      <w:pPr>
        <w:pStyle w:val="Heading2"/>
        <w:spacing w:after="170" w:before="320"/>
      </w:pPr>
      <w:r>
        <w:rPr>
          <w:rFonts w:ascii="Cambria" w:cs="Cambria" w:eastAsia="Cambria" w:hAnsi="Cambria"/>
          <w:b/>
          <w:bCs/>
          <w:color w:val="15304F"/>
          <w:sz w:val="27"/>
          <w:szCs w:val="27"/>
        </w:rPr>
        <w:t xml:space="preserve">11.6 The Shared Enablement Pool</w:t>
      </w:r>
    </w:p>
    <w:p>
      <w:pPr>
        <w:spacing w:after="130" w:before="0"/>
      </w:pPr>
      <w:r>
        <w:rPr>
          <w:rFonts w:ascii="Calibri" w:cs="Calibri" w:eastAsia="Calibri" w:hAnsi="Calibri"/>
          <w:b w:val="false"/>
          <w:bCs w:val="false"/>
          <w:i w:val="false"/>
          <w:iCs w:val="false"/>
          <w:color w:val="1B2432"/>
          <w:sz w:val="21"/>
          <w:szCs w:val="21"/>
        </w:rPr>
        <w:t xml:space="preserve">The second structural move, and the one that costs no new headcount: a shared pool formed from the existing squads to serve Lean and Lean+ intakes.</w:t>
      </w:r>
    </w:p>
    <w:p>
      <w:pPr>
        <w:pStyle w:val="Heading3"/>
        <w:spacing w:after="130" w:before="250"/>
      </w:pPr>
      <w:r>
        <w:rPr>
          <w:rFonts w:ascii="Calibri" w:cs="Calibri" w:eastAsia="Calibri" w:hAnsi="Calibri"/>
          <w:b/>
          <w:bCs/>
          <w:color w:val="1B2432"/>
          <w:sz w:val="23"/>
          <w:szCs w:val="23"/>
        </w:rPr>
        <w:t xml:space="preserve">Composition</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600"/>
        <w:gridCol w:w="1500"/>
        <w:gridCol w:w="5260"/>
      </w:tblGrid>
      <w:tr>
        <w:trPr>
          <w:tblHeader/>
        </w:trPr>
        <w:tc>
          <w:tcPr>
            <w:tcW w:type="dxa" w:w="26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Element</w:t>
            </w:r>
          </w:p>
        </w:tc>
        <w:tc>
          <w:tcPr>
            <w:tcW w:type="dxa" w:w="1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Size</w:t>
            </w:r>
          </w:p>
        </w:tc>
        <w:tc>
          <w:tcPr>
            <w:tcW w:type="dxa" w:w="52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Rationale</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Permanent core</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w:t>
            </w:r>
          </w:p>
        </w:tc>
        <w:tc>
          <w:tcPr>
            <w:tcW w:type="dxa" w:w="52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Continuity, pattern memory and consistency of checkpoint quality. Without a core the pool has no institutional knowledge.</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Rotating members</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2–4</w:t>
            </w:r>
          </w:p>
        </w:tc>
        <w:tc>
          <w:tcPr>
            <w:tcW w:type="dxa" w:w="52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Fixed-term secondment of six to eight weeks from the three squads. Spreads the model's knowledge, avoids permanently removing anyone from delivery, and makes the move politically straightforward.</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Total at any time</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4–6</w:t>
            </w:r>
          </w:p>
        </w:tc>
        <w:tc>
          <w:tcPr>
            <w:tcW w:type="dxa" w:w="52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Sized against aggregate checkpoint load, not partner count — which is what makes it affordable.</w:t>
            </w:r>
          </w:p>
        </w:tc>
      </w:tr>
    </w:tbl>
    <w:p>
      <w:pPr>
        <w:spacing w:after="140"/>
      </w:pPr>
      <w:r>
        <w:t xml:space="preserve"/>
      </w:r>
    </w:p>
    <w:p>
      <w:pPr>
        <w:pStyle w:val="Heading3"/>
        <w:spacing w:after="130" w:before="250"/>
      </w:pPr>
      <w:r>
        <w:rPr>
          <w:rFonts w:ascii="Calibri" w:cs="Calibri" w:eastAsia="Calibri" w:hAnsi="Calibri"/>
          <w:b/>
          <w:bCs/>
          <w:color w:val="1B2432"/>
          <w:sz w:val="23"/>
          <w:szCs w:val="23"/>
        </w:rPr>
        <w:t xml:space="preserve">Operating rhythm</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700"/>
        <w:gridCol w:w="6660"/>
      </w:tblGrid>
      <w:tr>
        <w:trPr>
          <w:tblHeader/>
        </w:trPr>
        <w:tc>
          <w:tcPr>
            <w:tcW w:type="dxa" w:w="27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Element</w:t>
            </w:r>
          </w:p>
        </w:tc>
        <w:tc>
          <w:tcPr>
            <w:tcW w:type="dxa" w:w="66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Design</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Lean+ checkpoints</w:t>
            </w:r>
          </w:p>
        </w:tc>
        <w:tc>
          <w:tcPr>
            <w:tcW w:type="dxa" w:w="6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Two mandatory reviews per intake — design baseline and pre-promotion readiness. Booked in advance against the intake's plan. The partner brings a completed artefact; no artefact, no review, rebook.</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Office hours</w:t>
            </w:r>
          </w:p>
        </w:tc>
        <w:tc>
          <w:tcPr>
            <w:tcW w:type="dxa" w:w="6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Fixed published slots each week, bookable by any Lean or Lean+ partner, first come first served. Unbooked time reverts to pattern log work.</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Escalation duty</w:t>
            </w:r>
          </w:p>
        </w:tc>
        <w:tc>
          <w:tcPr>
            <w:tcW w:type="dxa" w:w="6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One pool member per week holds duty for blocked partners and failed gates, with a one-working-day response commitment.</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Named guide</w:t>
            </w:r>
          </w:p>
        </w:tc>
        <w:tc>
          <w:tcPr>
            <w:tcW w:type="dxa" w:w="6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Each Lean+ intake is assigned a guide from the pool for its duration — a point of contact, not a delivery resource, carrying several intakes concurrently.</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Fortnightly drift review</w:t>
            </w:r>
          </w:p>
        </w:tc>
        <w:tc>
          <w:tcPr>
            <w:tcW w:type="dxa" w:w="6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pool reviews every active intake against the escalation trigger list. This replaces automated drift detection, at the cost of up to two weeks of detection delay.</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Pattern log</w:t>
            </w:r>
          </w:p>
        </w:tc>
        <w:tc>
          <w:tcPr>
            <w:tcW w:type="dxa" w:w="6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After each Dedicated delivery the pool captures one page: what was built, the configuration, what varied, what was difficult.</w:t>
            </w:r>
          </w:p>
        </w:tc>
      </w:tr>
    </w:tbl>
    <w:p>
      <w:pPr>
        <w:spacing w:after="140"/>
      </w:pPr>
      <w:r>
        <w:t xml:space="preserve"/>
      </w:r>
    </w:p>
    <w:tbl>
      <w:tblPr>
        <w:tblW w:type="dxa" w:w="9360"/>
        <w:tblBorders>
          <w:top w:val="single" w:color="A44A2A" w:sz="6"/>
          <w:left w:val="single" w:color="A44A2A" w:sz="6"/>
          <w:bottom w:val="single" w:color="A44A2A" w:sz="6"/>
          <w:right w:val="single" w:color="A44A2A" w:sz="6"/>
          <w:insideH w:val="none"/>
          <w:insideV w:val="none"/>
        </w:tblBorders>
      </w:tblPr>
      <w:tblGrid>
        <w:gridCol w:w="9360"/>
      </w:tblGrid>
      <w:tr>
        <w:tc>
          <w:tcPr>
            <w:tcW w:type="dxa" w:w="9360"/>
            <w:shd w:fill="FDF5F1" w:color="auto" w:val="clear"/>
            <w:tcMar>
              <w:top w:type="dxa" w:w="140"/>
              <w:left w:type="dxa" w:w="165"/>
              <w:bottom w:type="dxa" w:w="140"/>
              <w:right w:type="dxa" w:w="165"/>
            </w:tcMar>
          </w:tcPr>
          <w:p>
            <w:pPr>
              <w:spacing w:after="85"/>
            </w:pPr>
            <w:r>
              <w:rPr>
                <w:rFonts w:ascii="Calibri" w:cs="Calibri" w:eastAsia="Calibri" w:hAnsi="Calibri"/>
                <w:b/>
                <w:bCs/>
                <w:color w:val="A44A2A"/>
                <w:sz w:val="20"/>
                <w:szCs w:val="20"/>
              </w:rPr>
              <w:t xml:space="preserve">THE POOL MUST BE PROTECTED, AND IT WILL BE TESTED</w:t>
            </w:r>
          </w:p>
          <w:p>
            <w:pPr>
              <w:spacing w:after="65"/>
            </w:pPr>
            <w:r>
              <w:rPr>
                <w:rFonts w:ascii="Calibri" w:cs="Calibri" w:eastAsia="Calibri" w:hAnsi="Calibri"/>
                <w:color w:val="1B2432"/>
                <w:sz w:val="20"/>
                <w:szCs w:val="20"/>
              </w:rPr>
              <w:t xml:space="preserve">The pool is drawn from delivery squads, which means every squad lead will — reasonably, and under genuine pressure — want their person back for a sprint.</w:t>
            </w:r>
          </w:p>
          <w:p>
            <w:pPr>
              <w:spacing w:after="65"/>
            </w:pPr>
            <w:r>
              <w:rPr>
                <w:rFonts w:ascii="Calibri" w:cs="Calibri" w:eastAsia="Calibri" w:hAnsi="Calibri"/>
                <w:color w:val="1B2432"/>
                <w:sz w:val="20"/>
                <w:szCs w:val="20"/>
              </w:rPr>
              <w:t xml:space="preserve">The first time that happens and is allowed, the pool becomes a notional construct and Lean+ quietly reverts to unsupported self-service.</w:t>
            </w:r>
          </w:p>
          <w:p>
            <w:pPr>
              <w:spacing w:after="65"/>
            </w:pPr>
            <w:r>
              <w:rPr>
                <w:rFonts w:ascii="Calibri" w:cs="Calibri" w:eastAsia="Calibri" w:hAnsi="Calibri"/>
                <w:color w:val="1B2432"/>
                <w:sz w:val="20"/>
                <w:szCs w:val="20"/>
              </w:rPr>
              <w:t xml:space="preserve">Protection has to be an explicit management commitment with a named escalation route, agreed before Phase 1 starts rather than negotiated when the pressure arrives.</w:t>
            </w:r>
          </w:p>
        </w:tc>
      </w:tr>
    </w:tbl>
    <w:p>
      <w:pPr>
        <w:pStyle w:val="Heading2"/>
        <w:spacing w:after="170" w:before="320"/>
      </w:pPr>
      <w:r>
        <w:rPr>
          <w:rFonts w:ascii="Cambria" w:cs="Cambria" w:eastAsia="Cambria" w:hAnsi="Cambria"/>
          <w:b/>
          <w:bCs/>
          <w:color w:val="15304F"/>
          <w:sz w:val="27"/>
          <w:szCs w:val="27"/>
        </w:rPr>
        <w:t xml:space="preserve">11.7 The tracker and the pattern log</w:t>
      </w:r>
    </w:p>
    <w:p>
      <w:pPr>
        <w:spacing w:after="130" w:before="0"/>
      </w:pPr>
      <w:r>
        <w:rPr>
          <w:rFonts w:ascii="Calibri" w:cs="Calibri" w:eastAsia="Calibri" w:hAnsi="Calibri"/>
          <w:b w:val="false"/>
          <w:bCs w:val="false"/>
          <w:i w:val="false"/>
          <w:iCs w:val="false"/>
          <w:color w:val="1B2432"/>
          <w:sz w:val="21"/>
          <w:szCs w:val="21"/>
        </w:rPr>
        <w:t xml:space="preserve">Two records, both maintained by hand, both deliberately simple. A spreadsheet or an existing board is sufficient; building anything is out of scope by definition.</w:t>
      </w:r>
    </w:p>
    <w:p>
      <w:pPr>
        <w:pStyle w:val="Heading3"/>
        <w:spacing w:after="130" w:before="250"/>
      </w:pPr>
      <w:r>
        <w:rPr>
          <w:rFonts w:ascii="Calibri" w:cs="Calibri" w:eastAsia="Calibri" w:hAnsi="Calibri"/>
          <w:b/>
          <w:bCs/>
          <w:color w:val="1B2432"/>
          <w:sz w:val="23"/>
          <w:szCs w:val="23"/>
        </w:rPr>
        <w:t xml:space="preserve">The tracker — one row per intake</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900"/>
        <w:gridCol w:w="6460"/>
      </w:tblGrid>
      <w:tr>
        <w:trPr>
          <w:tblHeader/>
        </w:trPr>
        <w:tc>
          <w:tcPr>
            <w:tcW w:type="dxa" w:w="29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Column group</w:t>
            </w:r>
          </w:p>
        </w:tc>
        <w:tc>
          <w:tcPr>
            <w:tcW w:type="dxa" w:w="64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Fields</w:t>
            </w:r>
          </w:p>
        </w:tc>
      </w:tr>
      <w:tr>
        <w:tc>
          <w:tcPr>
            <w:tcW w:type="dxa" w:w="29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Identity</w:t>
            </w:r>
          </w:p>
        </w:tc>
        <w:tc>
          <w:tcPr>
            <w:tcW w:type="dxa" w:w="64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Intake reference, partner, business application, date raised</w:t>
            </w:r>
          </w:p>
        </w:tc>
      </w:tr>
      <w:tr>
        <w:tc>
          <w:tcPr>
            <w:tcW w:type="dxa" w:w="29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Tiering</w:t>
            </w:r>
          </w:p>
        </w:tc>
        <w:tc>
          <w:tcPr>
            <w:tcW w:type="dxa" w:w="64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Determinant scores D1–D7, total, overrides applied, assigned tier, deviation reason if any</w:t>
            </w:r>
          </w:p>
        </w:tc>
      </w:tr>
      <w:tr>
        <w:tc>
          <w:tcPr>
            <w:tcW w:type="dxa" w:w="29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Pattern</w:t>
            </w:r>
          </w:p>
        </w:tc>
        <w:tc>
          <w:tcPr>
            <w:tcW w:type="dxa" w:w="64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Pattern matched (from the log), or 'novel'</w:t>
            </w:r>
          </w:p>
        </w:tc>
      </w:tr>
      <w:tr>
        <w:tc>
          <w:tcPr>
            <w:tcW w:type="dxa" w:w="29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Completeness</w:t>
            </w:r>
          </w:p>
        </w:tc>
        <w:tc>
          <w:tcPr>
            <w:tcW w:type="dxa" w:w="64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Items answered, items registered as gaps, completeness by band</w:t>
            </w:r>
          </w:p>
        </w:tc>
      </w:tr>
      <w:tr>
        <w:tc>
          <w:tcPr>
            <w:tcW w:type="dxa" w:w="29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Gaps</w:t>
            </w:r>
          </w:p>
        </w:tc>
        <w:tc>
          <w:tcPr>
            <w:tcW w:type="dxa" w:w="64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Each open item with named owner, due date and the gate it blocks</w:t>
            </w:r>
          </w:p>
        </w:tc>
      </w:tr>
      <w:tr>
        <w:tc>
          <w:tcPr>
            <w:tcW w:type="dxa" w:w="29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Gates</w:t>
            </w:r>
          </w:p>
        </w:tc>
        <w:tc>
          <w:tcPr>
            <w:tcW w:type="dxa" w:w="64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P0 to P5 status and the date each was cleared</w:t>
            </w:r>
          </w:p>
        </w:tc>
      </w:tr>
      <w:tr>
        <w:tc>
          <w:tcPr>
            <w:tcW w:type="dxa" w:w="29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Measurement</w:t>
            </w:r>
          </w:p>
        </w:tc>
        <w:tc>
          <w:tcPr>
            <w:tcW w:type="dxa" w:w="64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Clarification cycles counted, stage entry and exit dates, effort by team</w:t>
            </w:r>
          </w:p>
        </w:tc>
      </w:tr>
      <w:tr>
        <w:tc>
          <w:tcPr>
            <w:tcW w:type="dxa" w:w="29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Escalation</w:t>
            </w:r>
          </w:p>
        </w:tc>
        <w:tc>
          <w:tcPr>
            <w:tcW w:type="dxa" w:w="64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Triggers fired, re-tier events and dates</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The measurement columns are not administrative overhead. They are the primary output of Phase 1 and the reason the Phase 2 business case becomes defensible. If the tracker is allowed to decay, Phase 1 produces a process change with no evidence behind it.</w:t>
      </w:r>
    </w:p>
    <w:p>
      <w:pPr>
        <w:pStyle w:val="Heading3"/>
        <w:spacing w:after="130" w:before="250"/>
      </w:pPr>
      <w:r>
        <w:rPr>
          <w:rFonts w:ascii="Calibri" w:cs="Calibri" w:eastAsia="Calibri" w:hAnsi="Calibri"/>
          <w:b/>
          <w:bCs/>
          <w:color w:val="1B2432"/>
          <w:sz w:val="23"/>
          <w:szCs w:val="23"/>
        </w:rPr>
        <w:t xml:space="preserve">The pattern log</w:t>
      </w:r>
    </w:p>
    <w:p>
      <w:pPr>
        <w:spacing w:after="130" w:before="0"/>
      </w:pPr>
      <w:r>
        <w:rPr>
          <w:rFonts w:ascii="Calibri" w:cs="Calibri" w:eastAsia="Calibri" w:hAnsi="Calibri"/>
          <w:b w:val="false"/>
          <w:bCs w:val="false"/>
          <w:i w:val="false"/>
          <w:iCs w:val="false"/>
          <w:color w:val="1B2432"/>
          <w:sz w:val="21"/>
          <w:szCs w:val="21"/>
        </w:rPr>
        <w:t xml:space="preserve">One page per delivered pattern, written at closure by the delivering team: what the partner needed, what was configured, which parameters varied from the last comparable intake, what proved difficult, and how long each phase took. No template discipline beyond a shared heading structure.</w:t>
      </w:r>
    </w:p>
    <w:p>
      <w:pPr>
        <w:spacing w:after="130" w:before="0"/>
      </w:pPr>
      <w:r>
        <w:rPr>
          <w:rFonts w:ascii="Calibri" w:cs="Calibri" w:eastAsia="Calibri" w:hAnsi="Calibri"/>
          <w:b w:val="false"/>
          <w:bCs w:val="false"/>
          <w:i w:val="false"/>
          <w:iCs w:val="false"/>
          <w:color w:val="1B2432"/>
          <w:sz w:val="21"/>
          <w:szCs w:val="21"/>
        </w:rPr>
        <w:t xml:space="preserve">This is the manual seed of the pattern catalogue. It is not executable and it cannot drive provisioning, but it does two valuable things immediately: it lets a triage lead recognise a repeat, and it gives Phase 2 a starting set of patterns to harden rather than a blank catalogue.</w:t>
      </w:r>
    </w:p>
    <w:p>
      <w:pPr>
        <w:pStyle w:val="Heading2"/>
        <w:spacing w:after="170" w:before="320"/>
      </w:pPr>
      <w:r>
        <w:rPr>
          <w:rFonts w:ascii="Cambria" w:cs="Cambria" w:eastAsia="Cambria" w:hAnsi="Cambria"/>
          <w:b/>
          <w:bCs/>
          <w:color w:val="15304F"/>
          <w:sz w:val="27"/>
          <w:szCs w:val="27"/>
        </w:rPr>
        <w:t xml:space="preserve">11.8 What the manual approach can and cannot deliver</w:t>
      </w:r>
    </w:p>
    <w:p>
      <w:pPr>
        <w:spacing w:after="130" w:before="0"/>
      </w:pPr>
      <w:r>
        <w:rPr>
          <w:rFonts w:ascii="Calibri" w:cs="Calibri" w:eastAsia="Calibri" w:hAnsi="Calibri"/>
          <w:b w:val="false"/>
          <w:bCs w:val="false"/>
          <w:i w:val="false"/>
          <w:iCs w:val="false"/>
          <w:color w:val="1B2432"/>
          <w:sz w:val="21"/>
          <w:szCs w:val="21"/>
        </w:rPr>
        <w:t xml:space="preserve">This section matters more than any other in Part 11, because the credibility of the whole two-phase proposal depends on being accurate about the ceiling.</w:t>
      </w:r>
    </w:p>
    <w:p>
      <w:pPr>
        <w:pStyle w:val="Heading3"/>
        <w:spacing w:after="130" w:before="250"/>
      </w:pPr>
      <w:r>
        <w:rPr>
          <w:rFonts w:ascii="Calibri" w:cs="Calibri" w:eastAsia="Calibri" w:hAnsi="Calibri"/>
          <w:b/>
          <w:bCs/>
          <w:color w:val="1B2432"/>
          <w:sz w:val="23"/>
          <w:szCs w:val="23"/>
        </w:rPr>
        <w:t xml:space="preserve">Lean+ works well manually. Lean largely does not.</w:t>
      </w:r>
    </w:p>
    <w:p>
      <w:pPr>
        <w:spacing w:after="130" w:before="0"/>
      </w:pPr>
      <w:r>
        <w:rPr>
          <w:rFonts w:ascii="Calibri" w:cs="Calibri" w:eastAsia="Calibri" w:hAnsi="Calibri"/>
          <w:b w:val="false"/>
          <w:bCs w:val="false"/>
          <w:i w:val="false"/>
          <w:iCs w:val="false"/>
          <w:color w:val="1B2432"/>
          <w:sz w:val="21"/>
          <w:szCs w:val="21"/>
        </w:rPr>
        <w:t xml:space="preserve">Lean+ is a human process by design — scheduled design assurance from a shared pool. Everything it depends on can be done by people with a calendar. The manual version is close to the full version.</w:t>
      </w:r>
    </w:p>
    <w:p>
      <w:pPr>
        <w:spacing w:after="130" w:before="0"/>
      </w:pPr>
      <w:r>
        <w:rPr>
          <w:rFonts w:ascii="Calibri" w:cs="Calibri" w:eastAsia="Calibri" w:hAnsi="Calibri"/>
          <w:b w:val="false"/>
          <w:bCs w:val="false"/>
          <w:i w:val="false"/>
          <w:iCs w:val="false"/>
          <w:color w:val="1B2432"/>
          <w:sz w:val="21"/>
          <w:szCs w:val="21"/>
        </w:rPr>
        <w:t xml:space="preserve">Lean assumes the partner can self-serve: instantiate a pattern, provision within policy bounds, clear automated gates and see their own state. Without a platform the partner can do none of those things. They still raise requests through existing channels, still wait for human action, and still have to ask where things stand. Manual Lean is therefore a reduced form — no allocated capacity, a written runbook, and office-hours support — and it is only viable for the very simplest scenarios.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300"/>
        <w:gridCol w:w="1750"/>
        <w:gridCol w:w="1750"/>
        <w:gridCol w:w="1750"/>
        <w:gridCol w:w="1810"/>
      </w:tblGrid>
      <w:tr>
        <w:trPr>
          <w:tblHeader/>
        </w:trPr>
        <w:tc>
          <w:tcPr>
            <w:tcW w:type="dxa" w:w="23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Distribution</w:t>
            </w:r>
          </w:p>
        </w:tc>
        <w:tc>
          <w:tcPr>
            <w:tcW w:type="dxa" w:w="175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Lean</w:t>
            </w:r>
          </w:p>
        </w:tc>
        <w:tc>
          <w:tcPr>
            <w:tcW w:type="dxa" w:w="175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Lean+</w:t>
            </w:r>
          </w:p>
        </w:tc>
        <w:tc>
          <w:tcPr>
            <w:tcW w:type="dxa" w:w="175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Dedicated</w:t>
            </w:r>
          </w:p>
        </w:tc>
        <w:tc>
          <w:tcPr>
            <w:tcW w:type="dxa" w:w="181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Factory</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Today</w:t>
            </w:r>
          </w:p>
        </w:tc>
        <w:tc>
          <w:tcPr>
            <w:tcW w:type="dxa" w:w="17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0</w:t>
            </w:r>
          </w:p>
        </w:tc>
        <w:tc>
          <w:tcPr>
            <w:tcW w:type="dxa" w:w="17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0</w:t>
            </w:r>
          </w:p>
        </w:tc>
        <w:tc>
          <w:tcPr>
            <w:tcW w:type="dxa" w:w="17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38</w:t>
            </w:r>
          </w:p>
        </w:tc>
        <w:tc>
          <w:tcPr>
            <w:tcW w:type="dxa" w:w="181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0</w:t>
            </w:r>
          </w:p>
        </w:tc>
      </w:tr>
      <w:tr>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Phase 1 — manual, achievable</w:t>
            </w:r>
          </w:p>
        </w:tc>
        <w:tc>
          <w:tcPr>
            <w:tcW w:type="dxa" w:w="17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5</w:t>
            </w:r>
          </w:p>
        </w:tc>
        <w:tc>
          <w:tcPr>
            <w:tcW w:type="dxa" w:w="17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17</w:t>
            </w:r>
          </w:p>
        </w:tc>
        <w:tc>
          <w:tcPr>
            <w:tcW w:type="dxa" w:w="17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14</w:t>
            </w:r>
          </w:p>
        </w:tc>
        <w:tc>
          <w:tcPr>
            <w:tcW w:type="dxa" w:w="181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Phase 2 — at entry</w:t>
            </w:r>
          </w:p>
        </w:tc>
        <w:tc>
          <w:tcPr>
            <w:tcW w:type="dxa" w:w="17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8</w:t>
            </w:r>
          </w:p>
        </w:tc>
        <w:tc>
          <w:tcPr>
            <w:tcW w:type="dxa" w:w="17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14</w:t>
            </w:r>
          </w:p>
        </w:tc>
        <w:tc>
          <w:tcPr>
            <w:tcW w:type="dxa" w:w="17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14</w:t>
            </w:r>
          </w:p>
        </w:tc>
        <w:tc>
          <w:tcPr>
            <w:tcW w:type="dxa" w:w="181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w:t>
            </w:r>
          </w:p>
        </w:tc>
      </w:tr>
      <w:tr>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Phase 2 — steady state</w:t>
            </w:r>
          </w:p>
        </w:tc>
        <w:tc>
          <w:tcPr>
            <w:tcW w:type="dxa" w:w="17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16</w:t>
            </w:r>
          </w:p>
        </w:tc>
        <w:tc>
          <w:tcPr>
            <w:tcW w:type="dxa" w:w="17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13</w:t>
            </w:r>
          </w:p>
        </w:tc>
        <w:tc>
          <w:tcPr>
            <w:tcW w:type="dxa" w:w="17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7</w:t>
            </w:r>
          </w:p>
        </w:tc>
        <w:tc>
          <w:tcPr>
            <w:tcW w:type="dxa" w:w="181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Read across the Lean column. The manual approach reaches five; the platform at steady state reaches sixteen. That gap — eleven scenarios that cannot run without self-service provisioning and automated gates — is the clearest single statement of what Phase 2 actually buys.</w:t>
      </w:r>
    </w:p>
    <w:p>
      <w:pPr>
        <w:pStyle w:val="Heading3"/>
        <w:spacing w:after="130" w:before="250"/>
      </w:pPr>
      <w:r>
        <w:rPr>
          <w:rFonts w:ascii="Calibri" w:cs="Calibri" w:eastAsia="Calibri" w:hAnsi="Calibri"/>
          <w:b/>
          <w:bCs/>
          <w:color w:val="1B2432"/>
          <w:sz w:val="23"/>
          <w:szCs w:val="23"/>
        </w:rPr>
        <w:t xml:space="preserve">What Phase 1 delivers</w:t>
      </w:r>
    </w:p>
    <w:p>
      <w:pPr>
        <w:pStyle w:val="ListParagraph"/>
        <w:numPr>
          <w:ilvl w:val="0"/>
          <w:numId w:val="3"/>
        </w:numPr>
        <w:spacing w:after="75"/>
      </w:pPr>
      <w:r>
        <w:rPr>
          <w:rFonts w:ascii="Calibri" w:cs="Calibri" w:eastAsia="Calibri" w:hAnsi="Calibri"/>
          <w:b/>
          <w:bCs/>
          <w:i w:val="false"/>
          <w:iCs w:val="false"/>
          <w:color w:val="1B2432"/>
          <w:sz w:val="21"/>
          <w:szCs w:val="21"/>
        </w:rPr>
        <w:t xml:space="preserve">Most of the Lean+ benefit. </w:t>
      </w:r>
      <w:r>
        <w:rPr>
          <w:rFonts w:ascii="Calibri" w:cs="Calibri" w:eastAsia="Calibri" w:hAnsi="Calibri"/>
          <w:b w:val="false"/>
          <w:bCs w:val="false"/>
          <w:i w:val="false"/>
          <w:iCs w:val="false"/>
          <w:color w:val="1B2432"/>
          <w:sz w:val="21"/>
          <w:szCs w:val="21"/>
        </w:rPr>
        <w:t xml:space="preserve">Seventeen scenarios move from continuous allocation to scheduled assurance. That is the largest single reallocation of capacity available, and it needs no tooling.</w:t>
      </w:r>
    </w:p>
    <w:p>
      <w:pPr>
        <w:pStyle w:val="ListParagraph"/>
        <w:numPr>
          <w:ilvl w:val="0"/>
          <w:numId w:val="3"/>
        </w:numPr>
        <w:spacing w:after="75"/>
      </w:pPr>
      <w:r>
        <w:rPr>
          <w:rFonts w:ascii="Calibri" w:cs="Calibri" w:eastAsia="Calibri" w:hAnsi="Calibri"/>
          <w:b/>
          <w:bCs/>
          <w:i w:val="false"/>
          <w:iCs w:val="false"/>
          <w:color w:val="1B2432"/>
          <w:sz w:val="21"/>
          <w:szCs w:val="21"/>
        </w:rPr>
        <w:t xml:space="preserve">A material reduction in clarification cycles. </w:t>
      </w:r>
      <w:r>
        <w:rPr>
          <w:rFonts w:ascii="Calibri" w:cs="Calibri" w:eastAsia="Calibri" w:hAnsi="Calibri"/>
          <w:b w:val="false"/>
          <w:bCs w:val="false"/>
          <w:i w:val="false"/>
          <w:iCs w:val="false"/>
          <w:color w:val="1B2432"/>
          <w:sz w:val="21"/>
          <w:szCs w:val="21"/>
        </w:rPr>
        <w:t xml:space="preserve">Through the deeper triage conversation alone. Expect part of the thirty-to-forty per cent, not all of it — the questions are asked better and earlier, but the chasing, tracking and artefact production remain manual.</w:t>
      </w:r>
    </w:p>
    <w:p>
      <w:pPr>
        <w:pStyle w:val="ListParagraph"/>
        <w:numPr>
          <w:ilvl w:val="0"/>
          <w:numId w:val="3"/>
        </w:numPr>
        <w:spacing w:after="75"/>
      </w:pPr>
      <w:r>
        <w:rPr>
          <w:rFonts w:ascii="Calibri" w:cs="Calibri" w:eastAsia="Calibri" w:hAnsi="Calibri"/>
          <w:b/>
          <w:bCs/>
          <w:i w:val="false"/>
          <w:iCs w:val="false"/>
          <w:color w:val="1B2432"/>
          <w:sz w:val="21"/>
          <w:szCs w:val="21"/>
        </w:rPr>
        <w:t xml:space="preserve">Earlier starts on long-lead items. </w:t>
      </w:r>
      <w:r>
        <w:rPr>
          <w:rFonts w:ascii="Calibri" w:cs="Calibri" w:eastAsia="Calibri" w:hAnsi="Calibri"/>
          <w:b w:val="false"/>
          <w:bCs w:val="false"/>
          <w:i w:val="false"/>
          <w:iCs w:val="false"/>
          <w:color w:val="1B2432"/>
          <w:sz w:val="21"/>
          <w:szCs w:val="21"/>
        </w:rPr>
        <w:t xml:space="preserve">Identified at triage rather than mid-delivery, which removes elapsed time without removing any effort.</w:t>
      </w:r>
    </w:p>
    <w:p>
      <w:pPr>
        <w:pStyle w:val="ListParagraph"/>
        <w:numPr>
          <w:ilvl w:val="0"/>
          <w:numId w:val="3"/>
        </w:numPr>
        <w:spacing w:after="75"/>
      </w:pPr>
      <w:r>
        <w:rPr>
          <w:rFonts w:ascii="Calibri" w:cs="Calibri" w:eastAsia="Calibri" w:hAnsi="Calibri"/>
          <w:b/>
          <w:bCs/>
          <w:i w:val="false"/>
          <w:iCs w:val="false"/>
          <w:color w:val="1B2432"/>
          <w:sz w:val="21"/>
          <w:szCs w:val="21"/>
        </w:rPr>
        <w:t xml:space="preserve">The baseline. </w:t>
      </w:r>
      <w:r>
        <w:rPr>
          <w:rFonts w:ascii="Calibri" w:cs="Calibri" w:eastAsia="Calibri" w:hAnsi="Calibri"/>
          <w:b w:val="false"/>
          <w:bCs w:val="false"/>
          <w:i w:val="false"/>
          <w:iCs w:val="false"/>
          <w:color w:val="1B2432"/>
          <w:sz w:val="21"/>
          <w:szCs w:val="21"/>
        </w:rPr>
        <w:t xml:space="preserve">Effort and elapsed time per stage per team, measured for the first time.</w:t>
      </w:r>
    </w:p>
    <w:p>
      <w:pPr>
        <w:pStyle w:val="ListParagraph"/>
        <w:numPr>
          <w:ilvl w:val="0"/>
          <w:numId w:val="3"/>
        </w:numPr>
        <w:spacing w:after="75"/>
      </w:pPr>
      <w:r>
        <w:rPr>
          <w:rFonts w:ascii="Calibri" w:cs="Calibri" w:eastAsia="Calibri" w:hAnsi="Calibri"/>
          <w:b/>
          <w:bCs/>
          <w:i w:val="false"/>
          <w:iCs w:val="false"/>
          <w:color w:val="1B2432"/>
          <w:sz w:val="21"/>
          <w:szCs w:val="21"/>
        </w:rPr>
        <w:t xml:space="preserve">The real distribution. </w:t>
      </w:r>
      <w:r>
        <w:rPr>
          <w:rFonts w:ascii="Calibri" w:cs="Calibri" w:eastAsia="Calibri" w:hAnsi="Calibri"/>
          <w:b w:val="false"/>
          <w:bCs w:val="false"/>
          <w:i w:val="false"/>
          <w:iCs w:val="false"/>
          <w:color w:val="1B2432"/>
          <w:sz w:val="21"/>
          <w:szCs w:val="21"/>
        </w:rPr>
        <w:t xml:space="preserve">What proportion of actual demand the rubric routes where, tested against live intakes rather than a retrospective.</w:t>
      </w:r>
    </w:p>
    <w:p>
      <w:pPr>
        <w:pStyle w:val="Heading3"/>
        <w:spacing w:after="130" w:before="250"/>
      </w:pPr>
      <w:r>
        <w:rPr>
          <w:rFonts w:ascii="Calibri" w:cs="Calibri" w:eastAsia="Calibri" w:hAnsi="Calibri"/>
          <w:b/>
          <w:bCs/>
          <w:color w:val="1B2432"/>
          <w:sz w:val="23"/>
          <w:szCs w:val="23"/>
        </w:rPr>
        <w:t xml:space="preserve">What Phase 1 does not deliver</w:t>
      </w:r>
    </w:p>
    <w:p>
      <w:pPr>
        <w:pStyle w:val="ListParagraph"/>
        <w:numPr>
          <w:ilvl w:val="0"/>
          <w:numId w:val="3"/>
        </w:numPr>
        <w:spacing w:after="75"/>
      </w:pPr>
      <w:r>
        <w:rPr>
          <w:rFonts w:ascii="Calibri" w:cs="Calibri" w:eastAsia="Calibri" w:hAnsi="Calibri"/>
          <w:b/>
          <w:bCs/>
          <w:i w:val="false"/>
          <w:iCs w:val="false"/>
          <w:color w:val="1B2432"/>
          <w:sz w:val="21"/>
          <w:szCs w:val="21"/>
        </w:rPr>
        <w:t xml:space="preserve">The clerical load is not removed. </w:t>
      </w:r>
      <w:r>
        <w:rPr>
          <w:rFonts w:ascii="Calibri" w:cs="Calibri" w:eastAsia="Calibri" w:hAnsi="Calibri"/>
          <w:b w:val="false"/>
          <w:bCs w:val="false"/>
          <w:i w:val="false"/>
          <w:iCs w:val="false"/>
          <w:color w:val="1B2432"/>
          <w:sz w:val="21"/>
          <w:szCs w:val="21"/>
        </w:rPr>
        <w:t xml:space="preserve">Artefacts are still authored by hand, requests still routed by memory, trackers still maintained manually, status still answered by a person. This is the bulk of what Phase 2 addresses.</w:t>
      </w:r>
    </w:p>
    <w:p>
      <w:pPr>
        <w:pStyle w:val="ListParagraph"/>
        <w:numPr>
          <w:ilvl w:val="0"/>
          <w:numId w:val="3"/>
        </w:numPr>
        <w:spacing w:after="75"/>
      </w:pPr>
      <w:r>
        <w:rPr>
          <w:rFonts w:ascii="Calibri" w:cs="Calibri" w:eastAsia="Calibri" w:hAnsi="Calibri"/>
          <w:b/>
          <w:bCs/>
          <w:i w:val="false"/>
          <w:iCs w:val="false"/>
          <w:color w:val="1B2432"/>
          <w:sz w:val="21"/>
          <w:szCs w:val="21"/>
        </w:rPr>
        <w:t xml:space="preserve">It does not scale. </w:t>
      </w:r>
      <w:r>
        <w:rPr>
          <w:rFonts w:ascii="Calibri" w:cs="Calibri" w:eastAsia="Calibri" w:hAnsi="Calibri"/>
          <w:b w:val="false"/>
          <w:bCs w:val="false"/>
          <w:i w:val="false"/>
          <w:iCs w:val="false"/>
          <w:color w:val="1B2432"/>
          <w:sz w:val="21"/>
          <w:szCs w:val="21"/>
        </w:rPr>
        <w:t xml:space="preserve">Manual effort per intake is roughly constant. The saving comes from reallocating depth, not from removing work. Beyond a certain volume the triage leads and the pool become the bottleneck — and identifying where that ceiling sits is itself a Phase 1 output.</w:t>
      </w:r>
    </w:p>
    <w:p>
      <w:pPr>
        <w:pStyle w:val="ListParagraph"/>
        <w:numPr>
          <w:ilvl w:val="0"/>
          <w:numId w:val="3"/>
        </w:numPr>
        <w:spacing w:after="75"/>
      </w:pPr>
      <w:r>
        <w:rPr>
          <w:rFonts w:ascii="Calibri" w:cs="Calibri" w:eastAsia="Calibri" w:hAnsi="Calibri"/>
          <w:b/>
          <w:bCs/>
          <w:i w:val="false"/>
          <w:iCs w:val="false"/>
          <w:color w:val="1B2432"/>
          <w:sz w:val="21"/>
          <w:szCs w:val="21"/>
        </w:rPr>
        <w:t xml:space="preserve">Consistency depends on people. </w:t>
      </w:r>
      <w:r>
        <w:rPr>
          <w:rFonts w:ascii="Calibri" w:cs="Calibri" w:eastAsia="Calibri" w:hAnsi="Calibri"/>
          <w:b w:val="false"/>
          <w:bCs w:val="false"/>
          <w:i w:val="false"/>
          <w:iCs w:val="false"/>
          <w:color w:val="1B2432"/>
          <w:sz w:val="21"/>
          <w:szCs w:val="21"/>
        </w:rPr>
        <w:t xml:space="preserve">Calibration reduces variance; it does not eliminate it. Two leads will still reach different answers on marginal intakes.</w:t>
      </w:r>
    </w:p>
    <w:p>
      <w:pPr>
        <w:pStyle w:val="ListParagraph"/>
        <w:numPr>
          <w:ilvl w:val="0"/>
          <w:numId w:val="3"/>
        </w:numPr>
        <w:spacing w:after="75"/>
      </w:pPr>
      <w:r>
        <w:rPr>
          <w:rFonts w:ascii="Calibri" w:cs="Calibri" w:eastAsia="Calibri" w:hAnsi="Calibri"/>
          <w:b/>
          <w:bCs/>
          <w:i w:val="false"/>
          <w:iCs w:val="false"/>
          <w:color w:val="1B2432"/>
          <w:sz w:val="21"/>
          <w:szCs w:val="21"/>
        </w:rPr>
        <w:t xml:space="preserve">Guardrails can be waived. </w:t>
      </w:r>
      <w:r>
        <w:rPr>
          <w:rFonts w:ascii="Calibri" w:cs="Calibri" w:eastAsia="Calibri" w:hAnsi="Calibri"/>
          <w:b w:val="false"/>
          <w:bCs w:val="false"/>
          <w:i w:val="false"/>
          <w:iCs w:val="false"/>
          <w:color w:val="1B2432"/>
          <w:sz w:val="21"/>
          <w:szCs w:val="21"/>
        </w:rPr>
        <w:t xml:space="preserve">A written rule applied by a person under schedule pressure is weaker than a gate that blocks. This is the single most likely way Phase 1 degrades.</w:t>
      </w:r>
    </w:p>
    <w:p>
      <w:pPr>
        <w:pStyle w:val="ListParagraph"/>
        <w:numPr>
          <w:ilvl w:val="0"/>
          <w:numId w:val="3"/>
        </w:numPr>
        <w:spacing w:after="75"/>
      </w:pPr>
      <w:r>
        <w:rPr>
          <w:rFonts w:ascii="Calibri" w:cs="Calibri" w:eastAsia="Calibri" w:hAnsi="Calibri"/>
          <w:b/>
          <w:bCs/>
          <w:i w:val="false"/>
          <w:iCs w:val="false"/>
          <w:color w:val="1B2432"/>
          <w:sz w:val="21"/>
          <w:szCs w:val="21"/>
        </w:rPr>
        <w:t xml:space="preserve">No durable asset is created. </w:t>
      </w:r>
      <w:r>
        <w:rPr>
          <w:rFonts w:ascii="Calibri" w:cs="Calibri" w:eastAsia="Calibri" w:hAnsi="Calibri"/>
          <w:b w:val="false"/>
          <w:bCs w:val="false"/>
          <w:i w:val="false"/>
          <w:iCs w:val="false"/>
          <w:color w:val="1B2432"/>
          <w:sz w:val="21"/>
          <w:szCs w:val="21"/>
        </w:rPr>
        <w:t xml:space="preserve">The knowledge lives in a document and in people's heads. The pattern log helps, but it is a record rather than a capability.</w:t>
      </w:r>
    </w:p>
    <w:p>
      <w:pPr>
        <w:pStyle w:val="Heading2"/>
        <w:spacing w:after="170" w:before="320"/>
      </w:pPr>
      <w:r>
        <w:rPr>
          <w:rFonts w:ascii="Cambria" w:cs="Cambria" w:eastAsia="Cambria" w:hAnsi="Cambria"/>
          <w:b/>
          <w:bCs/>
          <w:color w:val="15304F"/>
          <w:sz w:val="27"/>
          <w:szCs w:val="27"/>
        </w:rPr>
        <w:t xml:space="preserve">11.9 The twelve-week plan</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1600"/>
        <w:gridCol w:w="2500"/>
        <w:gridCol w:w="5260"/>
      </w:tblGrid>
      <w:tr>
        <w:trPr>
          <w:tblHeader/>
        </w:trPr>
        <w:tc>
          <w:tcPr>
            <w:tcW w:type="dxa" w:w="16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Weeks</w:t>
            </w:r>
          </w:p>
        </w:tc>
        <w:tc>
          <w:tcPr>
            <w:tcW w:type="dxa" w:w="2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Stage</w:t>
            </w:r>
          </w:p>
        </w:tc>
        <w:tc>
          <w:tcPr>
            <w:tcW w:type="dxa" w:w="52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What happens</w:t>
            </w:r>
          </w:p>
        </w:tc>
      </w:tr>
      <w:tr>
        <w:tc>
          <w:tcPr>
            <w:tcW w:type="dxa" w:w="1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1–2</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Prepare</w:t>
            </w:r>
          </w:p>
        </w:tc>
        <w:tc>
          <w:tcPr>
            <w:tcW w:type="dxa" w:w="52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Write the Triage Guide. Run two calibration sessions with the triage leads. Stand up the shared pool and agree its protection. Build the tracker. Publish the tier model and the rubric to partners.</w:t>
            </w:r>
          </w:p>
        </w:tc>
      </w:tr>
      <w:tr>
        <w:tc>
          <w:tcPr>
            <w:tcW w:type="dxa" w:w="1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3–6</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Run in parallel</w:t>
            </w:r>
          </w:p>
        </w:tc>
        <w:tc>
          <w:tcPr>
            <w:tcW w:type="dxa" w:w="52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Every new intake receives the deep triage conversation and a tier assignment, but continues to be delivered under the current model. Real data, no delivery risk. Fortnightly calibration reviews.</w:t>
            </w:r>
          </w:p>
        </w:tc>
      </w:tr>
      <w:tr>
        <w:tc>
          <w:tcPr>
            <w:tcW w:type="dxa" w:w="1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7–10</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Operate the tiers</w:t>
            </w:r>
          </w:p>
        </w:tc>
        <w:tc>
          <w:tcPr>
            <w:tcW w:type="dxa" w:w="52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Tier assignments take effect. Lean+ intakes run with a named guide and two checkpoints. The first Lean intakes run with certified partners on the simplest patterns. Pattern log begins.</w:t>
            </w:r>
          </w:p>
        </w:tc>
      </w:tr>
      <w:tr>
        <w:tc>
          <w:tcPr>
            <w:tcW w:type="dxa" w:w="1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11–12</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Evidence review</w:t>
            </w:r>
          </w:p>
        </w:tc>
        <w:tc>
          <w:tcPr>
            <w:tcW w:type="dxa" w:w="52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Compile the measurements, assess against the approval criteria, and present the Phase 2 business case built on what actually happened.</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The parallel-run in weeks three to six is deliberate and should not be shortened. It produces distribution and completeness data at zero delivery risk, and it gives the leads four weeks of scoring practice before their assignments start binding real work.</w:t>
      </w:r>
    </w:p>
    <w:p>
      <w:pPr>
        <w:pStyle w:val="Heading2"/>
        <w:spacing w:after="170" w:before="320"/>
      </w:pPr>
      <w:r>
        <w:rPr>
          <w:rFonts w:ascii="Cambria" w:cs="Cambria" w:eastAsia="Cambria" w:hAnsi="Cambria"/>
          <w:b/>
          <w:bCs/>
          <w:color w:val="15304F"/>
          <w:sz w:val="27"/>
          <w:szCs w:val="27"/>
        </w:rPr>
        <w:t xml:space="preserve">11.10 The evidence that unlocks Phase 2</w:t>
      </w:r>
    </w:p>
    <w:p>
      <w:pPr>
        <w:spacing w:after="130" w:before="0"/>
      </w:pPr>
      <w:r>
        <w:rPr>
          <w:rFonts w:ascii="Calibri" w:cs="Calibri" w:eastAsia="Calibri" w:hAnsi="Calibri"/>
          <w:b w:val="false"/>
          <w:bCs w:val="false"/>
          <w:i w:val="false"/>
          <w:iCs w:val="false"/>
          <w:color w:val="1B2432"/>
          <w:sz w:val="21"/>
          <w:szCs w:val="21"/>
        </w:rPr>
        <w:t xml:space="preserve">Phase 2 should not be approved on the strength of a design document. It should be approved on what Phase 1 demonstrates. These are the criteria, stated in advance so the review is not a negotiation.</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800"/>
        <w:gridCol w:w="3200"/>
        <w:gridCol w:w="3360"/>
      </w:tblGrid>
      <w:tr>
        <w:trPr>
          <w:tblHeader/>
        </w:trPr>
        <w:tc>
          <w:tcPr>
            <w:tcW w:type="dxa" w:w="28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Criterion</w:t>
            </w:r>
          </w:p>
        </w:tc>
        <w:tc>
          <w:tcPr>
            <w:tcW w:type="dxa" w:w="32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What good looks like</w:t>
            </w:r>
          </w:p>
        </w:tc>
        <w:tc>
          <w:tcPr>
            <w:tcW w:type="dxa" w:w="33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What it proves</w:t>
            </w:r>
          </w:p>
        </w:tc>
      </w:tr>
      <w:tr>
        <w:tc>
          <w:tcPr>
            <w:tcW w:type="dxa" w:w="28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Distribution holds</w:t>
            </w:r>
          </w:p>
        </w:tc>
        <w:tc>
          <w:tcPr>
            <w:tcW w:type="dxa" w:w="3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At least 50% of intakes route to Lean or Lean+ against live demand</w:t>
            </w:r>
          </w:p>
        </w:tc>
        <w:tc>
          <w:tcPr>
            <w:tcW w:type="dxa" w:w="3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rubric works on real intakes, not just retrospectively</w:t>
            </w:r>
          </w:p>
        </w:tc>
      </w:tr>
      <w:tr>
        <w:tc>
          <w:tcPr>
            <w:tcW w:type="dxa" w:w="28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Lighter tiers hold</w:t>
            </w:r>
          </w:p>
        </w:tc>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Escalation rate out of Lean and Lean+ below 25%</w:t>
            </w:r>
          </w:p>
        </w:tc>
        <w:tc>
          <w:tcPr>
            <w:tcW w:type="dxa" w:w="3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Tier assignment is accurate enough to rely on</w:t>
            </w:r>
          </w:p>
        </w:tc>
      </w:tr>
      <w:tr>
        <w:tc>
          <w:tcPr>
            <w:tcW w:type="dxa" w:w="28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Clarification cycles fall</w:t>
            </w:r>
          </w:p>
        </w:tc>
        <w:tc>
          <w:tcPr>
            <w:tcW w:type="dxa" w:w="3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measurable reduction on deep-triage intakes against the baseline</w:t>
            </w:r>
          </w:p>
        </w:tc>
        <w:tc>
          <w:tcPr>
            <w:tcW w:type="dxa" w:w="3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intake intervention works, and is worth automating</w:t>
            </w:r>
          </w:p>
        </w:tc>
      </w:tr>
      <w:tr>
        <w:tc>
          <w:tcPr>
            <w:tcW w:type="dxa" w:w="28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Partners accept assigned tiering</w:t>
            </w:r>
          </w:p>
        </w:tc>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Appeal rate below 20%, with most appeals unsuccessful</w:t>
            </w:r>
          </w:p>
        </w:tc>
        <w:tc>
          <w:tcPr>
            <w:tcW w:type="dxa" w:w="3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governance model is viable at scale</w:t>
            </w:r>
          </w:p>
        </w:tc>
      </w:tr>
      <w:tr>
        <w:tc>
          <w:tcPr>
            <w:tcW w:type="dxa" w:w="28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The baseline exists</w:t>
            </w:r>
          </w:p>
        </w:tc>
        <w:tc>
          <w:tcPr>
            <w:tcW w:type="dxa" w:w="3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Effort and elapsed time per stage per team, from completed intakes</w:t>
            </w:r>
          </w:p>
        </w:tc>
        <w:tc>
          <w:tcPr>
            <w:tcW w:type="dxa" w:w="3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Phase 2 business case can be quantified</w:t>
            </w:r>
          </w:p>
        </w:tc>
      </w:tr>
      <w:tr>
        <w:tc>
          <w:tcPr>
            <w:tcW w:type="dxa" w:w="28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The bottleneck is identified</w:t>
            </w:r>
          </w:p>
        </w:tc>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quantified statement of where residual manual effort concentrates</w:t>
            </w:r>
          </w:p>
        </w:tc>
        <w:tc>
          <w:tcPr>
            <w:tcW w:type="dxa" w:w="3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Phase 2 backlog is evidence-led rather than designed</w:t>
            </w:r>
          </w:p>
        </w:tc>
      </w:tr>
      <w:tr>
        <w:tc>
          <w:tcPr>
            <w:tcW w:type="dxa" w:w="28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No compliance regression</w:t>
            </w:r>
          </w:p>
        </w:tc>
        <w:tc>
          <w:tcPr>
            <w:tcW w:type="dxa" w:w="3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 increase in findings on completed intakes</w:t>
            </w:r>
          </w:p>
        </w:tc>
        <w:tc>
          <w:tcPr>
            <w:tcW w:type="dxa" w:w="3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lighter tiers are safe before they are scaled</w:t>
            </w:r>
          </w:p>
        </w:tc>
      </w:tr>
    </w:tbl>
    <w:p>
      <w:pPr>
        <w:spacing w:after="140"/>
      </w:pPr>
      <w:r>
        <w:t xml:space="preserve"/>
      </w:r>
    </w:p>
    <w:tbl>
      <w:tblPr>
        <w:tblW w:type="dxa" w:w="9360"/>
        <w:tblBorders>
          <w:top w:val="single" w:color="15304F" w:sz="6"/>
          <w:left w:val="single" w:color="15304F" w:sz="6"/>
          <w:bottom w:val="single" w:color="15304F" w:sz="6"/>
          <w:right w:val="single" w:color="15304F" w:sz="6"/>
          <w:insideH w:val="none"/>
          <w:insideV w:val="none"/>
        </w:tblBorders>
      </w:tblPr>
      <w:tblGrid>
        <w:gridCol w:w="9360"/>
      </w:tblGrid>
      <w:tr>
        <w:tc>
          <w:tcPr>
            <w:tcW w:type="dxa" w:w="9360"/>
            <w:shd w:fill="EEF2F7" w:color="auto" w:val="clear"/>
            <w:tcMar>
              <w:top w:type="dxa" w:w="140"/>
              <w:left w:type="dxa" w:w="165"/>
              <w:bottom w:type="dxa" w:w="140"/>
              <w:right w:type="dxa" w:w="165"/>
            </w:tcMar>
          </w:tcPr>
          <w:p>
            <w:pPr>
              <w:spacing w:after="85"/>
            </w:pPr>
            <w:r>
              <w:rPr>
                <w:rFonts w:ascii="Calibri" w:cs="Calibri" w:eastAsia="Calibri" w:hAnsi="Calibri"/>
                <w:b/>
                <w:bCs/>
                <w:color w:val="15304F"/>
                <w:sz w:val="20"/>
                <w:szCs w:val="20"/>
              </w:rPr>
              <w:t xml:space="preserve">THE SIXTH CRITERION IS THE ONE THAT MATTERS MOST</w:t>
            </w:r>
          </w:p>
          <w:p>
            <w:pPr>
              <w:spacing w:after="65"/>
            </w:pPr>
            <w:r>
              <w:rPr>
                <w:rFonts w:ascii="Calibri" w:cs="Calibri" w:eastAsia="Calibri" w:hAnsi="Calibri"/>
                <w:color w:val="1B2432"/>
                <w:sz w:val="20"/>
                <w:szCs w:val="20"/>
              </w:rPr>
              <w:t xml:space="preserve">The first five validate the model. The sixth specifies the build.</w:t>
            </w:r>
          </w:p>
          <w:p>
            <w:pPr>
              <w:spacing w:after="65"/>
            </w:pPr>
            <w:r>
              <w:rPr>
                <w:rFonts w:ascii="Calibri" w:cs="Calibri" w:eastAsia="Calibri" w:hAnsi="Calibri"/>
                <w:color w:val="1B2432"/>
                <w:sz w:val="20"/>
                <w:szCs w:val="20"/>
              </w:rPr>
              <w:t xml:space="preserve">After a quarter of running the model by hand, the team will know precisely which questions partners stumble on, which rules get applied wrong, which gates get waived and where the hours actually go.</w:t>
            </w:r>
          </w:p>
          <w:p>
            <w:pPr>
              <w:spacing w:after="65"/>
            </w:pPr>
            <w:r>
              <w:rPr>
                <w:rFonts w:ascii="Calibri" w:cs="Calibri" w:eastAsia="Calibri" w:hAnsi="Calibri"/>
                <w:color w:val="1B2432"/>
                <w:sz w:val="20"/>
                <w:szCs w:val="20"/>
              </w:rPr>
              <w:t xml:space="preserve">That converts the Phase 2 platform backlog from a design exercise into an evidence-led list — which is a materially stronger basis for committing engineering capacity than anything in Parts 1 to 10.</w:t>
            </w:r>
          </w:p>
        </w:tc>
      </w:tr>
    </w:tbl>
    <w:p>
      <w:pPr>
        <w:pStyle w:val="Heading2"/>
        <w:spacing w:after="170" w:before="320"/>
      </w:pPr>
      <w:r>
        <w:rPr>
          <w:rFonts w:ascii="Cambria" w:cs="Cambria" w:eastAsia="Cambria" w:hAnsi="Cambria"/>
          <w:b/>
          <w:bCs/>
          <w:color w:val="15304F"/>
          <w:sz w:val="27"/>
          <w:szCs w:val="27"/>
        </w:rPr>
        <w:t xml:space="preserve">11.11 Risks specific to the manual approach</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600"/>
        <w:gridCol w:w="1500"/>
        <w:gridCol w:w="5260"/>
      </w:tblGrid>
      <w:tr>
        <w:trPr>
          <w:tblHeader/>
        </w:trPr>
        <w:tc>
          <w:tcPr>
            <w:tcW w:type="dxa" w:w="26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Risk</w:t>
            </w:r>
          </w:p>
        </w:tc>
        <w:tc>
          <w:tcPr>
            <w:tcW w:type="dxa" w:w="1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Severity</w:t>
            </w:r>
          </w:p>
        </w:tc>
        <w:tc>
          <w:tcPr>
            <w:tcW w:type="dxa" w:w="52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Mitigation</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Deep triage gets shortened under pressure</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High</w:t>
            </w:r>
          </w:p>
        </w:tc>
        <w:tc>
          <w:tcPr>
            <w:tcW w:type="dxa" w:w="52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ninety-minute session is booked as standard and the Outcome Record is a precondition of acceptance. A shortened triage produces a visibly incomplete record.</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The pool is reclaimed by its squads</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High</w:t>
            </w:r>
          </w:p>
        </w:tc>
        <w:tc>
          <w:tcPr>
            <w:tcW w:type="dxa" w:w="52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Explicit management commitment agreed before start, with a named escalation route. Rotation terms fixed in advance so returns are scheduled rather than negotiated.</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Guardrails are waived for an important partner</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High</w:t>
            </w:r>
          </w:p>
        </w:tc>
        <w:tc>
          <w:tcPr>
            <w:tcW w:type="dxa" w:w="52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Every waiver is recorded on the Outcome Record with the name of who authorised it. Waivers are reviewed in the fortnightly calibration session.</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Tier assignments diverge between leads</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Moderate</w:t>
            </w:r>
          </w:p>
        </w:tc>
        <w:tc>
          <w:tcPr>
            <w:tcW w:type="dxa" w:w="52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Two calibration sessions before start, fortnightly reviews for two months, and every threshold deviation recorded.</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The tracker decays</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Moderate</w:t>
            </w:r>
          </w:p>
        </w:tc>
        <w:tc>
          <w:tcPr>
            <w:tcW w:type="dxa" w:w="52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It is the primary Phase 1 output. One named owner, reviewed weekly. If the tracker stops, Phase 1 has produced a process change with no evidence.</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Manual Lean is attempted too widely</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Moderate</w:t>
            </w:r>
          </w:p>
        </w:tc>
        <w:tc>
          <w:tcPr>
            <w:tcW w:type="dxa" w:w="52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Restrict Lean to the simplest scenarios only. A partner put into Lean without the tooling to support it becomes the first failure story.</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Phase 1 succeeds and Phase 2 is deferred</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Moderate</w:t>
            </w:r>
          </w:p>
        </w:tc>
        <w:tc>
          <w:tcPr>
            <w:tcW w:type="dxa" w:w="52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Record the ceiling explicitly during Phase 1 — where manual effort concentrates and where the volume limit sits — so the case for building is already made when the review arrives.</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The last risk deserves comment. A Phase 1 that goes well can become an argument against Phase 2 — the problem looks solved, and the appetite for an engineering investment fades. Guarding against that means measuring the residual, not only the improvement: how much manual effort remains, and what happens to it as volume grows.</w:t>
      </w:r>
    </w:p>
    <w:p>
      <w:pPr>
        <w:pStyle w:val="Heading2"/>
        <w:spacing w:after="170" w:before="320"/>
      </w:pPr>
      <w:r>
        <w:rPr>
          <w:rFonts w:ascii="Cambria" w:cs="Cambria" w:eastAsia="Cambria" w:hAnsi="Cambria"/>
          <w:b/>
          <w:bCs/>
          <w:color w:val="15304F"/>
          <w:sz w:val="27"/>
          <w:szCs w:val="27"/>
        </w:rPr>
        <w:t xml:space="preserve">11.12 How Phase 1 becomes Phase 2</w:t>
      </w:r>
    </w:p>
    <w:p>
      <w:pPr>
        <w:spacing w:after="130" w:before="0"/>
      </w:pPr>
      <w:r>
        <w:rPr>
          <w:rFonts w:ascii="Calibri" w:cs="Calibri" w:eastAsia="Calibri" w:hAnsi="Calibri"/>
          <w:b w:val="false"/>
          <w:bCs w:val="false"/>
          <w:i w:val="false"/>
          <w:iCs w:val="false"/>
          <w:color w:val="1B2432"/>
          <w:sz w:val="21"/>
          <w:szCs w:val="21"/>
        </w:rPr>
        <w:t xml:space="preserve">Nothing in Phase 1 is thrown away. Each manual mechanism becomes the specification for the capability that replaces it.</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3000"/>
        <w:gridCol w:w="3200"/>
        <w:gridCol w:w="3160"/>
      </w:tblGrid>
      <w:tr>
        <w:trPr>
          <w:tblHeader/>
        </w:trPr>
        <w:tc>
          <w:tcPr>
            <w:tcW w:type="dxa" w:w="30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Phase 1 artefact</w:t>
            </w:r>
          </w:p>
        </w:tc>
        <w:tc>
          <w:tcPr>
            <w:tcW w:type="dxa" w:w="32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Becomes in Phase 2</w:t>
            </w:r>
          </w:p>
        </w:tc>
        <w:tc>
          <w:tcPr>
            <w:tcW w:type="dxa" w:w="31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Why the manual version helps</w:t>
            </w:r>
          </w:p>
        </w:tc>
      </w:tr>
      <w:tr>
        <w:tc>
          <w:tcPr>
            <w:tcW w:type="dxa" w:w="30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The Triage Guide question set</w:t>
            </w:r>
          </w:p>
        </w:tc>
        <w:tc>
          <w:tcPr>
            <w:tcW w:type="dxa" w:w="3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intake data catalogue and why-register</w:t>
            </w:r>
          </w:p>
        </w:tc>
        <w:tc>
          <w:tcPr>
            <w:tcW w:type="dxa" w:w="31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Written once, already validated against real conversations</w:t>
            </w:r>
          </w:p>
        </w:tc>
      </w:tr>
      <w:tr>
        <w:tc>
          <w:tcPr>
            <w:tcW w:type="dxa" w:w="30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The scoring sheet and its deviations</w:t>
            </w:r>
          </w:p>
        </w:tc>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tiering assistant's rules and calibration data</w:t>
            </w:r>
          </w:p>
        </w:tc>
        <w:tc>
          <w:tcPr>
            <w:tcW w:type="dxa" w:w="31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Deviations show exactly where the rubric needs recalibrating</w:t>
            </w:r>
          </w:p>
        </w:tc>
      </w:tr>
      <w:tr>
        <w:tc>
          <w:tcPr>
            <w:tcW w:type="dxa" w:w="30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The Triage Outcome Record</w:t>
            </w:r>
          </w:p>
        </w:tc>
        <w:tc>
          <w:tcPr>
            <w:tcW w:type="dxa" w:w="3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handoff contract and completeness certificate</w:t>
            </w:r>
          </w:p>
        </w:tc>
        <w:tc>
          <w:tcPr>
            <w:tcW w:type="dxa" w:w="31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format is already proven with delivering teams</w:t>
            </w:r>
          </w:p>
        </w:tc>
      </w:tr>
      <w:tr>
        <w:tc>
          <w:tcPr>
            <w:tcW w:type="dxa" w:w="30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The gaps table</w:t>
            </w:r>
          </w:p>
        </w:tc>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gap register with ageing and automatic chasing</w:t>
            </w:r>
          </w:p>
        </w:tc>
        <w:tc>
          <w:tcPr>
            <w:tcW w:type="dxa" w:w="31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fields are known; only the chasing is automated</w:t>
            </w:r>
          </w:p>
        </w:tc>
      </w:tr>
      <w:tr>
        <w:tc>
          <w:tcPr>
            <w:tcW w:type="dxa" w:w="30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The tracker</w:t>
            </w:r>
          </w:p>
        </w:tc>
        <w:tc>
          <w:tcPr>
            <w:tcW w:type="dxa" w:w="3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enablement record and leadership dashboard</w:t>
            </w:r>
          </w:p>
        </w:tc>
        <w:tc>
          <w:tcPr>
            <w:tcW w:type="dxa" w:w="31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columns that proved useful survive; the rest are dropped</w:t>
            </w:r>
          </w:p>
        </w:tc>
      </w:tr>
      <w:tr>
        <w:tc>
          <w:tcPr>
            <w:tcW w:type="dxa" w:w="30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The pattern log</w:t>
            </w:r>
          </w:p>
        </w:tc>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pattern catalogue at M0 and M1</w:t>
            </w:r>
          </w:p>
        </w:tc>
        <w:tc>
          <w:tcPr>
            <w:tcW w:type="dxa" w:w="31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starting set of real patterns rather than a blank catalogue</w:t>
            </w:r>
          </w:p>
        </w:tc>
      </w:tr>
      <w:tr>
        <w:tc>
          <w:tcPr>
            <w:tcW w:type="dxa" w:w="30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The guardrail checklist</w:t>
            </w:r>
          </w:p>
        </w:tc>
        <w:tc>
          <w:tcPr>
            <w:tcW w:type="dxa" w:w="3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gate and policy engine</w:t>
            </w:r>
          </w:p>
        </w:tc>
        <w:tc>
          <w:tcPr>
            <w:tcW w:type="dxa" w:w="31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rules that were waived most often are the ones to enforce first</w:t>
            </w:r>
          </w:p>
        </w:tc>
      </w:tr>
      <w:tr>
        <w:tc>
          <w:tcPr>
            <w:tcW w:type="dxa" w:w="30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The pool's recurring questions</w:t>
            </w:r>
          </w:p>
        </w:tc>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partner onboarding assistant's knowledge base</w:t>
            </w:r>
          </w:p>
        </w:tc>
        <w:tc>
          <w:tcPr>
            <w:tcW w:type="dxa" w:w="31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Grounded in what partners actually asked</w:t>
            </w:r>
          </w:p>
        </w:tc>
      </w:tr>
    </w:tbl>
    <w:p>
      <w:pPr>
        <w:spacing w:after="140"/>
      </w:pPr>
      <w:r>
        <w:t xml:space="preserve"/>
      </w:r>
    </w:p>
    <w:p>
      <w:pPr>
        <w:spacing w:after="130" w:before="0"/>
      </w:pPr>
      <w:r>
        <w:rPr>
          <w:rFonts w:ascii="Calibri" w:cs="Calibri" w:eastAsia="Calibri" w:hAnsi="Calibri"/>
          <w:b/>
          <w:bCs/>
          <w:i w:val="false"/>
          <w:iCs w:val="false"/>
          <w:color w:val="1B2432"/>
          <w:sz w:val="21"/>
          <w:szCs w:val="21"/>
        </w:rPr>
        <w:t xml:space="preserve">The sequencing is therefore not a compromise and should not be presented as one. </w:t>
      </w:r>
      <w:r>
        <w:rPr>
          <w:rFonts w:ascii="Calibri" w:cs="Calibri" w:eastAsia="Calibri" w:hAnsi="Calibri"/>
          <w:b w:val="false"/>
          <w:bCs w:val="false"/>
          <w:i w:val="false"/>
          <w:iCs w:val="false"/>
          <w:color w:val="1B2432"/>
          <w:sz w:val="21"/>
          <w:szCs w:val="21"/>
        </w:rPr>
        <w:t xml:space="preserve">Running the model manually for a quarter produces a better-specified platform, a defensible business case, a calibrated rubric, a trained set of leads and a real pattern log — none of which would exist had the build started first.</w:t>
      </w:r>
    </w:p>
    <w:p>
      <w:r>
        <w:br w:type="page"/>
      </w:r>
    </w:p>
    <w:p>
      <w:pPr>
        <w:pStyle w:val="Heading1"/>
        <w:spacing w:after="220" w:before="400"/>
      </w:pPr>
      <w:r>
        <w:rPr>
          <w:rFonts w:ascii="Cambria" w:cs="Cambria" w:eastAsia="Cambria" w:hAnsi="Cambria"/>
          <w:b/>
          <w:bCs/>
          <w:color w:val="15304F"/>
          <w:sz w:val="34"/>
          <w:szCs w:val="34"/>
        </w:rPr>
        <w:t xml:space="preserve">Part 12 — Intake Completeness: The First Intervention</w:t>
      </w:r>
    </w:p>
    <w:p>
      <w:pPr>
        <w:spacing w:after="130" w:before="0"/>
      </w:pPr>
      <w:r>
        <w:rPr>
          <w:rFonts w:ascii="Calibri" w:cs="Calibri" w:eastAsia="Calibri" w:hAnsi="Calibri"/>
          <w:b w:val="false"/>
          <w:bCs w:val="false"/>
          <w:i w:val="false"/>
          <w:iCs w:val="false"/>
          <w:color w:val="1B2432"/>
          <w:sz w:val="21"/>
          <w:szCs w:val="21"/>
        </w:rPr>
        <w:t xml:space="preserve">Part 11 describes how the model runs from Day 1 with no build. This part describes the single intervention that carries most of the benefit in both phases — and which, in Phase 2, is automated. It changes how capacity is allocated, and it pays off over quarters. This part describes a single intervention that is not structural, pays off immediately, and benefits all three enablement models equally — including the one that exists today.</w:t>
      </w:r>
    </w:p>
    <w:p>
      <w:pPr>
        <w:spacing w:after="120" w:before="120"/>
      </w:pPr>
      <w:r>
        <w:rPr>
          <w:rFonts w:ascii="Calibri" w:cs="Calibri" w:eastAsia="Calibri" w:hAnsi="Calibri"/>
          <w:b/>
          <w:bCs/>
          <w:i w:val="false"/>
          <w:iCs w:val="false"/>
          <w:color w:val="15304F"/>
          <w:sz w:val="24"/>
          <w:szCs w:val="24"/>
        </w:rPr>
        <w:t xml:space="preserve">The majority of onboarding delay is caused by missing data, discovered late. </w:t>
      </w:r>
    </w:p>
    <w:p>
      <w:pPr>
        <w:spacing w:after="130" w:before="0"/>
      </w:pPr>
      <w:r>
        <w:rPr>
          <w:rFonts w:ascii="Calibri" w:cs="Calibri" w:eastAsia="Calibri" w:hAnsi="Calibri"/>
          <w:b w:val="false"/>
          <w:bCs w:val="false"/>
          <w:i w:val="false"/>
          <w:iCs w:val="false"/>
          <w:color w:val="1B2432"/>
          <w:sz w:val="21"/>
          <w:szCs w:val="21"/>
        </w:rPr>
        <w:t xml:space="preserve">Not by engineering complexity, not by capacity shortage, and not by partner unwillingness. By the fact that the requirement for a piece of information is discovered incrementally, by a person, after the intake has already landed — and each discovery starts a cycle that costs days of elapsed time and a small amount of effort spread thinly across several people.</w:t>
      </w:r>
    </w:p>
    <w:p>
      <w:pPr>
        <w:pStyle w:val="Heading2"/>
        <w:spacing w:after="170" w:before="320"/>
      </w:pPr>
      <w:r>
        <w:rPr>
          <w:rFonts w:ascii="Cambria" w:cs="Cambria" w:eastAsia="Cambria" w:hAnsi="Cambria"/>
          <w:b/>
          <w:bCs/>
          <w:color w:val="15304F"/>
          <w:sz w:val="27"/>
          <w:szCs w:val="27"/>
        </w:rPr>
        <w:t xml:space="preserve">12.1 Anatomy of a data-deficit cycle</w:t>
      </w:r>
    </w:p>
    <w:p>
      <w:pPr>
        <w:spacing w:after="130" w:before="0"/>
      </w:pPr>
      <w:r>
        <w:rPr>
          <w:rFonts w:ascii="Calibri" w:cs="Calibri" w:eastAsia="Calibri" w:hAnsi="Calibri"/>
          <w:b w:val="false"/>
          <w:bCs w:val="false"/>
          <w:i w:val="false"/>
          <w:iCs w:val="false"/>
          <w:color w:val="1B2432"/>
          <w:sz w:val="21"/>
          <w:szCs w:val="21"/>
        </w:rPr>
        <w:t xml:space="preserve">The cycle is the same every time, and it repeats many times per intake.</w:t>
      </w:r>
    </w:p>
    <w:p>
      <w:pPr>
        <w:pStyle w:val="ListParagraph"/>
        <w:numPr>
          <w:ilvl w:val="0"/>
          <w:numId w:val="7"/>
        </w:numPr>
        <w:spacing w:after="75"/>
      </w:pPr>
      <w:r>
        <w:rPr>
          <w:rFonts w:ascii="Calibri" w:cs="Calibri" w:eastAsia="Calibri" w:hAnsi="Calibri"/>
          <w:color w:val="1B2432"/>
          <w:sz w:val="21"/>
          <w:szCs w:val="21"/>
        </w:rPr>
        <w:t xml:space="preserve">An engineer reaches a step and realises a piece of information is required.</w:t>
      </w:r>
    </w:p>
    <w:p>
      <w:pPr>
        <w:pStyle w:val="ListParagraph"/>
        <w:numPr>
          <w:ilvl w:val="0"/>
          <w:numId w:val="7"/>
        </w:numPr>
        <w:spacing w:after="75"/>
      </w:pPr>
      <w:r>
        <w:rPr>
          <w:rFonts w:ascii="Calibri" w:cs="Calibri" w:eastAsia="Calibri" w:hAnsi="Calibri"/>
          <w:color w:val="1B2432"/>
          <w:sz w:val="21"/>
          <w:szCs w:val="21"/>
        </w:rPr>
        <w:t xml:space="preserve">The engineer works out who on the partner side would know it.</w:t>
      </w:r>
    </w:p>
    <w:p>
      <w:pPr>
        <w:pStyle w:val="ListParagraph"/>
        <w:numPr>
          <w:ilvl w:val="0"/>
          <w:numId w:val="7"/>
        </w:numPr>
        <w:spacing w:after="75"/>
      </w:pPr>
      <w:r>
        <w:rPr>
          <w:rFonts w:ascii="Calibri" w:cs="Calibri" w:eastAsia="Calibri" w:hAnsi="Calibri"/>
          <w:color w:val="1B2432"/>
          <w:sz w:val="21"/>
          <w:szCs w:val="21"/>
        </w:rPr>
        <w:t xml:space="preserve">The engineer explains what is needed and — the expensive part — why it is needed, because the partner cannot supply a good answer to a question they do not understand the purpose of.</w:t>
      </w:r>
    </w:p>
    <w:p>
      <w:pPr>
        <w:pStyle w:val="ListParagraph"/>
        <w:numPr>
          <w:ilvl w:val="0"/>
          <w:numId w:val="7"/>
        </w:numPr>
        <w:spacing w:after="75"/>
      </w:pPr>
      <w:r>
        <w:rPr>
          <w:rFonts w:ascii="Calibri" w:cs="Calibri" w:eastAsia="Calibri" w:hAnsi="Calibri"/>
          <w:color w:val="1B2432"/>
          <w:sz w:val="21"/>
          <w:szCs w:val="21"/>
        </w:rPr>
        <w:t xml:space="preserve">The partner goes away to find it. Elapsed time: days, sometimes weeks.</w:t>
      </w:r>
    </w:p>
    <w:p>
      <w:pPr>
        <w:pStyle w:val="ListParagraph"/>
        <w:numPr>
          <w:ilvl w:val="0"/>
          <w:numId w:val="7"/>
        </w:numPr>
        <w:spacing w:after="75"/>
      </w:pPr>
      <w:r>
        <w:rPr>
          <w:rFonts w:ascii="Calibri" w:cs="Calibri" w:eastAsia="Calibri" w:hAnsi="Calibri"/>
          <w:color w:val="1B2432"/>
          <w:sz w:val="21"/>
          <w:szCs w:val="21"/>
        </w:rPr>
        <w:t xml:space="preserve">The partner returns with a partial or imprecise answer, because the explanation did not fully land.</w:t>
      </w:r>
    </w:p>
    <w:p>
      <w:pPr>
        <w:pStyle w:val="ListParagraph"/>
        <w:numPr>
          <w:ilvl w:val="0"/>
          <w:numId w:val="7"/>
        </w:numPr>
        <w:spacing w:after="75"/>
      </w:pPr>
      <w:r>
        <w:rPr>
          <w:rFonts w:ascii="Calibri" w:cs="Calibri" w:eastAsia="Calibri" w:hAnsi="Calibri"/>
          <w:color w:val="1B2432"/>
          <w:sz w:val="21"/>
          <w:szCs w:val="21"/>
        </w:rPr>
        <w:t xml:space="preserve">The engineer clarifies. The partner refines. Sometimes a third round.</w:t>
      </w:r>
    </w:p>
    <w:p>
      <w:pPr>
        <w:pStyle w:val="ListParagraph"/>
        <w:numPr>
          <w:ilvl w:val="0"/>
          <w:numId w:val="7"/>
        </w:numPr>
        <w:spacing w:after="75"/>
      </w:pPr>
      <w:r>
        <w:rPr>
          <w:rFonts w:ascii="Calibri" w:cs="Calibri" w:eastAsia="Calibri" w:hAnsi="Calibri"/>
          <w:color w:val="1B2432"/>
          <w:sz w:val="21"/>
          <w:szCs w:val="21"/>
        </w:rPr>
        <w:t xml:space="preserve">Work resumes — until the next step reaches the next missing item, and the cycle restarts.</w:t>
      </w:r>
    </w:p>
    <w:p>
      <w:pPr>
        <w:spacing w:after="140"/>
      </w:pPr>
      <w:r>
        <w:t xml:space="preserve"/>
      </w:r>
    </w:p>
    <w:tbl>
      <w:tblPr>
        <w:tblW w:type="dxa" w:w="9360"/>
        <w:tblBorders>
          <w:top w:val="single" w:color="A44A2A" w:sz="6"/>
          <w:left w:val="single" w:color="A44A2A" w:sz="6"/>
          <w:bottom w:val="single" w:color="A44A2A" w:sz="6"/>
          <w:right w:val="single" w:color="A44A2A" w:sz="6"/>
          <w:insideH w:val="none"/>
          <w:insideV w:val="none"/>
        </w:tblBorders>
      </w:tblPr>
      <w:tblGrid>
        <w:gridCol w:w="9360"/>
      </w:tblGrid>
      <w:tr>
        <w:tc>
          <w:tcPr>
            <w:tcW w:type="dxa" w:w="9360"/>
            <w:shd w:fill="FDF5F1" w:color="auto" w:val="clear"/>
            <w:tcMar>
              <w:top w:type="dxa" w:w="140"/>
              <w:left w:type="dxa" w:w="165"/>
              <w:bottom w:type="dxa" w:w="140"/>
              <w:right w:type="dxa" w:w="165"/>
            </w:tcMar>
          </w:tcPr>
          <w:p>
            <w:pPr>
              <w:spacing w:after="85"/>
            </w:pPr>
            <w:r>
              <w:rPr>
                <w:rFonts w:ascii="Calibri" w:cs="Calibri" w:eastAsia="Calibri" w:hAnsi="Calibri"/>
                <w:b/>
                <w:bCs/>
                <w:color w:val="A44A2A"/>
                <w:sz w:val="20"/>
                <w:szCs w:val="20"/>
              </w:rPr>
              <w:t xml:space="preserve">WHY THIS IS THE MOST TIRING WORK IN THE PROCESS</w:t>
            </w:r>
          </w:p>
          <w:p>
            <w:pPr>
              <w:spacing w:after="65"/>
            </w:pPr>
            <w:r>
              <w:rPr>
                <w:rFonts w:ascii="Calibri" w:cs="Calibri" w:eastAsia="Calibri" w:hAnsi="Calibri"/>
                <w:color w:val="1B2432"/>
                <w:sz w:val="20"/>
                <w:szCs w:val="20"/>
              </w:rPr>
              <w:t xml:space="preserve">Measured in effort, each cycle is small — an hour here, a call there. Measured in elapsed time, each one costs days.</w:t>
            </w:r>
          </w:p>
          <w:p>
            <w:pPr>
              <w:spacing w:after="65"/>
            </w:pPr>
            <w:r>
              <w:rPr>
                <w:rFonts w:ascii="Calibri" w:cs="Calibri" w:eastAsia="Calibri" w:hAnsi="Calibri"/>
                <w:color w:val="1B2432"/>
                <w:sz w:val="20"/>
                <w:szCs w:val="20"/>
              </w:rPr>
              <w:t xml:space="preserve">Measured in human cost, it is the single most draining activity an enabling squad member performs, because it is repetitive, it is explanatory rather than technical, and it must be done again from scratch for every partner.</w:t>
            </w:r>
          </w:p>
          <w:p>
            <w:pPr>
              <w:spacing w:after="65"/>
            </w:pPr>
            <w:r>
              <w:rPr>
                <w:rFonts w:ascii="Calibri" w:cs="Calibri" w:eastAsia="Calibri" w:hAnsi="Calibri"/>
                <w:color w:val="1B2432"/>
                <w:sz w:val="20"/>
                <w:szCs w:val="20"/>
              </w:rPr>
              <w:t xml:space="preserve">An experienced engineer carries the full requirement set in their head and front-loads much of it. A less experienced one discovers it a step at a time. The variance between the two is one of the largest sources of unpredictability in current delivery timelines.</w:t>
            </w:r>
          </w:p>
        </w:tc>
      </w:tr>
    </w:tbl>
    <w:p>
      <w:pPr>
        <w:pStyle w:val="Heading2"/>
        <w:spacing w:after="170" w:before="320"/>
      </w:pPr>
      <w:r>
        <w:rPr>
          <w:rFonts w:ascii="Cambria" w:cs="Cambria" w:eastAsia="Cambria" w:hAnsi="Cambria"/>
          <w:b/>
          <w:bCs/>
          <w:color w:val="15304F"/>
          <w:sz w:val="27"/>
          <w:szCs w:val="27"/>
        </w:rPr>
        <w:t xml:space="preserve">12.2 The operational estimate, and how to test it</w:t>
      </w:r>
    </w:p>
    <w:p>
      <w:pPr>
        <w:spacing w:after="130" w:before="0"/>
      </w:pPr>
      <w:r>
        <w:rPr>
          <w:rFonts w:ascii="Calibri" w:cs="Calibri" w:eastAsia="Calibri" w:hAnsi="Calibri"/>
          <w:b w:val="false"/>
          <w:bCs w:val="false"/>
          <w:i w:val="false"/>
          <w:iCs w:val="false"/>
          <w:color w:val="1B2432"/>
          <w:sz w:val="21"/>
          <w:szCs w:val="21"/>
        </w:rPr>
        <w:t xml:space="preserve">The enabling squads' working estimate is that data-deficit cycles consume thirty to forty per cent of total elapsed time on a typical onboarding. That figure is a practitioner estimate rather than a measurement, and it should be presented as such — but it is the most informed estimate available, and it is consistent with where the cycles occur.</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3000"/>
        <w:gridCol w:w="3200"/>
        <w:gridCol w:w="3160"/>
      </w:tblGrid>
      <w:tr>
        <w:trPr>
          <w:tblHeader/>
        </w:trPr>
        <w:tc>
          <w:tcPr>
            <w:tcW w:type="dxa" w:w="30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Where the time goes</w:t>
            </w:r>
          </w:p>
        </w:tc>
        <w:tc>
          <w:tcPr>
            <w:tcW w:type="dxa" w:w="32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Mechanism</w:t>
            </w:r>
          </w:p>
        </w:tc>
        <w:tc>
          <w:tcPr>
            <w:tcW w:type="dxa" w:w="31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Model affected</w:t>
            </w:r>
          </w:p>
        </w:tc>
      </w:tr>
      <w:tr>
        <w:tc>
          <w:tcPr>
            <w:tcW w:type="dxa" w:w="30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Waiting for partner responses</w:t>
            </w:r>
          </w:p>
        </w:tc>
        <w:tc>
          <w:tcPr>
            <w:tcW w:type="dxa" w:w="3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Elapsed days per cycle, several cycles per phase</w:t>
            </w:r>
          </w:p>
        </w:tc>
        <w:tc>
          <w:tcPr>
            <w:tcW w:type="dxa" w:w="31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All three</w:t>
            </w:r>
          </w:p>
        </w:tc>
      </w:tr>
      <w:tr>
        <w:tc>
          <w:tcPr>
            <w:tcW w:type="dxa" w:w="30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Re-explaining the same requirement</w:t>
            </w:r>
          </w:p>
        </w:tc>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Each new participant needs the same context rebuilt</w:t>
            </w:r>
          </w:p>
        </w:tc>
        <w:tc>
          <w:tcPr>
            <w:tcW w:type="dxa" w:w="31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All three</w:t>
            </w:r>
          </w:p>
        </w:tc>
      </w:tr>
      <w:tr>
        <w:tc>
          <w:tcPr>
            <w:tcW w:type="dxa" w:w="30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Rework from assumed answers</w:t>
            </w:r>
          </w:p>
        </w:tc>
        <w:tc>
          <w:tcPr>
            <w:tcW w:type="dxa" w:w="3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Work proceeds on an assumption that later proves wrong</w:t>
            </w:r>
          </w:p>
        </w:tc>
        <w:tc>
          <w:tcPr>
            <w:tcW w:type="dxa" w:w="31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All three</w:t>
            </w:r>
          </w:p>
        </w:tc>
      </w:tr>
      <w:tr>
        <w:tc>
          <w:tcPr>
            <w:tcW w:type="dxa" w:w="30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Discovery sessions that cannot conclude</w:t>
            </w:r>
          </w:p>
        </w:tc>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session runs without the input it needed, and reconvenes</w:t>
            </w:r>
          </w:p>
        </w:tc>
        <w:tc>
          <w:tcPr>
            <w:tcW w:type="dxa" w:w="31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Lean+ and Dedicated</w:t>
            </w:r>
          </w:p>
        </w:tc>
      </w:tr>
      <w:tr>
        <w:tc>
          <w:tcPr>
            <w:tcW w:type="dxa" w:w="30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Follow-up loops at triage</w:t>
            </w:r>
          </w:p>
        </w:tc>
        <w:tc>
          <w:tcPr>
            <w:tcW w:type="dxa" w:w="3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Intake held in a waiting state with no enforced return date</w:t>
            </w:r>
          </w:p>
        </w:tc>
        <w:tc>
          <w:tcPr>
            <w:tcW w:type="dxa" w:w="31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All three</w:t>
            </w:r>
          </w:p>
        </w:tc>
      </w:tr>
      <w:tr>
        <w:tc>
          <w:tcPr>
            <w:tcW w:type="dxa" w:w="30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Late-surfacing lead-time items</w:t>
            </w:r>
          </w:p>
        </w:tc>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long-lead request is identified weeks after it could have started</w:t>
            </w:r>
          </w:p>
        </w:tc>
        <w:tc>
          <w:tcPr>
            <w:tcW w:type="dxa" w:w="31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All three</w:t>
            </w:r>
          </w:p>
        </w:tc>
      </w:tr>
    </w:tbl>
    <w:p>
      <w:pPr>
        <w:spacing w:after="140"/>
      </w:pPr>
      <w:r>
        <w:t xml:space="preserve"/>
      </w:r>
    </w:p>
    <w:p>
      <w:pPr>
        <w:spacing w:after="130" w:before="0"/>
      </w:pPr>
      <w:r>
        <w:rPr>
          <w:rFonts w:ascii="Calibri" w:cs="Calibri" w:eastAsia="Calibri" w:hAnsi="Calibri"/>
          <w:b/>
          <w:bCs/>
          <w:i w:val="false"/>
          <w:iCs w:val="false"/>
          <w:color w:val="1B2432"/>
          <w:sz w:val="21"/>
          <w:szCs w:val="21"/>
        </w:rPr>
        <w:t xml:space="preserve">Validating it costs almost nothing. </w:t>
      </w:r>
      <w:r>
        <w:rPr>
          <w:rFonts w:ascii="Calibri" w:cs="Calibri" w:eastAsia="Calibri" w:hAnsi="Calibri"/>
          <w:b w:val="false"/>
          <w:bCs w:val="false"/>
          <w:i w:val="false"/>
          <w:iCs w:val="false"/>
          <w:color w:val="1B2432"/>
          <w:sz w:val="21"/>
          <w:szCs w:val="21"/>
        </w:rPr>
        <w:t xml:space="preserve">Counting clarification cycles per intake across the last twelve months, and the elapsed days between each request and its resolution, converts the estimate into a measurement. This is a Sprint 1 deliverable precisely because the entire case for prioritising intake completeness rests on it.</w:t>
      </w:r>
    </w:p>
    <w:p>
      <w:pPr>
        <w:pStyle w:val="Heading2"/>
        <w:spacing w:after="170" w:before="320"/>
      </w:pPr>
      <w:r>
        <w:rPr>
          <w:rFonts w:ascii="Cambria" w:cs="Cambria" w:eastAsia="Cambria" w:hAnsi="Cambria"/>
          <w:b/>
          <w:bCs/>
          <w:color w:val="15304F"/>
          <w:sz w:val="27"/>
          <w:szCs w:val="27"/>
        </w:rPr>
        <w:t xml:space="preserve">12.3 Why this intervention comes first</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700"/>
        <w:gridCol w:w="6660"/>
      </w:tblGrid>
      <w:tr>
        <w:trPr>
          <w:tblHeader/>
        </w:trPr>
        <w:tc>
          <w:tcPr>
            <w:tcW w:type="dxa" w:w="27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Property</w:t>
            </w:r>
          </w:p>
        </w:tc>
        <w:tc>
          <w:tcPr>
            <w:tcW w:type="dxa" w:w="66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Why it matters here</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Tier-independent</w:t>
            </w:r>
          </w:p>
        </w:tc>
        <w:tc>
          <w:tcPr>
            <w:tcW w:type="dxa" w:w="6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data deficit is identical in Lean, Lean+ and Dedicated. Fixing it improves every model, including the current one, before any structural change is agreed.</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No dependency on re-organisation</w:t>
            </w:r>
          </w:p>
        </w:tc>
        <w:tc>
          <w:tcPr>
            <w:tcW w:type="dxa" w:w="6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It needs no new team, no headcount movement and no leadership decision beyond building it.</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No dependency on integration</w:t>
            </w:r>
          </w:p>
        </w:tc>
        <w:tc>
          <w:tcPr>
            <w:tcW w:type="dxa" w:w="6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conversation that produces a validated package requires no connection to any downstream system.</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Immediate and visible</w:t>
            </w:r>
          </w:p>
        </w:tc>
        <w:tc>
          <w:tcPr>
            <w:tcW w:type="dxa" w:w="6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Clarification cycles are countable. A reduction shows within one or two intakes, not one or two quarters.</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Prerequisite for everything else</w:t>
            </w:r>
          </w:p>
        </w:tc>
        <w:tc>
          <w:tcPr>
            <w:tcW w:type="dxa" w:w="6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Tiering, pattern matching, scope derivation and artefact generation all operate on intake content. Each is only as good as what the intake holds.</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Highest effort-to-value ratio</w:t>
            </w:r>
          </w:p>
        </w:tc>
        <w:tc>
          <w:tcPr>
            <w:tcW w:type="dxa" w:w="6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It is the cheapest item on the roadmap and, by the squads' own estimate, the largest single time saving.</w:t>
            </w:r>
          </w:p>
        </w:tc>
      </w:tr>
    </w:tbl>
    <w:p>
      <w:pPr>
        <w:pStyle w:val="Heading2"/>
        <w:spacing w:after="170" w:before="320"/>
      </w:pPr>
      <w:r>
        <w:rPr>
          <w:rFonts w:ascii="Cambria" w:cs="Cambria" w:eastAsia="Cambria" w:hAnsi="Cambria"/>
          <w:b/>
          <w:bCs/>
          <w:color w:val="15304F"/>
          <w:sz w:val="27"/>
          <w:szCs w:val="27"/>
        </w:rPr>
        <w:t xml:space="preserve">12.4 What 'complete at intake' actually means</w:t>
      </w:r>
    </w:p>
    <w:p>
      <w:pPr>
        <w:spacing w:after="130" w:before="0"/>
      </w:pPr>
      <w:r>
        <w:rPr>
          <w:rFonts w:ascii="Calibri" w:cs="Calibri" w:eastAsia="Calibri" w:hAnsi="Calibri"/>
          <w:b w:val="false"/>
          <w:bCs w:val="false"/>
          <w:i w:val="false"/>
          <w:iCs w:val="false"/>
          <w:color w:val="1B2432"/>
          <w:sz w:val="21"/>
          <w:szCs w:val="21"/>
        </w:rPr>
        <w:t xml:space="preserve">Demanding every answer at intake is unrealistic and would simply move the delay to the front door. Some facts genuinely are not knowable on day one — a cutover window six months out, a UAT participant list, an environment readiness date.</w:t>
      </w:r>
    </w:p>
    <w:p>
      <w:pPr>
        <w:spacing w:after="130" w:before="0"/>
      </w:pPr>
      <w:r>
        <w:rPr>
          <w:rFonts w:ascii="Calibri" w:cs="Calibri" w:eastAsia="Calibri" w:hAnsi="Calibri"/>
          <w:b w:val="false"/>
          <w:bCs w:val="false"/>
          <w:i w:val="false"/>
          <w:iCs w:val="false"/>
          <w:color w:val="1B2432"/>
          <w:sz w:val="21"/>
          <w:szCs w:val="21"/>
        </w:rPr>
        <w:t xml:space="preserve">The design goal is therefore more precise, and more achievable:</w:t>
      </w:r>
    </w:p>
    <w:p>
      <w:pPr>
        <w:spacing w:after="110" w:before="110"/>
      </w:pPr>
      <w:r>
        <w:rPr>
          <w:rFonts w:ascii="Calibri" w:cs="Calibri" w:eastAsia="Calibri" w:hAnsi="Calibri"/>
          <w:b/>
          <w:bCs/>
          <w:i w:val="false"/>
          <w:iCs w:val="false"/>
          <w:color w:val="15304F"/>
          <w:sz w:val="23"/>
          <w:szCs w:val="23"/>
        </w:rPr>
        <w:t xml:space="preserve">Capture everything knowable now, and convert everything else from an unknown-unknown into a scheduled-known.</w:t>
      </w:r>
    </w:p>
    <w:p>
      <w:pPr>
        <w:spacing w:after="130" w:before="0"/>
      </w:pPr>
      <w:r>
        <w:rPr>
          <w:rFonts w:ascii="Calibri" w:cs="Calibri" w:eastAsia="Calibri" w:hAnsi="Calibri"/>
          <w:b w:val="false"/>
          <w:bCs w:val="false"/>
          <w:i w:val="false"/>
          <w:iCs w:val="false"/>
          <w:color w:val="1B2432"/>
          <w:sz w:val="21"/>
          <w:szCs w:val="21"/>
        </w:rPr>
        <w:t xml:space="preserve">A field left blank and a field marked "not yet known — owner: partner solution architect — required by the design checkpoint on 14 November — blocks: repository profile design" are entirely different artefacts. The first is a future surprise. The second is a managed dependency with a name and a date against it.</w:t>
      </w:r>
    </w:p>
    <w:p>
      <w:pPr>
        <w:spacing w:after="130" w:before="0"/>
      </w:pPr>
      <w:r>
        <w:rPr>
          <w:rFonts w:ascii="Calibri" w:cs="Calibri" w:eastAsia="Calibri" w:hAnsi="Calibri"/>
          <w:b w:val="false"/>
          <w:bCs w:val="false"/>
          <w:i w:val="false"/>
          <w:iCs w:val="false"/>
          <w:color w:val="1B2432"/>
          <w:sz w:val="21"/>
          <w:szCs w:val="21"/>
        </w:rPr>
        <w:t xml:space="preserve">Under this model nothing is ever discovered late. Every required item is either answered at intake or registered as a dated gap at intake. The engineer who picks the intake up never encounters a requirement the partner has not already been told about.</w:t>
      </w:r>
    </w:p>
    <w:p>
      <w:pPr>
        <w:pStyle w:val="Heading3"/>
        <w:spacing w:after="130" w:before="250"/>
      </w:pPr>
      <w:r>
        <w:rPr>
          <w:rFonts w:ascii="Calibri" w:cs="Calibri" w:eastAsia="Calibri" w:hAnsi="Calibri"/>
          <w:b/>
          <w:bCs/>
          <w:color w:val="1B2432"/>
          <w:sz w:val="23"/>
          <w:szCs w:val="23"/>
        </w:rPr>
        <w:t xml:space="preserve">The four completeness bands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500"/>
        <w:gridCol w:w="2300"/>
        <w:gridCol w:w="2300"/>
        <w:gridCol w:w="2260"/>
      </w:tblGrid>
      <w:tr>
        <w:trPr>
          <w:tblHeader/>
        </w:trPr>
        <w:tc>
          <w:tcPr>
            <w:tcW w:type="dxa" w:w="2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Band</w:t>
            </w:r>
          </w:p>
        </w:tc>
        <w:tc>
          <w:tcPr>
            <w:tcW w:type="dxa" w:w="23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Must be answered by</w:t>
            </w:r>
          </w:p>
        </w:tc>
        <w:tc>
          <w:tcPr>
            <w:tcW w:type="dxa" w:w="23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If unanswered</w:t>
            </w:r>
          </w:p>
        </w:tc>
        <w:tc>
          <w:tcPr>
            <w:tcW w:type="dxa" w:w="22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Typical content</w:t>
            </w:r>
          </w:p>
        </w:tc>
      </w:tr>
      <w:tr>
        <w:tc>
          <w:tcPr>
            <w:tcW w:type="dxa" w:w="2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Mandatory to accept</w:t>
            </w:r>
          </w:p>
        </w:tc>
        <w:tc>
          <w:tcPr>
            <w:tcW w:type="dxa" w:w="2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Intake submission</w:t>
            </w:r>
          </w:p>
        </w:tc>
        <w:tc>
          <w:tcPr>
            <w:tcW w:type="dxa" w:w="2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Intake is not accepted into the queue</w:t>
            </w:r>
          </w:p>
        </w:tc>
        <w:tc>
          <w:tcPr>
            <w:tcW w:type="dxa" w:w="22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Business outcome, application identity, zone, document types, named owners</w:t>
            </w:r>
          </w:p>
        </w:tc>
      </w:tr>
      <w:tr>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Mandatory to design</w:t>
            </w:r>
          </w:p>
        </w:tc>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P1 gate</w:t>
            </w:r>
          </w:p>
        </w:tc>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 baseline cannot close</w:t>
            </w:r>
          </w:p>
        </w:tc>
        <w:tc>
          <w:tcPr>
            <w:tcW w:type="dxa" w:w="22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Trust posture inputs, samples, retention obligation, volumes, channel</w:t>
            </w:r>
          </w:p>
        </w:tc>
      </w:tr>
      <w:tr>
        <w:tc>
          <w:tcPr>
            <w:tcW w:type="dxa" w:w="2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Mandatory to provision</w:t>
            </w:r>
          </w:p>
        </w:tc>
        <w:tc>
          <w:tcPr>
            <w:tcW w:type="dxa" w:w="2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P2 gate</w:t>
            </w:r>
          </w:p>
        </w:tc>
        <w:tc>
          <w:tcPr>
            <w:tcW w:type="dxa" w:w="2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Provisioning cannot complete</w:t>
            </w:r>
          </w:p>
        </w:tc>
        <w:tc>
          <w:tcPr>
            <w:tcW w:type="dxa" w:w="22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Metadata attributes, user populations, access routing inputs, certificates</w:t>
            </w:r>
          </w:p>
        </w:tc>
      </w:tr>
      <w:tr>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Mandatory to certify</w:t>
            </w:r>
          </w:p>
        </w:tc>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P4 gate</w:t>
            </w:r>
          </w:p>
        </w:tc>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Promotion is blocked</w:t>
            </w:r>
          </w:p>
        </w:tc>
        <w:tc>
          <w:tcPr>
            <w:tcW w:type="dxa" w:w="22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UAT participants, cutover constraints, support model, escalation contacts</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Each band maps to the gate it blocks, which is what makes the gap register actionable rather than decorative. A partner is never asked for something whose deadline has not been explained, and an engineer is never blocked by something whose owner is not already named.</w:t>
      </w:r>
    </w:p>
    <w:p>
      <w:pPr>
        <w:pStyle w:val="Heading2"/>
        <w:spacing w:after="170" w:before="320"/>
      </w:pPr>
      <w:r>
        <w:rPr>
          <w:rFonts w:ascii="Cambria" w:cs="Cambria" w:eastAsia="Cambria" w:hAnsi="Cambria"/>
          <w:b/>
          <w:bCs/>
          <w:color w:val="15304F"/>
          <w:sz w:val="27"/>
          <w:szCs w:val="27"/>
        </w:rPr>
        <w:t xml:space="preserve">12.5 The Intake Data Catalogue and the why-register</w:t>
      </w:r>
    </w:p>
    <w:p>
      <w:pPr>
        <w:spacing w:after="130" w:before="0"/>
      </w:pPr>
      <w:r>
        <w:rPr>
          <w:rFonts w:ascii="Calibri" w:cs="Calibri" w:eastAsia="Calibri" w:hAnsi="Calibri"/>
          <w:b w:val="false"/>
          <w:bCs w:val="false"/>
          <w:i w:val="false"/>
          <w:iCs w:val="false"/>
          <w:color w:val="1B2432"/>
          <w:sz w:val="21"/>
          <w:szCs w:val="21"/>
        </w:rPr>
        <w:t xml:space="preserve">The capability rests on a single asset: a catalogue of every data point the onboarding lifecycle requires, and for each one, why it is required and what it blocks. This is the knowledge currently held — unevenly — in experienced engineers' heads.</w:t>
      </w:r>
    </w:p>
    <w:p>
      <w:pPr>
        <w:spacing w:after="130" w:before="0"/>
      </w:pPr>
      <w:r>
        <w:rPr>
          <w:rFonts w:ascii="Calibri" w:cs="Calibri" w:eastAsia="Calibri" w:hAnsi="Calibri"/>
          <w:b w:val="false"/>
          <w:bCs w:val="false"/>
          <w:i w:val="false"/>
          <w:iCs w:val="false"/>
          <w:color w:val="1B2432"/>
          <w:sz w:val="21"/>
          <w:szCs w:val="21"/>
        </w:rPr>
        <w:t xml:space="preserve">The full catalogue is at Appendix D. It runs to fifty-four data points across ten categories.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300"/>
        <w:gridCol w:w="1100"/>
        <w:gridCol w:w="2900"/>
        <w:gridCol w:w="3060"/>
      </w:tblGrid>
      <w:tr>
        <w:trPr>
          <w:tblHeader/>
        </w:trPr>
        <w:tc>
          <w:tcPr>
            <w:tcW w:type="dxa" w:w="23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Category</w:t>
            </w:r>
          </w:p>
        </w:tc>
        <w:tc>
          <w:tcPr>
            <w:tcW w:type="dxa" w:w="11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Points</w:t>
            </w:r>
          </w:p>
        </w:tc>
        <w:tc>
          <w:tcPr>
            <w:tcW w:type="dxa" w:w="29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Primarily unblocks</w:t>
            </w:r>
          </w:p>
        </w:tc>
        <w:tc>
          <w:tcPr>
            <w:tcW w:type="dxa" w:w="30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Cost when deferred</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A — Business context and outcome</w:t>
            </w:r>
          </w:p>
        </w:tc>
        <w:tc>
          <w:tcPr>
            <w:tcW w:type="dxa" w:w="11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5</w:t>
            </w:r>
          </w:p>
        </w:tc>
        <w:tc>
          <w:tcPr>
            <w:tcW w:type="dxa" w:w="29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LOB prioritisation, UAT scope, RM obligation</w:t>
            </w:r>
          </w:p>
        </w:tc>
        <w:tc>
          <w:tcPr>
            <w:tcW w:type="dxa" w:w="30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Acceptance criteria argued at go-live</w:t>
            </w:r>
          </w:p>
        </w:tc>
      </w:tr>
      <w:tr>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B — Application and zone identity</w:t>
            </w:r>
          </w:p>
        </w:tc>
        <w:tc>
          <w:tcPr>
            <w:tcW w:type="dxa" w:w="11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6</w:t>
            </w:r>
          </w:p>
        </w:tc>
        <w:tc>
          <w:tcPr>
            <w:tcW w:type="dxa" w:w="29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Connectivity, certificates, access, subscriptions</w:t>
            </w:r>
          </w:p>
        </w:tc>
        <w:tc>
          <w:tcPr>
            <w:tcW w:type="dxa" w:w="30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Long-lead requests start weeks late</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 — Document inventory</w:t>
            </w:r>
          </w:p>
        </w:tc>
        <w:tc>
          <w:tcPr>
            <w:tcW w:type="dxa" w:w="11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8</w:t>
            </w:r>
          </w:p>
        </w:tc>
        <w:tc>
          <w:tcPr>
            <w:tcW w:type="dxa" w:w="29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Governance determination, profile design, capacity</w:t>
            </w:r>
          </w:p>
        </w:tc>
        <w:tc>
          <w:tcPr>
            <w:tcW w:type="dxa" w:w="30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Entire content workstream mis-scoped</w:t>
            </w:r>
          </w:p>
        </w:tc>
      </w:tr>
      <w:tr>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 — Trust and classification inputs</w:t>
            </w:r>
          </w:p>
        </w:tc>
        <w:tc>
          <w:tcPr>
            <w:tcW w:type="dxa" w:w="11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5</w:t>
            </w:r>
          </w:p>
        </w:tc>
        <w:tc>
          <w:tcPr>
            <w:tcW w:type="dxa" w:w="29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Governance submission, knowledge base assessment</w:t>
            </w:r>
          </w:p>
        </w:tc>
        <w:tc>
          <w:tcPr>
            <w:tcW w:type="dxa" w:w="30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Classification rework; review volume unknown</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 — Retention and regulatory</w:t>
            </w:r>
          </w:p>
        </w:tc>
        <w:tc>
          <w:tcPr>
            <w:tcW w:type="dxa" w:w="11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6</w:t>
            </w:r>
          </w:p>
        </w:tc>
        <w:tc>
          <w:tcPr>
            <w:tcW w:type="dxa" w:w="29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Repository selection, RM questionnaire, tiering</w:t>
            </w:r>
          </w:p>
        </w:tc>
        <w:tc>
          <w:tcPr>
            <w:tcW w:type="dxa" w:w="30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Repository and profile redesign</w:t>
            </w:r>
          </w:p>
        </w:tc>
      </w:tr>
      <w:tr>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F — Channel and integration</w:t>
            </w:r>
          </w:p>
        </w:tc>
        <w:tc>
          <w:tcPr>
            <w:tcW w:type="dxa" w:w="11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7</w:t>
            </w:r>
          </w:p>
        </w:tc>
        <w:tc>
          <w:tcPr>
            <w:tcW w:type="dxa" w:w="29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Ingestion design, reconciliation, event enablement</w:t>
            </w:r>
          </w:p>
        </w:tc>
        <w:tc>
          <w:tcPr>
            <w:tcW w:type="dxa" w:w="30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Integration built against the wrong assumption</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G — Metadata and retrieval</w:t>
            </w:r>
          </w:p>
        </w:tc>
        <w:tc>
          <w:tcPr>
            <w:tcW w:type="dxa" w:w="11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5</w:t>
            </w:r>
          </w:p>
        </w:tc>
        <w:tc>
          <w:tcPr>
            <w:tcW w:type="dxa" w:w="29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Profile configuration, search enablement</w:t>
            </w:r>
          </w:p>
        </w:tc>
        <w:tc>
          <w:tcPr>
            <w:tcW w:type="dxa" w:w="30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Metadata cannot be retrofitted without reprocessing</w:t>
            </w:r>
          </w:p>
        </w:tc>
      </w:tr>
      <w:tr>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H — Security, access and users</w:t>
            </w:r>
          </w:p>
        </w:tc>
        <w:tc>
          <w:tcPr>
            <w:tcW w:type="dxa" w:w="11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4</w:t>
            </w:r>
          </w:p>
        </w:tc>
        <w:tc>
          <w:tcPr>
            <w:tcW w:type="dxa" w:w="29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Access provisioning, routing, certificates</w:t>
            </w:r>
          </w:p>
        </w:tc>
        <w:tc>
          <w:tcPr>
            <w:tcW w:type="dxa" w:w="30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Access blocked at the point of testing</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I — Environments, testing, cutover</w:t>
            </w:r>
          </w:p>
        </w:tc>
        <w:tc>
          <w:tcPr>
            <w:tcW w:type="dxa" w:w="11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4</w:t>
            </w:r>
          </w:p>
        </w:tc>
        <w:tc>
          <w:tcPr>
            <w:tcW w:type="dxa" w:w="29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Promotion planning, UAT, release scheduling</w:t>
            </w:r>
          </w:p>
        </w:tc>
        <w:tc>
          <w:tcPr>
            <w:tcW w:type="dxa" w:w="30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Release slips on a calendar constraint nobody raised</w:t>
            </w:r>
          </w:p>
        </w:tc>
      </w:tr>
      <w:tr>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J — Support and ownership</w:t>
            </w:r>
          </w:p>
        </w:tc>
        <w:tc>
          <w:tcPr>
            <w:tcW w:type="dxa" w:w="11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4</w:t>
            </w:r>
          </w:p>
        </w:tc>
        <w:tc>
          <w:tcPr>
            <w:tcW w:type="dxa" w:w="29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Handover, runbooks, BAU transition</w:t>
            </w:r>
          </w:p>
        </w:tc>
        <w:tc>
          <w:tcPr>
            <w:tcW w:type="dxa" w:w="30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Support refuses acceptance at go-live</w:t>
            </w:r>
          </w:p>
        </w:tc>
      </w:tr>
    </w:tbl>
    <w:p>
      <w:pPr>
        <w:spacing w:after="140"/>
      </w:pPr>
      <w:r>
        <w:t xml:space="preserve"/>
      </w:r>
    </w:p>
    <w:p>
      <w:pPr>
        <w:pStyle w:val="Heading3"/>
        <w:spacing w:after="130" w:before="250"/>
      </w:pPr>
      <w:r>
        <w:rPr>
          <w:rFonts w:ascii="Calibri" w:cs="Calibri" w:eastAsia="Calibri" w:hAnsi="Calibri"/>
          <w:b/>
          <w:bCs/>
          <w:color w:val="1B2432"/>
          <w:sz w:val="23"/>
          <w:szCs w:val="23"/>
        </w:rPr>
        <w:t xml:space="preserve">What each catalogue entry holds</w:t>
      </w:r>
    </w:p>
    <w:p>
      <w:pPr>
        <w:pStyle w:val="ListParagraph"/>
        <w:numPr>
          <w:ilvl w:val="0"/>
          <w:numId w:val="3"/>
        </w:numPr>
        <w:spacing w:after="75"/>
      </w:pPr>
      <w:r>
        <w:rPr>
          <w:rFonts w:ascii="Calibri" w:cs="Calibri" w:eastAsia="Calibri" w:hAnsi="Calibri"/>
          <w:color w:val="1B2432"/>
          <w:sz w:val="21"/>
          <w:szCs w:val="21"/>
        </w:rPr>
        <w:t xml:space="preserve">The question, in language a partner understands rather than platform terminology</w:t>
      </w:r>
    </w:p>
    <w:p>
      <w:pPr>
        <w:pStyle w:val="ListParagraph"/>
        <w:numPr>
          <w:ilvl w:val="0"/>
          <w:numId w:val="3"/>
        </w:numPr>
        <w:spacing w:after="75"/>
      </w:pPr>
      <w:r>
        <w:rPr>
          <w:rFonts w:ascii="Calibri" w:cs="Calibri" w:eastAsia="Calibri" w:hAnsi="Calibri"/>
          <w:color w:val="1B2432"/>
          <w:sz w:val="21"/>
          <w:szCs w:val="21"/>
        </w:rPr>
        <w:t xml:space="preserve">Why it is required — the downstream decision or configuration it feeds</w:t>
      </w:r>
    </w:p>
    <w:p>
      <w:pPr>
        <w:pStyle w:val="ListParagraph"/>
        <w:numPr>
          <w:ilvl w:val="0"/>
          <w:numId w:val="3"/>
        </w:numPr>
        <w:spacing w:after="75"/>
      </w:pPr>
      <w:r>
        <w:rPr>
          <w:rFonts w:ascii="Calibri" w:cs="Calibri" w:eastAsia="Calibri" w:hAnsi="Calibri"/>
          <w:color w:val="1B2432"/>
          <w:sz w:val="21"/>
          <w:szCs w:val="21"/>
        </w:rPr>
        <w:t xml:space="preserve">What it blocks if absent, named as a specific gate</w:t>
      </w:r>
    </w:p>
    <w:p>
      <w:pPr>
        <w:pStyle w:val="ListParagraph"/>
        <w:numPr>
          <w:ilvl w:val="0"/>
          <w:numId w:val="3"/>
        </w:numPr>
        <w:spacing w:after="75"/>
      </w:pPr>
      <w:r>
        <w:rPr>
          <w:rFonts w:ascii="Calibri" w:cs="Calibri" w:eastAsia="Calibri" w:hAnsi="Calibri"/>
          <w:color w:val="1B2432"/>
          <w:sz w:val="21"/>
          <w:szCs w:val="21"/>
        </w:rPr>
        <w:t xml:space="preserve">What a good answer looks like, with an example</w:t>
      </w:r>
    </w:p>
    <w:p>
      <w:pPr>
        <w:pStyle w:val="ListParagraph"/>
        <w:numPr>
          <w:ilvl w:val="0"/>
          <w:numId w:val="3"/>
        </w:numPr>
        <w:spacing w:after="75"/>
      </w:pPr>
      <w:r>
        <w:rPr>
          <w:rFonts w:ascii="Calibri" w:cs="Calibri" w:eastAsia="Calibri" w:hAnsi="Calibri"/>
          <w:color w:val="1B2432"/>
          <w:sz w:val="21"/>
          <w:szCs w:val="21"/>
        </w:rPr>
        <w:t xml:space="preserve">Diagnostic sub-questions for a partner who does not know the answer</w:t>
      </w:r>
    </w:p>
    <w:p>
      <w:pPr>
        <w:pStyle w:val="ListParagraph"/>
        <w:numPr>
          <w:ilvl w:val="0"/>
          <w:numId w:val="3"/>
        </w:numPr>
        <w:spacing w:after="75"/>
      </w:pPr>
      <w:r>
        <w:rPr>
          <w:rFonts w:ascii="Calibri" w:cs="Calibri" w:eastAsia="Calibri" w:hAnsi="Calibri"/>
          <w:color w:val="1B2432"/>
          <w:sz w:val="21"/>
          <w:szCs w:val="21"/>
        </w:rPr>
        <w:t xml:space="preserve">The completeness band it belongs to</w:t>
      </w:r>
    </w:p>
    <w:p>
      <w:pPr>
        <w:pStyle w:val="ListParagraph"/>
        <w:numPr>
          <w:ilvl w:val="0"/>
          <w:numId w:val="3"/>
        </w:numPr>
        <w:spacing w:after="75"/>
      </w:pPr>
      <w:r>
        <w:rPr>
          <w:rFonts w:ascii="Calibri" w:cs="Calibri" w:eastAsia="Calibri" w:hAnsi="Calibri"/>
          <w:color w:val="1B2432"/>
          <w:sz w:val="21"/>
          <w:szCs w:val="21"/>
        </w:rPr>
        <w:t xml:space="preserve">Which patterns make it applicable, so irrelevant questions are never asked</w:t>
      </w:r>
    </w:p>
    <w:p>
      <w:pPr>
        <w:spacing w:after="140"/>
      </w:pPr>
      <w:r>
        <w:t xml:space="preserve"/>
      </w:r>
    </w:p>
    <w:tbl>
      <w:tblPr>
        <w:tblW w:type="dxa" w:w="9360"/>
        <w:tblBorders>
          <w:top w:val="single" w:color="15304F" w:sz="6"/>
          <w:left w:val="single" w:color="15304F" w:sz="6"/>
          <w:bottom w:val="single" w:color="15304F" w:sz="6"/>
          <w:right w:val="single" w:color="15304F" w:sz="6"/>
          <w:insideH w:val="none"/>
          <w:insideV w:val="none"/>
        </w:tblBorders>
      </w:tblPr>
      <w:tblGrid>
        <w:gridCol w:w="9360"/>
      </w:tblGrid>
      <w:tr>
        <w:tc>
          <w:tcPr>
            <w:tcW w:type="dxa" w:w="9360"/>
            <w:shd w:fill="EEF2F7" w:color="auto" w:val="clear"/>
            <w:tcMar>
              <w:top w:type="dxa" w:w="140"/>
              <w:left w:type="dxa" w:w="165"/>
              <w:bottom w:type="dxa" w:w="140"/>
              <w:right w:type="dxa" w:w="165"/>
            </w:tcMar>
          </w:tcPr>
          <w:p>
            <w:pPr>
              <w:spacing w:after="85"/>
            </w:pPr>
            <w:r>
              <w:rPr>
                <w:rFonts w:ascii="Calibri" w:cs="Calibri" w:eastAsia="Calibri" w:hAnsi="Calibri"/>
                <w:b/>
                <w:bCs/>
                <w:color w:val="15304F"/>
                <w:sz w:val="20"/>
                <w:szCs w:val="20"/>
              </w:rPr>
              <w:t xml:space="preserve">THE WHY-REGISTER IS THE ASSET, NOT THE CHATBOT</w:t>
            </w:r>
          </w:p>
          <w:p>
            <w:pPr>
              <w:spacing w:after="65"/>
            </w:pPr>
            <w:r>
              <w:rPr>
                <w:rFonts w:ascii="Calibri" w:cs="Calibri" w:eastAsia="Calibri" w:hAnsi="Calibri"/>
                <w:color w:val="1B2432"/>
                <w:sz w:val="20"/>
                <w:szCs w:val="20"/>
              </w:rPr>
              <w:t xml:space="preserve">The conversational interface is the easy part. The valuable part is the register of reasons — the accumulated knowledge of why each piece of information matters and what breaks without it.</w:t>
            </w:r>
          </w:p>
          <w:p>
            <w:pPr>
              <w:spacing w:after="65"/>
            </w:pPr>
            <w:r>
              <w:rPr>
                <w:rFonts w:ascii="Calibri" w:cs="Calibri" w:eastAsia="Calibri" w:hAnsi="Calibri"/>
                <w:color w:val="1B2432"/>
                <w:sz w:val="20"/>
                <w:szCs w:val="20"/>
              </w:rPr>
              <w:t xml:space="preserve">That register has to be written once, by people who know. It is perhaps two weeks of work from two experienced engineers and a governance analyst, and it is the highest-leverage two weeks in the entire programme.</w:t>
            </w:r>
          </w:p>
          <w:p>
            <w:pPr>
              <w:spacing w:after="65"/>
            </w:pPr>
            <w:r>
              <w:rPr>
                <w:rFonts w:ascii="Calibri" w:cs="Calibri" w:eastAsia="Calibri" w:hAnsi="Calibri"/>
                <w:color w:val="1B2432"/>
                <w:sz w:val="20"/>
                <w:szCs w:val="20"/>
              </w:rPr>
              <w:t xml:space="preserve">Once written, it serves the chatbot, the partner-facing documentation, the onboarding of new squad members, and the pattern catalogue. It stops being one person's expertise and becomes the organisation's.</w:t>
            </w:r>
          </w:p>
        </w:tc>
      </w:tr>
    </w:tbl>
    <w:p>
      <w:r>
        <w:br w:type="page"/>
      </w:r>
    </w:p>
    <w:p>
      <w:pPr>
        <w:pStyle w:val="Heading2"/>
        <w:spacing w:after="170" w:before="320"/>
      </w:pPr>
      <w:r>
        <w:rPr>
          <w:rFonts w:ascii="Cambria" w:cs="Cambria" w:eastAsia="Cambria" w:hAnsi="Cambria"/>
          <w:b/>
          <w:bCs/>
          <w:color w:val="15304F"/>
          <w:sz w:val="27"/>
          <w:szCs w:val="27"/>
        </w:rPr>
        <w:t xml:space="preserve">12.6 How the Intake Copilot works</w:t>
      </w:r>
    </w:p>
    <w:p>
      <w:pPr>
        <w:spacing w:after="130" w:before="0"/>
      </w:pPr>
      <w:r>
        <w:rPr>
          <w:rFonts w:ascii="Calibri" w:cs="Calibri" w:eastAsia="Calibri" w:hAnsi="Calibri"/>
          <w:b w:val="false"/>
          <w:bCs w:val="false"/>
          <w:i w:val="false"/>
          <w:iCs w:val="false"/>
          <w:color w:val="1B2432"/>
          <w:sz w:val="21"/>
          <w:szCs w:val="21"/>
        </w:rPr>
        <w:t xml:space="preserve">The copilot is not a form with a conversational skin. It behaves differently in four specific ways, and each addresses one failure mode of the current workbook.</w:t>
      </w:r>
    </w:p>
    <w:p>
      <w:pPr>
        <w:pStyle w:val="Heading3"/>
        <w:spacing w:after="130" w:before="250"/>
      </w:pPr>
      <w:r>
        <w:rPr>
          <w:rFonts w:ascii="Calibri" w:cs="Calibri" w:eastAsia="Calibri" w:hAnsi="Calibri"/>
          <w:b/>
          <w:bCs/>
          <w:color w:val="1B2432"/>
          <w:sz w:val="23"/>
          <w:szCs w:val="23"/>
        </w:rPr>
        <w:t xml:space="preserve">1 — It derives the question set before asking anything</w:t>
      </w:r>
    </w:p>
    <w:p>
      <w:pPr>
        <w:spacing w:after="130" w:before="0"/>
      </w:pPr>
      <w:r>
        <w:rPr>
          <w:rFonts w:ascii="Calibri" w:cs="Calibri" w:eastAsia="Calibri" w:hAnsi="Calibri"/>
          <w:b w:val="false"/>
          <w:bCs w:val="false"/>
          <w:i w:val="false"/>
          <w:iCs w:val="false"/>
          <w:color w:val="1B2432"/>
          <w:sz w:val="21"/>
          <w:szCs w:val="21"/>
        </w:rPr>
        <w:t xml:space="preserve">The partner first describes, in their own words, what they are trying to achieve. From that description the copilot determines which of the fifty-four data points apply, and in what order. A partner consuming notifications only is never asked about retention codes. A partner introducing regulated content is asked about them first.</w:t>
      </w:r>
    </w:p>
    <w:p>
      <w:pPr>
        <w:spacing w:after="130" w:before="0"/>
      </w:pPr>
      <w:r>
        <w:rPr>
          <w:rFonts w:ascii="Calibri" w:cs="Calibri" w:eastAsia="Calibri" w:hAnsi="Calibri"/>
          <w:b w:val="false"/>
          <w:bCs w:val="false"/>
          <w:i w:val="false"/>
          <w:iCs w:val="false"/>
          <w:color w:val="1B2432"/>
          <w:sz w:val="21"/>
          <w:szCs w:val="21"/>
        </w:rPr>
        <w:t xml:space="preserve">This matters because the current workbook asks everyone everything, which trains partners to skim — and skimmed answers are the raw material of clarification cycles.</w:t>
      </w:r>
    </w:p>
    <w:p>
      <w:pPr>
        <w:pStyle w:val="Heading3"/>
        <w:spacing w:after="130" w:before="250"/>
      </w:pPr>
      <w:r>
        <w:rPr>
          <w:rFonts w:ascii="Calibri" w:cs="Calibri" w:eastAsia="Calibri" w:hAnsi="Calibri"/>
          <w:b/>
          <w:bCs/>
          <w:color w:val="1B2432"/>
          <w:sz w:val="23"/>
          <w:szCs w:val="23"/>
        </w:rPr>
        <w:t xml:space="preserve">2 — It explains why, at the point of asking</w:t>
      </w:r>
    </w:p>
    <w:p>
      <w:pPr>
        <w:spacing w:after="130" w:before="0"/>
      </w:pPr>
      <w:r>
        <w:rPr>
          <w:rFonts w:ascii="Calibri" w:cs="Calibri" w:eastAsia="Calibri" w:hAnsi="Calibri"/>
          <w:b w:val="false"/>
          <w:bCs w:val="false"/>
          <w:i w:val="false"/>
          <w:iCs w:val="false"/>
          <w:color w:val="1B2432"/>
          <w:sz w:val="21"/>
          <w:szCs w:val="21"/>
        </w:rPr>
        <w:t xml:space="preserve">Every question carries its reason. Not as help text to be ignored, but as part of the question itself, because a partner who understands what an answer is for gives a usable one.</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4680"/>
        <w:gridCol w:w="4680"/>
      </w:tblGrid>
      <w:tr>
        <w:trPr>
          <w:tblHeader/>
        </w:trPr>
        <w:tc>
          <w:tcPr>
            <w:tcW w:type="dxa" w:w="468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Asked the current way</w:t>
            </w:r>
          </w:p>
        </w:tc>
        <w:tc>
          <w:tcPr>
            <w:tcW w:type="dxa" w:w="468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Asked with the reason attached</w:t>
            </w:r>
          </w:p>
        </w:tc>
      </w:tr>
      <w:tr>
        <w:tc>
          <w:tcPr>
            <w:tcW w:type="dxa" w:w="46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"What are the document traits?"</w:t>
            </w:r>
          </w:p>
        </w:tc>
        <w:tc>
          <w:tcPr>
            <w:tcW w:type="dxa" w:w="46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"Do any of these documents contain handwritten annotations, signatures, or several different matters in one file? This decides whether they need human review after AI classification — which typically adds two to three weeks and needs the review team engaged early."</w:t>
            </w:r>
          </w:p>
        </w:tc>
      </w:tr>
      <w:tr>
        <w:tc>
          <w:tcPr>
            <w:tcW w:type="dxa" w:w="46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"What is your expected volume?"</w:t>
            </w:r>
          </w:p>
        </w:tc>
        <w:tc>
          <w:tcPr>
            <w:tcW w:type="dxa" w:w="46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"We need three numbers: how much existing content you will migrate at the start, your steady monthly rate, and your busiest expected day. The first drives one-time capacity, the third decides whether formal load testing is required — which is a separate engagement with its own lead time."</w:t>
            </w:r>
          </w:p>
        </w:tc>
      </w:tr>
      <w:tr>
        <w:tc>
          <w:tcPr>
            <w:tcW w:type="dxa" w:w="46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"What are your retention requirements?"</w:t>
            </w:r>
          </w:p>
        </w:tc>
        <w:tc>
          <w:tcPr>
            <w:tcW w:type="dxa" w:w="46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"How long must these records be kept, and what rule requires it? If it is a regulatory rule rather than an internal policy, the content goes into a different repository with immutable storage, and that choice cannot easily be reversed later."</w:t>
            </w:r>
          </w:p>
        </w:tc>
      </w:tr>
      <w:tr>
        <w:tc>
          <w:tcPr>
            <w:tcW w:type="dxa" w:w="46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"List your metadata attributes."</w:t>
            </w:r>
          </w:p>
        </w:tc>
        <w:tc>
          <w:tcPr>
            <w:tcW w:type="dxa" w:w="46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"What will someone searching for one of these documents in three years actually know about it — account number, date, customer name? These become your search filters, and adding one afterwards means reprocessing the content already stored."</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The right-hand column is the why-register doing its job. Note what it changes: the partner is not being asked to understand the platform, they are being told the consequence of their answer. That is a question most business and application teams can answer well.</w:t>
      </w:r>
    </w:p>
    <w:p>
      <w:pPr>
        <w:pStyle w:val="Heading3"/>
        <w:spacing w:after="130" w:before="250"/>
      </w:pPr>
      <w:r>
        <w:rPr>
          <w:rFonts w:ascii="Calibri" w:cs="Calibri" w:eastAsia="Calibri" w:hAnsi="Calibri"/>
          <w:b/>
          <w:bCs/>
          <w:color w:val="1B2432"/>
          <w:sz w:val="23"/>
          <w:szCs w:val="23"/>
        </w:rPr>
        <w:t xml:space="preserve">3 — It helps a partner who does not know</w:t>
      </w:r>
    </w:p>
    <w:p>
      <w:pPr>
        <w:spacing w:after="130" w:before="0"/>
      </w:pPr>
      <w:r>
        <w:rPr>
          <w:rFonts w:ascii="Calibri" w:cs="Calibri" w:eastAsia="Calibri" w:hAnsi="Calibri"/>
          <w:b w:val="false"/>
          <w:bCs w:val="false"/>
          <w:i w:val="false"/>
          <w:iCs w:val="false"/>
          <w:color w:val="1B2432"/>
          <w:sz w:val="21"/>
          <w:szCs w:val="21"/>
        </w:rPr>
        <w:t xml:space="preserve">The most common reason an intake field is left blank is not reluctance; it is that the partner genuinely does not know, and has no idea how to find out. The copilot treats that as a normal state with a defined path rather than a dead end.</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500"/>
        <w:gridCol w:w="6860"/>
      </w:tblGrid>
      <w:tr>
        <w:trPr>
          <w:tblHeader/>
        </w:trPr>
        <w:tc>
          <w:tcPr>
            <w:tcW w:type="dxa" w:w="2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When the partner says</w:t>
            </w:r>
          </w:p>
        </w:tc>
        <w:tc>
          <w:tcPr>
            <w:tcW w:type="dxa" w:w="68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The copilot does</w:t>
            </w:r>
          </w:p>
        </w:tc>
      </w:tr>
      <w:tr>
        <w:tc>
          <w:tcPr>
            <w:tcW w:type="dxa" w:w="2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"I don't know"</w:t>
            </w:r>
          </w:p>
        </w:tc>
        <w:tc>
          <w:tcPr>
            <w:tcW w:type="dxa" w:w="68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Offers the realistic options with their consequences, so the partner can recognise theirs — "most partners in your position are one of these three; here is how each changes your timeline"</w:t>
            </w:r>
          </w:p>
        </w:tc>
      </w:tr>
      <w:tr>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"I'm not sure which applies"</w:t>
            </w:r>
          </w:p>
        </w:tc>
        <w:tc>
          <w:tcPr>
            <w:tcW w:type="dxa" w:w="68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Asks diagnostic sub-questions that a non-specialist can answer, and derives the answer from those</w:t>
            </w:r>
          </w:p>
        </w:tc>
      </w:tr>
      <w:tr>
        <w:tc>
          <w:tcPr>
            <w:tcW w:type="dxa" w:w="2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Something inconsistent with an earlier answer</w:t>
            </w:r>
          </w:p>
        </w:tc>
        <w:tc>
          <w:tcPr>
            <w:tcW w:type="dxa" w:w="68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Surfaces the contradiction immediately and asks which is correct, rather than recording both</w:t>
            </w:r>
          </w:p>
        </w:tc>
      </w:tr>
      <w:tr>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Something vague</w:t>
            </w:r>
          </w:p>
        </w:tc>
        <w:tc>
          <w:tcPr>
            <w:tcW w:type="dxa" w:w="68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Reflects back a precise interpretation and asks for confirmation — "so these are generated by your billing system with no human involvement; is that right?"</w:t>
            </w:r>
          </w:p>
        </w:tc>
      </w:tr>
      <w:tr>
        <w:tc>
          <w:tcPr>
            <w:tcW w:type="dxa" w:w="2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"I need to ask someone"</w:t>
            </w:r>
          </w:p>
        </w:tc>
        <w:tc>
          <w:tcPr>
            <w:tcW w:type="dxa" w:w="68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Registers a dated gap with the owner named, tied to the gate it blocks, and tells the partner exactly when it is needed by</w:t>
            </w:r>
          </w:p>
        </w:tc>
      </w:tr>
      <w:tr>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Nothing — they stop</w:t>
            </w:r>
          </w:p>
        </w:tc>
        <w:tc>
          <w:tcPr>
            <w:tcW w:type="dxa" w:w="68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Saves state. The partner resumes where they left off; nothing is lost and nothing is re-asked</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The fifth row is the one that changes the economics. Converting "I need to ask someone" into a registered, dated, owned gap is the mechanism that eliminates the discovery cycle entirely. The question still has to be answered — but it is asked once, early, by the partner's own team, against a known deadline.</w:t>
      </w:r>
    </w:p>
    <w:p>
      <w:pPr>
        <w:pStyle w:val="Heading3"/>
        <w:spacing w:after="130" w:before="250"/>
      </w:pPr>
      <w:r>
        <w:rPr>
          <w:rFonts w:ascii="Calibri" w:cs="Calibri" w:eastAsia="Calibri" w:hAnsi="Calibri"/>
          <w:b/>
          <w:bCs/>
          <w:color w:val="1B2432"/>
          <w:sz w:val="23"/>
          <w:szCs w:val="23"/>
        </w:rPr>
        <w:t xml:space="preserve">4 — It infers what it can, and shows its working</w:t>
      </w:r>
    </w:p>
    <w:p>
      <w:pPr>
        <w:spacing w:after="130" w:before="0"/>
      </w:pPr>
      <w:r>
        <w:rPr>
          <w:rFonts w:ascii="Calibri" w:cs="Calibri" w:eastAsia="Calibri" w:hAnsi="Calibri"/>
          <w:b w:val="false"/>
          <w:bCs w:val="false"/>
          <w:i w:val="false"/>
          <w:iCs w:val="false"/>
          <w:color w:val="1B2432"/>
          <w:sz w:val="21"/>
          <w:szCs w:val="21"/>
        </w:rPr>
        <w:t xml:space="preserve">Where an answer can be derived from what the partner has already said, the copilot proposes it rather than asking again — and shows why, so the partner can correct it.</w:t>
      </w:r>
    </w:p>
    <w:p>
      <w:pPr>
        <w:pStyle w:val="ListParagraph"/>
        <w:numPr>
          <w:ilvl w:val="0"/>
          <w:numId w:val="3"/>
        </w:numPr>
        <w:spacing w:after="75"/>
      </w:pPr>
      <w:r>
        <w:rPr>
          <w:rFonts w:ascii="Calibri" w:cs="Calibri" w:eastAsia="Calibri" w:hAnsi="Calibri"/>
          <w:color w:val="1B2432"/>
          <w:sz w:val="21"/>
          <w:szCs w:val="21"/>
        </w:rPr>
        <w:t xml:space="preserve">Trust posture pre-assessment from the stated document sources — explicitly provisional, pending governance determination</w:t>
      </w:r>
    </w:p>
    <w:p>
      <w:pPr>
        <w:pStyle w:val="ListParagraph"/>
        <w:numPr>
          <w:ilvl w:val="0"/>
          <w:numId w:val="3"/>
        </w:numPr>
        <w:spacing w:after="75"/>
      </w:pPr>
      <w:r>
        <w:rPr>
          <w:rFonts w:ascii="Calibri" w:cs="Calibri" w:eastAsia="Calibri" w:hAnsi="Calibri"/>
          <w:color w:val="1B2432"/>
          <w:sz w:val="21"/>
          <w:szCs w:val="21"/>
        </w:rPr>
        <w:t xml:space="preserve">Likely applicable patterns, and the delta between them and this intake</w:t>
      </w:r>
    </w:p>
    <w:p>
      <w:pPr>
        <w:pStyle w:val="ListParagraph"/>
        <w:numPr>
          <w:ilvl w:val="0"/>
          <w:numId w:val="3"/>
        </w:numPr>
        <w:spacing w:after="75"/>
      </w:pPr>
      <w:r>
        <w:rPr>
          <w:rFonts w:ascii="Calibri" w:cs="Calibri" w:eastAsia="Calibri" w:hAnsi="Calibri"/>
          <w:color w:val="1B2432"/>
          <w:sz w:val="21"/>
          <w:szCs w:val="21"/>
        </w:rPr>
        <w:t xml:space="preserve">Which specialist teams will need engaging, and roughly when</w:t>
      </w:r>
    </w:p>
    <w:p>
      <w:pPr>
        <w:pStyle w:val="ListParagraph"/>
        <w:numPr>
          <w:ilvl w:val="0"/>
          <w:numId w:val="3"/>
        </w:numPr>
        <w:spacing w:after="75"/>
      </w:pPr>
      <w:r>
        <w:rPr>
          <w:rFonts w:ascii="Calibri" w:cs="Calibri" w:eastAsia="Calibri" w:hAnsi="Calibri"/>
          <w:color w:val="1B2432"/>
          <w:sz w:val="21"/>
          <w:szCs w:val="21"/>
        </w:rPr>
        <w:t xml:space="preserve">Which long-lead items should start immediately, before the rest of the intake is finished</w:t>
      </w:r>
    </w:p>
    <w:p>
      <w:pPr>
        <w:pStyle w:val="ListParagraph"/>
        <w:numPr>
          <w:ilvl w:val="0"/>
          <w:numId w:val="3"/>
        </w:numPr>
        <w:spacing w:after="75"/>
      </w:pPr>
      <w:r>
        <w:rPr>
          <w:rFonts w:ascii="Calibri" w:cs="Calibri" w:eastAsia="Calibri" w:hAnsi="Calibri"/>
          <w:color w:val="1B2432"/>
          <w:sz w:val="21"/>
          <w:szCs w:val="21"/>
        </w:rPr>
        <w:t xml:space="preserve">Whether load testing is likely to apply, from the stated volumes</w:t>
      </w:r>
    </w:p>
    <w:p>
      <w:pPr>
        <w:pStyle w:val="ListParagraph"/>
        <w:numPr>
          <w:ilvl w:val="0"/>
          <w:numId w:val="3"/>
        </w:numPr>
        <w:spacing w:after="75"/>
      </w:pPr>
      <w:r>
        <w:rPr>
          <w:rFonts w:ascii="Calibri" w:cs="Calibri" w:eastAsia="Calibri" w:hAnsi="Calibri"/>
          <w:color w:val="1B2432"/>
          <w:sz w:val="21"/>
          <w:szCs w:val="21"/>
        </w:rPr>
        <w:t xml:space="preserve">Comparable prior intakes and what those partners found difficult</w:t>
      </w:r>
    </w:p>
    <w:p>
      <w:pPr>
        <w:spacing w:after="130" w:before="90"/>
      </w:pPr>
      <w:r>
        <w:rPr>
          <w:rFonts w:ascii="Calibri" w:cs="Calibri" w:eastAsia="Calibri" w:hAnsi="Calibri"/>
          <w:b w:val="false"/>
          <w:bCs w:val="false"/>
          <w:i w:val="false"/>
          <w:iCs w:val="false"/>
          <w:color w:val="1B2432"/>
          <w:sz w:val="21"/>
          <w:szCs w:val="21"/>
        </w:rPr>
        <w:t xml:space="preserve">Each inference is labelled as an inference and is confirmable, correctable or rejectable by the partner. None of them decides anything — Part 13 sets out the separation between proposal, decision and action that governs this.</w:t>
      </w:r>
    </w:p>
    <w:p>
      <w:pPr>
        <w:pStyle w:val="Heading2"/>
        <w:spacing w:after="170" w:before="320"/>
      </w:pPr>
      <w:r>
        <w:rPr>
          <w:rFonts w:ascii="Cambria" w:cs="Cambria" w:eastAsia="Cambria" w:hAnsi="Cambria"/>
          <w:b/>
          <w:bCs/>
          <w:color w:val="15304F"/>
          <w:sz w:val="27"/>
          <w:szCs w:val="27"/>
        </w:rPr>
        <w:t xml:space="preserve">12.7 The handoff contract</w:t>
      </w:r>
    </w:p>
    <w:p>
      <w:pPr>
        <w:spacing w:after="130" w:before="0"/>
      </w:pPr>
      <w:r>
        <w:rPr>
          <w:rFonts w:ascii="Calibri" w:cs="Calibri" w:eastAsia="Calibri" w:hAnsi="Calibri"/>
          <w:b w:val="false"/>
          <w:bCs w:val="false"/>
          <w:i w:val="false"/>
          <w:iCs w:val="false"/>
          <w:color w:val="1B2432"/>
          <w:sz w:val="21"/>
          <w:szCs w:val="21"/>
        </w:rPr>
        <w:t xml:space="preserve">The output of the intake is not a form. It is a package with a completeness certificate, and that certificate is what changes the experience for the engineer who picks it up.</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700"/>
        <w:gridCol w:w="6660"/>
      </w:tblGrid>
      <w:tr>
        <w:trPr>
          <w:tblHeader/>
        </w:trPr>
        <w:tc>
          <w:tcPr>
            <w:tcW w:type="dxa" w:w="27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Package element</w:t>
            </w:r>
          </w:p>
        </w:tc>
        <w:tc>
          <w:tcPr>
            <w:tcW w:type="dxa" w:w="66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Content</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Validated answers</w:t>
            </w:r>
          </w:p>
        </w:tc>
        <w:tc>
          <w:tcPr>
            <w:tcW w:type="dxa" w:w="6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Every applicable data point that was answered, validated against its format rule at the point of capture</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Registered gaps</w:t>
            </w:r>
          </w:p>
        </w:tc>
        <w:tc>
          <w:tcPr>
            <w:tcW w:type="dxa" w:w="6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Every unanswered item, each with the named owner, the date required, and the gate it blocks</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Completeness score by band</w:t>
            </w:r>
          </w:p>
        </w:tc>
        <w:tc>
          <w:tcPr>
            <w:tcW w:type="dxa" w:w="6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Acceptance, design, provision and certify bands scored separately, so readiness for the next gate is explicit</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Derived scope</w:t>
            </w:r>
          </w:p>
        </w:tc>
        <w:tc>
          <w:tcPr>
            <w:tcW w:type="dxa" w:w="6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Workstreams in scope, specialist teams to engage, approvals needed and their sequence</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Long-lead items</w:t>
            </w:r>
          </w:p>
        </w:tc>
        <w:tc>
          <w:tcPr>
            <w:tcW w:type="dxa" w:w="6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Requests that should start immediately, flagged with their typical lead time</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Pattern match and delta</w:t>
            </w:r>
          </w:p>
        </w:tc>
        <w:tc>
          <w:tcPr>
            <w:tcW w:type="dxa" w:w="6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closest pattern, confidence, and what in this intake it does not cover</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Proposed tier with reasoning</w:t>
            </w:r>
          </w:p>
        </w:tc>
        <w:tc>
          <w:tcPr>
            <w:tcW w:type="dxa" w:w="6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seven determinant scores and the resulting proposal, for an enablement lead to confirm</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Provisional assessments</w:t>
            </w:r>
          </w:p>
        </w:tc>
        <w:tc>
          <w:tcPr>
            <w:tcW w:type="dxa" w:w="6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Trust posture pre-assessment, load testing likelihood — all labelled provisional</w:t>
            </w:r>
          </w:p>
        </w:tc>
      </w:tr>
    </w:tbl>
    <w:p>
      <w:pPr>
        <w:spacing w:after="140"/>
      </w:pPr>
      <w:r>
        <w:t xml:space="preserve"/>
      </w:r>
    </w:p>
    <w:tbl>
      <w:tblPr>
        <w:tblW w:type="dxa" w:w="9360"/>
        <w:tblBorders>
          <w:top w:val="single" w:color="0B6E6E" w:sz="6"/>
          <w:left w:val="single" w:color="0B6E6E" w:sz="6"/>
          <w:bottom w:val="single" w:color="0B6E6E" w:sz="6"/>
          <w:right w:val="single" w:color="0B6E6E" w:sz="6"/>
          <w:insideH w:val="none"/>
          <w:insideV w:val="none"/>
        </w:tblBorders>
      </w:tblPr>
      <w:tblGrid>
        <w:gridCol w:w="9360"/>
      </w:tblGrid>
      <w:tr>
        <w:tc>
          <w:tcPr>
            <w:tcW w:type="dxa" w:w="9360"/>
            <w:shd w:fill="E6F2F1" w:color="auto" w:val="clear"/>
            <w:tcMar>
              <w:top w:type="dxa" w:w="140"/>
              <w:left w:type="dxa" w:w="165"/>
              <w:bottom w:type="dxa" w:w="140"/>
              <w:right w:type="dxa" w:w="165"/>
            </w:tcMar>
          </w:tcPr>
          <w:p>
            <w:pPr>
              <w:spacing w:after="85"/>
            </w:pPr>
            <w:r>
              <w:rPr>
                <w:rFonts w:ascii="Calibri" w:cs="Calibri" w:eastAsia="Calibri" w:hAnsi="Calibri"/>
                <w:b/>
                <w:bCs/>
                <w:color w:val="0B6E6E"/>
                <w:sz w:val="20"/>
                <w:szCs w:val="20"/>
              </w:rPr>
              <w:t xml:space="preserve">WHAT THIS CHANGES FOR THE ENGINEER</w:t>
            </w:r>
          </w:p>
          <w:p>
            <w:pPr>
              <w:spacing w:after="65"/>
            </w:pPr>
            <w:r>
              <w:rPr>
                <w:rFonts w:ascii="Calibri" w:cs="Calibri" w:eastAsia="Calibri" w:hAnsi="Calibri"/>
                <w:color w:val="1B2432"/>
                <w:sz w:val="20"/>
                <w:szCs w:val="20"/>
              </w:rPr>
              <w:t xml:space="preserve">Today, an engineer picking up an intake begins by working out what is missing. That assessment takes hours, depends on their experience, and is the start of the first clarification cycle.</w:t>
            </w:r>
          </w:p>
          <w:p>
            <w:pPr>
              <w:spacing w:after="65"/>
            </w:pPr>
            <w:r>
              <w:rPr>
                <w:rFonts w:ascii="Calibri" w:cs="Calibri" w:eastAsia="Calibri" w:hAnsi="Calibri"/>
                <w:color w:val="1B2432"/>
                <w:sz w:val="20"/>
                <w:szCs w:val="20"/>
              </w:rPr>
              <w:t xml:space="preserve">Under the handoff contract they begin by reading a list of what is missing, who owns each item and when it is due — produced at intake, by the partner, with the reasons already explained.</w:t>
            </w:r>
          </w:p>
          <w:p>
            <w:pPr>
              <w:spacing w:after="65"/>
            </w:pPr>
            <w:r>
              <w:rPr>
                <w:rFonts w:ascii="Calibri" w:cs="Calibri" w:eastAsia="Calibri" w:hAnsi="Calibri"/>
                <w:color w:val="1B2432"/>
                <w:sz w:val="20"/>
                <w:szCs w:val="20"/>
              </w:rPr>
              <w:t xml:space="preserve">The work does not disappear. It moves to the one point in the lifecycle where it is cheapest: before anything has been designed, built or assumed.</w:t>
            </w:r>
          </w:p>
        </w:tc>
      </w:tr>
    </w:tbl>
    <w:p>
      <w:pPr>
        <w:pStyle w:val="Heading2"/>
        <w:spacing w:after="170" w:before="320"/>
      </w:pPr>
      <w:r>
        <w:rPr>
          <w:rFonts w:ascii="Cambria" w:cs="Cambria" w:eastAsia="Cambria" w:hAnsi="Cambria"/>
          <w:b/>
          <w:bCs/>
          <w:color w:val="15304F"/>
          <w:sz w:val="27"/>
          <w:szCs w:val="27"/>
        </w:rPr>
        <w:t xml:space="preserve">12.8 A worked exchange</w:t>
      </w:r>
    </w:p>
    <w:p>
      <w:pPr>
        <w:spacing w:after="130" w:before="0"/>
      </w:pPr>
      <w:r>
        <w:rPr>
          <w:rFonts w:ascii="Calibri" w:cs="Calibri" w:eastAsia="Calibri" w:hAnsi="Calibri"/>
          <w:b w:val="false"/>
          <w:bCs w:val="false"/>
          <w:i w:val="false"/>
          <w:iCs w:val="false"/>
          <w:color w:val="1B2432"/>
          <w:sz w:val="21"/>
          <w:szCs w:val="21"/>
        </w:rPr>
        <w:t xml:space="preserve">The following illustrates the three behaviours together — reason attached, assistance when the partner does not know, and gap registration. It is abbreviated, but the shape is accurate.</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1500"/>
        <w:gridCol w:w="7860"/>
      </w:tblGrid>
      <w:tr>
        <w:trPr>
          <w:tblHeader/>
        </w:trPr>
        <w:tc>
          <w:tcPr>
            <w:tcW w:type="dxa" w:w="1500"/>
            <w:shd w:fill="FFFFF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
            </w:r>
          </w:p>
        </w:tc>
        <w:tc>
          <w:tcPr>
            <w:tcW w:type="dxa" w:w="7860"/>
            <w:shd w:fill="FFFFF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
            </w:r>
          </w:p>
        </w:tc>
      </w:tr>
      <w:tr>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Copilot</w:t>
            </w:r>
          </w:p>
        </w:tc>
        <w:tc>
          <w:tcPr>
            <w:tcW w:type="dxa" w:w="78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You mentioned these documents are uploaded by your customers through your portal. That makes them untrusted content, which means they go through virus scanning and AI classification before reaching the repository. Before I go further — do any of them contain handwritten annotations or signatures?</w:t>
            </w:r>
          </w:p>
        </w:tc>
      </w:tr>
      <w:tr>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w:t>
            </w:r>
          </w:p>
        </w:tc>
        <w:tc>
          <w:tcPr>
            <w:tcW w:type="dxa" w:w="78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Some of them, I think. I'd have to check.</w:t>
            </w:r>
          </w:p>
        </w:tc>
      </w:tr>
      <w:tr>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Copilot</w:t>
            </w:r>
          </w:p>
        </w:tc>
        <w:tc>
          <w:tcPr>
            <w:tcW w:type="dxa" w:w="78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That's worth confirming, because it decides whether human review sits behind the AI classification. If it does, that team needs engaging early and it typically adds two to three weeks. Two questions that might settle it without checking: are these agreements that a customer signs, or forms they complete on screen?</w:t>
            </w:r>
          </w:p>
        </w:tc>
      </w:tr>
      <w:tr>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w:t>
            </w:r>
          </w:p>
        </w:tc>
        <w:tc>
          <w:tcPr>
            <w:tcW w:type="dxa" w:w="78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Agreements they sign and scan back.</w:t>
            </w:r>
          </w:p>
        </w:tc>
      </w:tr>
      <w:tr>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Copilot</w:t>
            </w:r>
          </w:p>
        </w:tc>
        <w:tc>
          <w:tcPr>
            <w:tcW w:type="dxa" w:w="78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Then human review is very likely in scope, and I'll flag the review team for early engagement. I'll still register a confirmation item against your solution architect — it affects timeline, so it's worth being certain. When do you expect to confirm?</w:t>
            </w:r>
          </w:p>
        </w:tc>
      </w:tr>
      <w:tr>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w:t>
            </w:r>
          </w:p>
        </w:tc>
        <w:tc>
          <w:tcPr>
            <w:tcW w:type="dxa" w:w="78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Within a fortnight.</w:t>
            </w:r>
          </w:p>
        </w:tc>
      </w:tr>
      <w:tr>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Copilot</w:t>
            </w:r>
          </w:p>
        </w:tc>
        <w:tc>
          <w:tcPr>
            <w:tcW w:type="dxa" w:w="78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Registered: confirm signature and annotation presence, owner your solution architect, due 30 October, blocks the design baseline gate. Next: roughly how many of these do you already hold that would need migrating at the start?</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Three things happened in that exchange that do not happen today. The reason was attached to the question, so the partner understood what they were being asked. When they did not know, they were given a route to the answer rather than a request to go and find out. And the uncertainty became a dated, owned, gate-linked item instead of a blank field that would have surfaced as a problem six weeks later.</w:t>
      </w:r>
    </w:p>
    <w:p>
      <w:pPr>
        <w:pStyle w:val="Heading2"/>
        <w:spacing w:after="170" w:before="320"/>
      </w:pPr>
      <w:r>
        <w:rPr>
          <w:rFonts w:ascii="Cambria" w:cs="Cambria" w:eastAsia="Cambria" w:hAnsi="Cambria"/>
          <w:b/>
          <w:bCs/>
          <w:color w:val="15304F"/>
          <w:sz w:val="27"/>
          <w:szCs w:val="27"/>
        </w:rPr>
        <w:t xml:space="preserve">12.9 What this is expected to deliver</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700"/>
        <w:gridCol w:w="3300"/>
        <w:gridCol w:w="3360"/>
      </w:tblGrid>
      <w:tr>
        <w:trPr>
          <w:tblHeader/>
        </w:trPr>
        <w:tc>
          <w:tcPr>
            <w:tcW w:type="dxa" w:w="27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Outcome</w:t>
            </w:r>
          </w:p>
        </w:tc>
        <w:tc>
          <w:tcPr>
            <w:tcW w:type="dxa" w:w="33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Mechanism</w:t>
            </w:r>
          </w:p>
        </w:tc>
        <w:tc>
          <w:tcPr>
            <w:tcW w:type="dxa" w:w="33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How it is evidenced</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Fewer clarification cycles</w:t>
            </w:r>
          </w:p>
        </w:tc>
        <w:tc>
          <w:tcPr>
            <w:tcW w:type="dxa" w:w="3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requirement set is known and explained at intake rather than discovered a step at a time</w:t>
            </w:r>
          </w:p>
        </w:tc>
        <w:tc>
          <w:tcPr>
            <w:tcW w:type="dxa" w:w="3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Clarification cycles per intake, counted</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Shorter elapsed time in all models</w:t>
            </w:r>
          </w:p>
        </w:tc>
        <w:tc>
          <w:tcPr>
            <w:tcW w:type="dxa" w:w="3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Each cycle removed is days of waiting removed</w:t>
            </w:r>
          </w:p>
        </w:tc>
        <w:tc>
          <w:tcPr>
            <w:tcW w:type="dxa" w:w="3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Intake-to-live elapsed time, by tier</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Less rework</w:t>
            </w:r>
          </w:p>
        </w:tc>
        <w:tc>
          <w:tcPr>
            <w:tcW w:type="dxa" w:w="3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Fewer assumptions made in the absence of an answer</w:t>
            </w:r>
          </w:p>
        </w:tc>
        <w:tc>
          <w:tcPr>
            <w:tcW w:type="dxa" w:w="3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Rework events per intake</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Lead-time items start earlier</w:t>
            </w:r>
          </w:p>
        </w:tc>
        <w:tc>
          <w:tcPr>
            <w:tcW w:type="dxa" w:w="3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Long-lead requests identified on day one rather than mid-delivery</w:t>
            </w:r>
          </w:p>
        </w:tc>
        <w:tc>
          <w:tcPr>
            <w:tcW w:type="dxa" w:w="3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Days from intake to first connectivity and certificate request</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Lower variance between engineers</w:t>
            </w:r>
          </w:p>
        </w:tc>
        <w:tc>
          <w:tcPr>
            <w:tcW w:type="dxa" w:w="3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requirement set no longer depends on who picks the intake up</w:t>
            </w:r>
          </w:p>
        </w:tc>
        <w:tc>
          <w:tcPr>
            <w:tcW w:type="dxa" w:w="3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Spread of elapsed time across comparable intakes</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Less draining work for squads</w:t>
            </w:r>
          </w:p>
        </w:tc>
        <w:tc>
          <w:tcPr>
            <w:tcW w:type="dxa" w:w="3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Explanation is done once, by the catalogue, rather than repeatedly by a person</w:t>
            </w:r>
          </w:p>
        </w:tc>
        <w:tc>
          <w:tcPr>
            <w:tcW w:type="dxa" w:w="3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Squad feedback; clinic triage volume</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Better input to everything downstream</w:t>
            </w:r>
          </w:p>
        </w:tc>
        <w:tc>
          <w:tcPr>
            <w:tcW w:type="dxa" w:w="3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Tiering, pattern matching and scope derivation all improve with better intake content</w:t>
            </w:r>
          </w:p>
        </w:tc>
        <w:tc>
          <w:tcPr>
            <w:tcW w:type="dxa" w:w="3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Tier assignment stability; escalation rate</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The last row is worth drawing out. Every other capability in this design consumes intake content. A tiering assistant scoring a vague intake produces a vague tier; a pattern matcher given an incomplete description matches badly; scope derivation from thin input derives thin scope. Intake completeness is not merely the first intervention by value — it is the one that determines the ceiling on everything built after it.</w:t>
      </w:r>
    </w:p>
    <w:p>
      <w:r>
        <w:br w:type="page"/>
      </w:r>
    </w:p>
    <w:p>
      <w:pPr>
        <w:pStyle w:val="Heading1"/>
        <w:spacing w:after="220" w:before="400"/>
      </w:pPr>
      <w:r>
        <w:rPr>
          <w:rFonts w:ascii="Cambria" w:cs="Cambria" w:eastAsia="Cambria" w:hAnsi="Cambria"/>
          <w:b/>
          <w:bCs/>
          <w:color w:val="15304F"/>
          <w:sz w:val="34"/>
          <w:szCs w:val="34"/>
        </w:rPr>
        <w:t xml:space="preserve">Part 13 — Automation and AI Enablement</w:t>
      </w:r>
    </w:p>
    <w:p>
      <w:pPr>
        <w:spacing w:after="130" w:before="0"/>
      </w:pPr>
      <w:r>
        <w:rPr>
          <w:rFonts w:ascii="Calibri" w:cs="Calibri" w:eastAsia="Calibri" w:hAnsi="Calibri"/>
          <w:b w:val="false"/>
          <w:bCs w:val="false"/>
          <w:i w:val="false"/>
          <w:iCs w:val="false"/>
          <w:color w:val="1B2432"/>
          <w:sz w:val="21"/>
          <w:szCs w:val="21"/>
        </w:rPr>
        <w:t xml:space="preserve">Parts 1 to 12 describe the model, the Day 1 manual approach and the first intervention. This part describes how the capability is actually built, and makes the case that it is substantially cheaper and faster to reach than it appears — provided the build is sequenced around a specific principle rather than around a platform wish-list.</w:t>
      </w:r>
    </w:p>
    <w:p>
      <w:pPr>
        <w:pStyle w:val="Heading2"/>
        <w:spacing w:after="170" w:before="320"/>
      </w:pPr>
      <w:r>
        <w:rPr>
          <w:rFonts w:ascii="Cambria" w:cs="Cambria" w:eastAsia="Cambria" w:hAnsi="Cambria"/>
          <w:b/>
          <w:bCs/>
          <w:color w:val="15304F"/>
          <w:sz w:val="27"/>
          <w:szCs w:val="27"/>
        </w:rPr>
        <w:t xml:space="preserve">13.1 The expensive path, and the cheaper one</w:t>
      </w:r>
    </w:p>
    <w:p>
      <w:pPr>
        <w:spacing w:after="130" w:before="0"/>
      </w:pPr>
      <w:r>
        <w:rPr>
          <w:rFonts w:ascii="Calibri" w:cs="Calibri" w:eastAsia="Calibri" w:hAnsi="Calibri"/>
          <w:b w:val="false"/>
          <w:bCs w:val="false"/>
          <w:i w:val="false"/>
          <w:iCs w:val="false"/>
          <w:color w:val="1B2432"/>
          <w:sz w:val="21"/>
          <w:szCs w:val="21"/>
        </w:rPr>
        <w:t xml:space="preserve">The instinct when designing a partner enablement platform is to build a system: a portal, a workflow engine, deep integration into every downstream tool, a new system of record. That path is eighteen months long, costs the platform team's entire capacity, and delivers nothing partners can use until most of it exists.</w:t>
      </w:r>
    </w:p>
    <w:p>
      <w:pPr>
        <w:spacing w:after="130" w:before="0"/>
      </w:pPr>
      <w:r>
        <w:rPr>
          <w:rFonts w:ascii="Calibri" w:cs="Calibri" w:eastAsia="Calibri" w:hAnsi="Calibri"/>
          <w:b w:val="false"/>
          <w:bCs w:val="false"/>
          <w:i w:val="false"/>
          <w:iCs w:val="false"/>
          <w:color w:val="1B2432"/>
          <w:sz w:val="21"/>
          <w:szCs w:val="21"/>
        </w:rPr>
        <w:t xml:space="preserve">There is a materially cheaper path, and it rests on one observation: most of the cost of onboarding today is not systems integration. It is knowing what to do, producing a correct artefact, and finding out early that something is wrong. All three can be addressed before any deep integration exists.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600"/>
        <w:gridCol w:w="3300"/>
        <w:gridCol w:w="3460"/>
      </w:tblGrid>
      <w:tr>
        <w:trPr>
          <w:tblHeader/>
        </w:trPr>
        <w:tc>
          <w:tcPr>
            <w:tcW w:type="dxa" w:w="26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Cost in the current process</w:t>
            </w:r>
          </w:p>
        </w:tc>
        <w:tc>
          <w:tcPr>
            <w:tcW w:type="dxa" w:w="33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Expensive way to fix it</w:t>
            </w:r>
          </w:p>
        </w:tc>
        <w:tc>
          <w:tcPr>
            <w:tcW w:type="dxa" w:w="34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Cheap way to fix it</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Partner does not know what is required</w:t>
            </w:r>
          </w:p>
        </w:tc>
        <w:tc>
          <w:tcPr>
            <w:tcW w:type="dxa" w:w="3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Build a portal with guided workflows</w:t>
            </w:r>
          </w:p>
        </w:tc>
        <w:tc>
          <w:tcPr>
            <w:tcW w:type="dxa" w:w="34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Conversational intake assistant producing a validated package</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Intake arrives incomplete</w:t>
            </w:r>
          </w:p>
        </w:tc>
        <w:tc>
          <w:tcPr>
            <w:tcW w:type="dxa" w:w="3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Integrate validation into the intake tool</w:t>
            </w:r>
          </w:p>
        </w:tc>
        <w:tc>
          <w:tcPr>
            <w:tcW w:type="dxa" w:w="34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Deterministic completeness rules run against the package before submission</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Artefacts authored by hand</w:t>
            </w:r>
          </w:p>
        </w:tc>
        <w:tc>
          <w:tcPr>
            <w:tcW w:type="dxa" w:w="3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Integrate to create them automatically in each target system</w:t>
            </w:r>
          </w:p>
        </w:tc>
        <w:tc>
          <w:tcPr>
            <w:tcW w:type="dxa" w:w="34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Generate correct drafts from the enablement record; a human pastes or uploads</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Routing applied from memory</w:t>
            </w:r>
          </w:p>
        </w:tc>
        <w:tc>
          <w:tcPr>
            <w:tcW w:type="dxa" w:w="3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Build routing into every requesting system</w:t>
            </w:r>
          </w:p>
        </w:tc>
        <w:tc>
          <w:tcPr>
            <w:tcW w:type="dxa" w:w="34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Codify the routing rules once and return the answer wherever it is asked</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Errors found weeks later</w:t>
            </w:r>
          </w:p>
        </w:tc>
        <w:tc>
          <w:tcPr>
            <w:tcW w:type="dxa" w:w="3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End-to-end automated pipeline</w:t>
            </w:r>
          </w:p>
        </w:tc>
        <w:tc>
          <w:tcPr>
            <w:tcW w:type="dxa" w:w="34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Run the same validation rules at every gate and surface failures immediately</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Partner does not know where they stand</w:t>
            </w:r>
          </w:p>
        </w:tc>
        <w:tc>
          <w:tcPr>
            <w:tcW w:type="dxa" w:w="3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Real-time integration with every system</w:t>
            </w:r>
          </w:p>
        </w:tc>
        <w:tc>
          <w:tcPr>
            <w:tcW w:type="dxa" w:w="34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state record updated at gate events, visible to the partner</w:t>
            </w:r>
          </w:p>
        </w:tc>
      </w:tr>
    </w:tbl>
    <w:p>
      <w:pPr>
        <w:spacing w:after="140"/>
      </w:pPr>
      <w:r>
        <w:t xml:space="preserve"/>
      </w:r>
    </w:p>
    <w:tbl>
      <w:tblPr>
        <w:tblW w:type="dxa" w:w="9360"/>
        <w:tblBorders>
          <w:top w:val="single" w:color="15304F" w:sz="6"/>
          <w:left w:val="single" w:color="15304F" w:sz="6"/>
          <w:bottom w:val="single" w:color="15304F" w:sz="6"/>
          <w:right w:val="single" w:color="15304F" w:sz="6"/>
          <w:insideH w:val="none"/>
          <w:insideV w:val="none"/>
        </w:tblBorders>
      </w:tblPr>
      <w:tblGrid>
        <w:gridCol w:w="9360"/>
      </w:tblGrid>
      <w:tr>
        <w:tc>
          <w:tcPr>
            <w:tcW w:type="dxa" w:w="9360"/>
            <w:shd w:fill="EEF2F7" w:color="auto" w:val="clear"/>
            <w:tcMar>
              <w:top w:type="dxa" w:w="140"/>
              <w:left w:type="dxa" w:w="165"/>
              <w:bottom w:type="dxa" w:w="140"/>
              <w:right w:type="dxa" w:w="165"/>
            </w:tcMar>
          </w:tcPr>
          <w:p>
            <w:pPr>
              <w:spacing w:after="85"/>
            </w:pPr>
            <w:r>
              <w:rPr>
                <w:rFonts w:ascii="Calibri" w:cs="Calibri" w:eastAsia="Calibri" w:hAnsi="Calibri"/>
                <w:b/>
                <w:bCs/>
                <w:color w:val="15304F"/>
                <w:sz w:val="20"/>
                <w:szCs w:val="20"/>
              </w:rPr>
              <w:t xml:space="preserve">THE PRINCIPLE THAT MAKES THIS AFFORDABLE</w:t>
            </w:r>
          </w:p>
          <w:p>
            <w:pPr>
              <w:spacing w:after="65"/>
            </w:pPr>
            <w:r>
              <w:rPr>
                <w:rFonts w:ascii="Calibri" w:cs="Calibri" w:eastAsia="Calibri" w:hAnsi="Calibri"/>
                <w:color w:val="1B2432"/>
                <w:sz w:val="20"/>
                <w:szCs w:val="20"/>
              </w:rPr>
              <w:t xml:space="preserve">Automate the decisions before automating the systems.</w:t>
            </w:r>
          </w:p>
          <w:p>
            <w:pPr>
              <w:spacing w:after="65"/>
            </w:pPr>
            <w:r>
              <w:rPr>
                <w:rFonts w:ascii="Calibri" w:cs="Calibri" w:eastAsia="Calibri" w:hAnsi="Calibri"/>
                <w:color w:val="1B2432"/>
                <w:sz w:val="20"/>
                <w:szCs w:val="20"/>
              </w:rPr>
              <w:t xml:space="preserve">A rule that returns the correct answer — which project, which access path, which profile, whether this is complete, whether this may promote — delivers most of the value of an integration at a fraction of the cost, because the expensive part of integration is the connection, not the logic.</w:t>
            </w:r>
          </w:p>
          <w:p>
            <w:pPr>
              <w:spacing w:after="65"/>
            </w:pPr>
            <w:r>
              <w:rPr>
                <w:rFonts w:ascii="Calibri" w:cs="Calibri" w:eastAsia="Calibri" w:hAnsi="Calibri"/>
                <w:color w:val="1B2432"/>
                <w:sz w:val="20"/>
                <w:szCs w:val="20"/>
              </w:rPr>
              <w:t xml:space="preserve">Generation beats integration for the same reason. Producing a complete, correct draft of the records management questionnaire removes almost all the effort of authoring it. Integrating to submit it automatically removes the remaining ten per cent, at ten times the cost. Do the first now and the second later, if ever.</w:t>
            </w:r>
          </w:p>
          <w:p>
            <w:pPr>
              <w:spacing w:after="65"/>
            </w:pPr>
            <w:r>
              <w:rPr>
                <w:rFonts w:ascii="Calibri" w:cs="Calibri" w:eastAsia="Calibri" w:hAnsi="Calibri"/>
                <w:color w:val="1B2432"/>
                <w:sz w:val="20"/>
                <w:szCs w:val="20"/>
              </w:rPr>
              <w:t xml:space="preserve">This is why a meaningful framework is reachable in four sprints rather than four quarters.</w:t>
            </w:r>
          </w:p>
        </w:tc>
      </w:tr>
    </w:tbl>
    <w:p>
      <w:pPr>
        <w:pStyle w:val="Heading2"/>
        <w:spacing w:after="170" w:before="320"/>
      </w:pPr>
      <w:r>
        <w:rPr>
          <w:rFonts w:ascii="Cambria" w:cs="Cambria" w:eastAsia="Cambria" w:hAnsi="Cambria"/>
          <w:b/>
          <w:bCs/>
          <w:color w:val="15304F"/>
          <w:sz w:val="27"/>
          <w:szCs w:val="27"/>
        </w:rPr>
        <w:t xml:space="preserve">13.2 The three-layer separation</w:t>
      </w:r>
    </w:p>
    <w:p>
      <w:pPr>
        <w:spacing w:after="130" w:before="0"/>
      </w:pPr>
      <w:r>
        <w:rPr>
          <w:rFonts w:ascii="Calibri" w:cs="Calibri" w:eastAsia="Calibri" w:hAnsi="Calibri"/>
          <w:b w:val="false"/>
          <w:bCs w:val="false"/>
          <w:i w:val="false"/>
          <w:iCs w:val="false"/>
          <w:color w:val="1B2432"/>
          <w:sz w:val="21"/>
          <w:szCs w:val="21"/>
        </w:rPr>
        <w:t xml:space="preserve">Everything that follows depends on one architectural rule, and it is the rule that makes AI enablement acceptable to risk and compliance functions.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000"/>
        <w:gridCol w:w="2200"/>
        <w:gridCol w:w="2580"/>
        <w:gridCol w:w="2580"/>
      </w:tblGrid>
      <w:tr>
        <w:trPr>
          <w:tblHeader/>
        </w:trPr>
        <w:tc>
          <w:tcPr>
            <w:tcW w:type="dxa" w:w="20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Layer</w:t>
            </w:r>
          </w:p>
        </w:tc>
        <w:tc>
          <w:tcPr>
            <w:tcW w:type="dxa" w:w="22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What it does</w:t>
            </w:r>
          </w:p>
        </w:tc>
        <w:tc>
          <w:tcPr>
            <w:tcW w:type="dxa" w:w="258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What it may never do</w:t>
            </w:r>
          </w:p>
        </w:tc>
        <w:tc>
          <w:tcPr>
            <w:tcW w:type="dxa" w:w="258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Implemented as</w:t>
            </w:r>
          </w:p>
        </w:tc>
      </w:tr>
      <w:tr>
        <w:tc>
          <w:tcPr>
            <w:tcW w:type="dxa" w:w="20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Propose</w:t>
            </w:r>
          </w:p>
        </w:tc>
        <w:tc>
          <w:tcPr>
            <w:tcW w:type="dxa" w:w="2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Suggests a tier, a pattern, a scope, a mapping, a draft artefact, an answer to a partner question</w:t>
            </w:r>
          </w:p>
        </w:tc>
        <w:tc>
          <w:tcPr>
            <w:tcW w:type="dxa" w:w="25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Decide anything. Write to a system of record. Clear a gate.</w:t>
            </w:r>
          </w:p>
        </w:tc>
        <w:tc>
          <w:tcPr>
            <w:tcW w:type="dxa" w:w="25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AI assistance, grounded in the pattern catalogue and enablement record</w:t>
            </w:r>
          </w:p>
        </w:tc>
      </w:tr>
      <w:tr>
        <w:tc>
          <w:tcPr>
            <w:tcW w:type="dxa" w:w="20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Decide</w:t>
            </w:r>
          </w:p>
        </w:tc>
        <w:tc>
          <w:tcPr>
            <w:tcW w:type="dxa" w:w="2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Evaluates eligibility, completeness, routing, gate satisfaction, escalation triggers</w:t>
            </w:r>
          </w:p>
        </w:tc>
        <w:tc>
          <w:tcPr>
            <w:tcW w:type="dxa" w:w="25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Infer. Approximate. Produce a different answer for the same input.</w:t>
            </w:r>
          </w:p>
        </w:tc>
        <w:tc>
          <w:tcPr>
            <w:tcW w:type="dxa" w:w="25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Deterministic rules — codified policy, not a model</w:t>
            </w:r>
          </w:p>
        </w:tc>
      </w:tr>
      <w:tr>
        <w:tc>
          <w:tcPr>
            <w:tcW w:type="dxa" w:w="20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Act</w:t>
            </w:r>
          </w:p>
        </w:tc>
        <w:tc>
          <w:tcPr>
            <w:tcW w:type="dxa" w:w="2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Provisions configuration, raises requests, promotes environments, writes the audit trail</w:t>
            </w:r>
          </w:p>
        </w:tc>
        <w:tc>
          <w:tcPr>
            <w:tcW w:type="dxa" w:w="25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Act on a proposal that has not become a decision</w:t>
            </w:r>
          </w:p>
        </w:tc>
        <w:tc>
          <w:tcPr>
            <w:tcW w:type="dxa" w:w="25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Platform execution against policy bounds</w:t>
            </w:r>
          </w:p>
        </w:tc>
      </w:tr>
      <w:tr>
        <w:tc>
          <w:tcPr>
            <w:tcW w:type="dxa" w:w="20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Authorise</w:t>
            </w:r>
          </w:p>
        </w:tc>
        <w:tc>
          <w:tcPr>
            <w:tcW w:type="dxa" w:w="2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Governance determinations, records approvals, security approvals, go-live sign-off</w:t>
            </w:r>
          </w:p>
        </w:tc>
        <w:tc>
          <w:tcPr>
            <w:tcW w:type="dxa" w:w="25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Be delegated to any of the three layers above</w:t>
            </w:r>
          </w:p>
        </w:tc>
        <w:tc>
          <w:tcPr>
            <w:tcW w:type="dxa" w:w="25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Named humans, as today</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Read that table to a compliance audience and the conversation changes. The concern with AI in a regulated content platform is never that it drafts a document; it is that it decides something consequential and nobody can reconstruct why. Here, AI never decides. It proposes, a deterministic rule decides, a human authorises anything that carries consequence, and every step is recorded.</w:t>
      </w:r>
    </w:p>
    <w:p>
      <w:pPr>
        <w:pStyle w:val="Heading2"/>
        <w:spacing w:after="170" w:before="320"/>
      </w:pPr>
      <w:r>
        <w:rPr>
          <w:rFonts w:ascii="Cambria" w:cs="Cambria" w:eastAsia="Cambria" w:hAnsi="Cambria"/>
          <w:b/>
          <w:bCs/>
          <w:color w:val="15304F"/>
          <w:sz w:val="27"/>
          <w:szCs w:val="27"/>
        </w:rPr>
        <w:t xml:space="preserve">13.3 The AI-assisted capabilities</w:t>
      </w:r>
    </w:p>
    <w:p>
      <w:pPr>
        <w:spacing w:after="130" w:before="0"/>
      </w:pPr>
      <w:r>
        <w:rPr>
          <w:rFonts w:ascii="Calibri" w:cs="Calibri" w:eastAsia="Calibri" w:hAnsi="Calibri"/>
          <w:b w:val="false"/>
          <w:bCs w:val="false"/>
          <w:i w:val="false"/>
          <w:iCs w:val="false"/>
          <w:color w:val="1B2432"/>
          <w:sz w:val="21"/>
          <w:szCs w:val="21"/>
        </w:rPr>
        <w:t xml:space="preserve">Ten capabilities, ordered by value per unit of build effort. The first four carry most of the benefit and none requires deep integration.</w:t>
      </w:r>
    </w:p>
    <w:p>
      <w:pPr>
        <w:pStyle w:val="Heading3"/>
        <w:spacing w:after="130" w:before="250"/>
      </w:pPr>
      <w:r>
        <w:rPr>
          <w:rFonts w:ascii="Calibri" w:cs="Calibri" w:eastAsia="Calibri" w:hAnsi="Calibri"/>
          <w:b/>
          <w:bCs/>
          <w:color w:val="1B2432"/>
          <w:sz w:val="23"/>
          <w:szCs w:val="23"/>
        </w:rPr>
        <w:t xml:space="preserve">A — Intake Copilot</w:t>
      </w:r>
    </w:p>
    <w:p>
      <w:pPr>
        <w:spacing w:after="130" w:before="0"/>
      </w:pPr>
      <w:r>
        <w:rPr>
          <w:rFonts w:ascii="Calibri" w:cs="Calibri" w:eastAsia="Calibri" w:hAnsi="Calibri"/>
          <w:b/>
          <w:bCs/>
          <w:i w:val="false"/>
          <w:iCs w:val="false"/>
          <w:color w:val="1B2432"/>
          <w:sz w:val="21"/>
          <w:szCs w:val="21"/>
        </w:rPr>
        <w:t xml:space="preserve">What it does. </w:t>
      </w:r>
      <w:r>
        <w:rPr>
          <w:rFonts w:ascii="Calibri" w:cs="Calibri" w:eastAsia="Calibri" w:hAnsi="Calibri"/>
          <w:b w:val="false"/>
          <w:bCs w:val="false"/>
          <w:i w:val="false"/>
          <w:iCs w:val="false"/>
          <w:color w:val="1B2432"/>
          <w:sz w:val="21"/>
          <w:szCs w:val="21"/>
        </w:rPr>
        <w:t xml:space="preserve">Replaces the Definition of Ready workbook as a form to be filled in with a guided conversation that produces the same structured package, complete. It asks what is needed in the order it is needed, explains why each answer matters downstream, probes where an answer is vague, and refuses to produce a package that would fail validation.</w:t>
      </w:r>
    </w:p>
    <w:p>
      <w:pPr>
        <w:spacing w:after="130" w:before="0"/>
      </w:pPr>
      <w:r>
        <w:rPr>
          <w:rFonts w:ascii="Calibri" w:cs="Calibri" w:eastAsia="Calibri" w:hAnsi="Calibri"/>
          <w:b/>
          <w:bCs/>
          <w:i w:val="false"/>
          <w:iCs w:val="false"/>
          <w:color w:val="1B2432"/>
          <w:sz w:val="21"/>
          <w:szCs w:val="21"/>
        </w:rPr>
        <w:t xml:space="preserve">Why it is first. </w:t>
      </w:r>
      <w:r>
        <w:rPr>
          <w:rFonts w:ascii="Calibri" w:cs="Calibri" w:eastAsia="Calibri" w:hAnsi="Calibri"/>
          <w:b w:val="false"/>
          <w:bCs w:val="false"/>
          <w:i w:val="false"/>
          <w:iCs w:val="false"/>
          <w:color w:val="1B2432"/>
          <w:sz w:val="21"/>
          <w:szCs w:val="21"/>
        </w:rPr>
        <w:t xml:space="preserve">Incomplete and ambiguous intake is the single largest source of downstream rework in the current process. Every clarification cycle, every follow-up loop, every scope revisited at discovery traces back to an intake that was accepted before it was understood. Fixing it at source is worth more than anything else on this list.</w:t>
      </w:r>
    </w:p>
    <w:p>
      <w:pPr>
        <w:spacing w:after="130" w:before="0"/>
      </w:pPr>
      <w:r>
        <w:rPr>
          <w:rFonts w:ascii="Calibri" w:cs="Calibri" w:eastAsia="Calibri" w:hAnsi="Calibri"/>
          <w:b/>
          <w:bCs/>
          <w:i w:val="false"/>
          <w:iCs w:val="false"/>
          <w:color w:val="1B2432"/>
          <w:sz w:val="21"/>
          <w:szCs w:val="21"/>
        </w:rPr>
        <w:t xml:space="preserve">Guardrail. </w:t>
      </w:r>
      <w:r>
        <w:rPr>
          <w:rFonts w:ascii="Calibri" w:cs="Calibri" w:eastAsia="Calibri" w:hAnsi="Calibri"/>
          <w:b w:val="false"/>
          <w:bCs w:val="false"/>
          <w:i w:val="false"/>
          <w:iCs w:val="false"/>
          <w:color w:val="1B2432"/>
          <w:sz w:val="21"/>
          <w:szCs w:val="21"/>
        </w:rPr>
        <w:t xml:space="preserve">The copilot produces a package; it does not submit one. Completeness is judged by deterministic rules, not by the copilot's own assessment.</w:t>
      </w:r>
    </w:p>
    <w:p>
      <w:pPr>
        <w:pStyle w:val="Heading3"/>
        <w:spacing w:after="130" w:before="250"/>
      </w:pPr>
      <w:r>
        <w:rPr>
          <w:rFonts w:ascii="Calibri" w:cs="Calibri" w:eastAsia="Calibri" w:hAnsi="Calibri"/>
          <w:b/>
          <w:bCs/>
          <w:color w:val="1B2432"/>
          <w:sz w:val="23"/>
          <w:szCs w:val="23"/>
        </w:rPr>
        <w:t xml:space="preserve">B — Pattern Matcher</w:t>
      </w:r>
    </w:p>
    <w:p>
      <w:pPr>
        <w:spacing w:after="130" w:before="0"/>
      </w:pPr>
      <w:r>
        <w:rPr>
          <w:rFonts w:ascii="Calibri" w:cs="Calibri" w:eastAsia="Calibri" w:hAnsi="Calibri"/>
          <w:b/>
          <w:bCs/>
          <w:i w:val="false"/>
          <w:iCs w:val="false"/>
          <w:color w:val="1B2432"/>
          <w:sz w:val="21"/>
          <w:szCs w:val="21"/>
        </w:rPr>
        <w:t xml:space="preserve">What it does. </w:t>
      </w:r>
      <w:r>
        <w:rPr>
          <w:rFonts w:ascii="Calibri" w:cs="Calibri" w:eastAsia="Calibri" w:hAnsi="Calibri"/>
          <w:b w:val="false"/>
          <w:bCs w:val="false"/>
          <w:i w:val="false"/>
          <w:iCs w:val="false"/>
          <w:color w:val="1B2432"/>
          <w:sz w:val="21"/>
          <w:szCs w:val="21"/>
        </w:rPr>
        <w:t xml:space="preserve">Given a completed intake, retrieves the closest patterns from the catalogue and prior intakes, states the match confidence, and — crucially — states the delta: what in this intake is not covered by the pattern.</w:t>
      </w:r>
    </w:p>
    <w:p>
      <w:pPr>
        <w:spacing w:after="130" w:before="0"/>
      </w:pPr>
      <w:r>
        <w:rPr>
          <w:rFonts w:ascii="Calibri" w:cs="Calibri" w:eastAsia="Calibri" w:hAnsi="Calibri"/>
          <w:b/>
          <w:bCs/>
          <w:i w:val="false"/>
          <w:iCs w:val="false"/>
          <w:color w:val="1B2432"/>
          <w:sz w:val="21"/>
          <w:szCs w:val="21"/>
        </w:rPr>
        <w:t xml:space="preserve">Why it matters. </w:t>
      </w:r>
      <w:r>
        <w:rPr>
          <w:rFonts w:ascii="Calibri" w:cs="Calibri" w:eastAsia="Calibri" w:hAnsi="Calibri"/>
          <w:b w:val="false"/>
          <w:bCs w:val="false"/>
          <w:i w:val="false"/>
          <w:iCs w:val="false"/>
          <w:color w:val="1B2432"/>
          <w:sz w:val="21"/>
          <w:szCs w:val="21"/>
        </w:rPr>
        <w:t xml:space="preserve">The delta is the actual work. A pattern match of 90% with a clearly named 10% is far more useful than a tier assignment, because it tells the enablement lead exactly where the design effort sits.</w:t>
      </w:r>
    </w:p>
    <w:p>
      <w:pPr>
        <w:spacing w:after="130" w:before="0"/>
      </w:pPr>
      <w:r>
        <w:rPr>
          <w:rFonts w:ascii="Calibri" w:cs="Calibri" w:eastAsia="Calibri" w:hAnsi="Calibri"/>
          <w:b/>
          <w:bCs/>
          <w:i w:val="false"/>
          <w:iCs w:val="false"/>
          <w:color w:val="1B2432"/>
          <w:sz w:val="21"/>
          <w:szCs w:val="21"/>
        </w:rPr>
        <w:t xml:space="preserve">Guardrail. </w:t>
      </w:r>
      <w:r>
        <w:rPr>
          <w:rFonts w:ascii="Calibri" w:cs="Calibri" w:eastAsia="Calibri" w:hAnsi="Calibri"/>
          <w:b w:val="false"/>
          <w:bCs w:val="false"/>
          <w:i w:val="false"/>
          <w:iCs w:val="false"/>
          <w:color w:val="1B2432"/>
          <w:sz w:val="21"/>
          <w:szCs w:val="21"/>
        </w:rPr>
        <w:t xml:space="preserve">Below a confidence threshold, it returns no match rather than the nearest one. A forced match on a weak similarity is how an intake ends up on the wrong pattern and fails in build.</w:t>
      </w:r>
    </w:p>
    <w:p>
      <w:pPr>
        <w:pStyle w:val="Heading3"/>
        <w:spacing w:after="130" w:before="250"/>
      </w:pPr>
      <w:r>
        <w:rPr>
          <w:rFonts w:ascii="Calibri" w:cs="Calibri" w:eastAsia="Calibri" w:hAnsi="Calibri"/>
          <w:b/>
          <w:bCs/>
          <w:color w:val="1B2432"/>
          <w:sz w:val="23"/>
          <w:szCs w:val="23"/>
        </w:rPr>
        <w:t xml:space="preserve">C — Tiering Assistant</w:t>
      </w:r>
    </w:p>
    <w:p>
      <w:pPr>
        <w:spacing w:after="130" w:before="0"/>
      </w:pPr>
      <w:r>
        <w:rPr>
          <w:rFonts w:ascii="Calibri" w:cs="Calibri" w:eastAsia="Calibri" w:hAnsi="Calibri"/>
          <w:b/>
          <w:bCs/>
          <w:i w:val="false"/>
          <w:iCs w:val="false"/>
          <w:color w:val="1B2432"/>
          <w:sz w:val="21"/>
          <w:szCs w:val="21"/>
        </w:rPr>
        <w:t xml:space="preserve">What it does. </w:t>
      </w:r>
      <w:r>
        <w:rPr>
          <w:rFonts w:ascii="Calibri" w:cs="Calibri" w:eastAsia="Calibri" w:hAnsi="Calibri"/>
          <w:b w:val="false"/>
          <w:bCs w:val="false"/>
          <w:i w:val="false"/>
          <w:iCs w:val="false"/>
          <w:color w:val="1B2432"/>
          <w:sz w:val="21"/>
          <w:szCs w:val="21"/>
        </w:rPr>
        <w:t xml:space="preserve">Scores the seven determinants from the intake content, shows its reasoning for each score, applies the hard overrides, and proposes a tier.</w:t>
      </w:r>
    </w:p>
    <w:p>
      <w:pPr>
        <w:spacing w:after="130" w:before="0"/>
      </w:pPr>
      <w:r>
        <w:rPr>
          <w:rFonts w:ascii="Calibri" w:cs="Calibri" w:eastAsia="Calibri" w:hAnsi="Calibri"/>
          <w:b/>
          <w:bCs/>
          <w:i w:val="false"/>
          <w:iCs w:val="false"/>
          <w:color w:val="1B2432"/>
          <w:sz w:val="21"/>
          <w:szCs w:val="21"/>
        </w:rPr>
        <w:t xml:space="preserve">Guardrail. </w:t>
      </w:r>
      <w:r>
        <w:rPr>
          <w:rFonts w:ascii="Calibri" w:cs="Calibri" w:eastAsia="Calibri" w:hAnsi="Calibri"/>
          <w:b w:val="false"/>
          <w:bCs w:val="false"/>
          <w:i w:val="false"/>
          <w:iCs w:val="false"/>
          <w:color w:val="1B2432"/>
          <w:sz w:val="21"/>
          <w:szCs w:val="21"/>
        </w:rPr>
        <w:t xml:space="preserve">The proposal is never the assignment. An enablement lead confirms or adjusts, and the adjustment is recorded. Over time the record of adjustments is the calibration data for the rubric itself.</w:t>
      </w:r>
    </w:p>
    <w:p>
      <w:pPr>
        <w:pStyle w:val="Heading3"/>
        <w:spacing w:after="130" w:before="250"/>
      </w:pPr>
      <w:r>
        <w:rPr>
          <w:rFonts w:ascii="Calibri" w:cs="Calibri" w:eastAsia="Calibri" w:hAnsi="Calibri"/>
          <w:b/>
          <w:bCs/>
          <w:color w:val="1B2432"/>
          <w:sz w:val="23"/>
          <w:szCs w:val="23"/>
        </w:rPr>
        <w:t xml:space="preserve">D — Scope Derivation</w:t>
      </w:r>
    </w:p>
    <w:p>
      <w:pPr>
        <w:spacing w:after="130" w:before="0"/>
      </w:pPr>
      <w:r>
        <w:rPr>
          <w:rFonts w:ascii="Calibri" w:cs="Calibri" w:eastAsia="Calibri" w:hAnsi="Calibri"/>
          <w:b/>
          <w:bCs/>
          <w:i w:val="false"/>
          <w:iCs w:val="false"/>
          <w:color w:val="1B2432"/>
          <w:sz w:val="21"/>
          <w:szCs w:val="21"/>
        </w:rPr>
        <w:t xml:space="preserve">What it does. </w:t>
      </w:r>
      <w:r>
        <w:rPr>
          <w:rFonts w:ascii="Calibri" w:cs="Calibri" w:eastAsia="Calibri" w:hAnsi="Calibri"/>
          <w:b w:val="false"/>
          <w:bCs w:val="false"/>
          <w:i w:val="false"/>
          <w:iCs w:val="false"/>
          <w:color w:val="1B2432"/>
          <w:sz w:val="21"/>
          <w:szCs w:val="21"/>
        </w:rPr>
        <w:t xml:space="preserve">From the intake, derives which workstreams are in scope, which specialist teams must be engaged, which impact tags and area labels apply, which approvals will be needed and in what order, and which lead-time items should start immediately.</w:t>
      </w:r>
    </w:p>
    <w:p>
      <w:pPr>
        <w:spacing w:after="130" w:before="0"/>
      </w:pPr>
      <w:r>
        <w:rPr>
          <w:rFonts w:ascii="Calibri" w:cs="Calibri" w:eastAsia="Calibri" w:hAnsi="Calibri"/>
          <w:b/>
          <w:bCs/>
          <w:i w:val="false"/>
          <w:iCs w:val="false"/>
          <w:color w:val="1B2432"/>
          <w:sz w:val="21"/>
          <w:szCs w:val="21"/>
        </w:rPr>
        <w:t xml:space="preserve">Why it matters. </w:t>
      </w:r>
      <w:r>
        <w:rPr>
          <w:rFonts w:ascii="Calibri" w:cs="Calibri" w:eastAsia="Calibri" w:hAnsi="Calibri"/>
          <w:b w:val="false"/>
          <w:bCs w:val="false"/>
          <w:i w:val="false"/>
          <w:iCs w:val="false"/>
          <w:color w:val="1B2432"/>
          <w:sz w:val="21"/>
          <w:szCs w:val="21"/>
        </w:rPr>
        <w:t xml:space="preserve">This is the knowledge currently held in an experienced engineer's head, and it is the reason a less experienced one takes three times as long. Deriving it mechanically removes the dependency on who happens to pick up the intake.</w:t>
      </w:r>
    </w:p>
    <w:p>
      <w:pPr>
        <w:pStyle w:val="Heading3"/>
        <w:spacing w:after="130" w:before="250"/>
      </w:pPr>
      <w:r>
        <w:rPr>
          <w:rFonts w:ascii="Calibri" w:cs="Calibri" w:eastAsia="Calibri" w:hAnsi="Calibri"/>
          <w:b/>
          <w:bCs/>
          <w:color w:val="1B2432"/>
          <w:sz w:val="23"/>
          <w:szCs w:val="23"/>
        </w:rPr>
        <w:t xml:space="preserve">E — Artefact Generator</w:t>
      </w:r>
    </w:p>
    <w:p>
      <w:pPr>
        <w:spacing w:after="130" w:before="0"/>
      </w:pPr>
      <w:r>
        <w:rPr>
          <w:rFonts w:ascii="Calibri" w:cs="Calibri" w:eastAsia="Calibri" w:hAnsi="Calibri"/>
          <w:b/>
          <w:bCs/>
          <w:i w:val="false"/>
          <w:iCs w:val="false"/>
          <w:color w:val="1B2432"/>
          <w:sz w:val="21"/>
          <w:szCs w:val="21"/>
        </w:rPr>
        <w:t xml:space="preserve">What it does. </w:t>
      </w:r>
      <w:r>
        <w:rPr>
          <w:rFonts w:ascii="Calibri" w:cs="Calibri" w:eastAsia="Calibri" w:hAnsi="Calibri"/>
          <w:b w:val="false"/>
          <w:bCs w:val="false"/>
          <w:i w:val="false"/>
          <w:iCs w:val="false"/>
          <w:color w:val="1B2432"/>
          <w:sz w:val="21"/>
          <w:szCs w:val="21"/>
        </w:rPr>
        <w:t xml:space="preserve">Produces drafts from the enablement record: the records management questionnaire, technical design notes, integration and reconciliation test plans, the partner-specific API collection, the release transition page, operational runbooks and the partner user manual.</w:t>
      </w:r>
    </w:p>
    <w:p>
      <w:pPr>
        <w:spacing w:after="130" w:before="0"/>
      </w:pPr>
      <w:r>
        <w:rPr>
          <w:rFonts w:ascii="Calibri" w:cs="Calibri" w:eastAsia="Calibri" w:hAnsi="Calibri"/>
          <w:b/>
          <w:bCs/>
          <w:i w:val="false"/>
          <w:iCs w:val="false"/>
          <w:color w:val="1B2432"/>
          <w:sz w:val="21"/>
          <w:szCs w:val="21"/>
        </w:rPr>
        <w:t xml:space="preserve">Why it is high-yield. </w:t>
      </w:r>
      <w:r>
        <w:rPr>
          <w:rFonts w:ascii="Calibri" w:cs="Calibri" w:eastAsia="Calibri" w:hAnsi="Calibri"/>
          <w:b w:val="false"/>
          <w:bCs w:val="false"/>
          <w:i w:val="false"/>
          <w:iCs w:val="false"/>
          <w:color w:val="1B2432"/>
          <w:sz w:val="21"/>
          <w:szCs w:val="21"/>
        </w:rPr>
        <w:t xml:space="preserve">These artefacts are assembly, not authorship — every fact in them already exists somewhere in the record. Generating them is cheap, and it removes the largest clerical block in the back half of the lifecycle.</w:t>
      </w:r>
    </w:p>
    <w:p>
      <w:pPr>
        <w:spacing w:after="130" w:before="0"/>
      </w:pPr>
      <w:r>
        <w:rPr>
          <w:rFonts w:ascii="Calibri" w:cs="Calibri" w:eastAsia="Calibri" w:hAnsi="Calibri"/>
          <w:b/>
          <w:bCs/>
          <w:i w:val="false"/>
          <w:iCs w:val="false"/>
          <w:color w:val="1B2432"/>
          <w:sz w:val="21"/>
          <w:szCs w:val="21"/>
        </w:rPr>
        <w:t xml:space="preserve">Guardrail. </w:t>
      </w:r>
      <w:r>
        <w:rPr>
          <w:rFonts w:ascii="Calibri" w:cs="Calibri" w:eastAsia="Calibri" w:hAnsi="Calibri"/>
          <w:b w:val="false"/>
          <w:bCs w:val="false"/>
          <w:i w:val="false"/>
          <w:iCs w:val="false"/>
          <w:color w:val="1B2432"/>
          <w:sz w:val="21"/>
          <w:szCs w:val="21"/>
        </w:rPr>
        <w:t xml:space="preserve">Generated artefacts are drafts until a named human accepts them. The records questionnaire in particular is reviewed and approved by records management exactly as it is today.</w:t>
      </w:r>
    </w:p>
    <w:p>
      <w:pPr>
        <w:pStyle w:val="Heading3"/>
        <w:spacing w:after="130" w:before="250"/>
      </w:pPr>
      <w:r>
        <w:rPr>
          <w:rFonts w:ascii="Calibri" w:cs="Calibri" w:eastAsia="Calibri" w:hAnsi="Calibri"/>
          <w:b/>
          <w:bCs/>
          <w:color w:val="1B2432"/>
          <w:sz w:val="23"/>
          <w:szCs w:val="23"/>
        </w:rPr>
        <w:t xml:space="preserve">F — Guardrail and Gate Engine</w:t>
      </w:r>
    </w:p>
    <w:p>
      <w:pPr>
        <w:spacing w:after="130" w:before="0"/>
      </w:pPr>
      <w:r>
        <w:rPr>
          <w:rFonts w:ascii="Calibri" w:cs="Calibri" w:eastAsia="Calibri" w:hAnsi="Calibri"/>
          <w:b/>
          <w:bCs/>
          <w:i w:val="false"/>
          <w:iCs w:val="false"/>
          <w:color w:val="1B2432"/>
          <w:sz w:val="21"/>
          <w:szCs w:val="21"/>
        </w:rPr>
        <w:t xml:space="preserve">What it does. </w:t>
      </w:r>
      <w:r>
        <w:rPr>
          <w:rFonts w:ascii="Calibri" w:cs="Calibri" w:eastAsia="Calibri" w:hAnsi="Calibri"/>
          <w:b w:val="false"/>
          <w:bCs w:val="false"/>
          <w:i w:val="false"/>
          <w:iCs w:val="false"/>
          <w:color w:val="1B2432"/>
          <w:sz w:val="21"/>
          <w:szCs w:val="21"/>
        </w:rPr>
        <w:t xml:space="preserve">Evaluates every gate deterministically and returns pass, fail with an itemised reason, or pending-human-decision.</w:t>
      </w:r>
    </w:p>
    <w:p>
      <w:pPr>
        <w:spacing w:after="130" w:before="0"/>
      </w:pPr>
      <w:r>
        <w:rPr>
          <w:rFonts w:ascii="Calibri" w:cs="Calibri" w:eastAsia="Calibri" w:hAnsi="Calibri"/>
          <w:b/>
          <w:bCs/>
          <w:i w:val="false"/>
          <w:iCs w:val="false"/>
          <w:color w:val="1B2432"/>
          <w:sz w:val="21"/>
          <w:szCs w:val="21"/>
        </w:rPr>
        <w:t xml:space="preserve">Explicitly not AI. </w:t>
      </w:r>
      <w:r>
        <w:rPr>
          <w:rFonts w:ascii="Calibri" w:cs="Calibri" w:eastAsia="Calibri" w:hAnsi="Calibri"/>
          <w:b w:val="false"/>
          <w:bCs w:val="false"/>
          <w:i w:val="false"/>
          <w:iCs w:val="false"/>
          <w:color w:val="1B2432"/>
          <w:sz w:val="21"/>
          <w:szCs w:val="21"/>
        </w:rPr>
        <w:t xml:space="preserve">Gates are codified policy. The same inputs must always produce the same outcome, and the outcome must be explainable by pointing at a rule rather than at a model's reasoning. This distinction should be stated in any conversation with audit.</w:t>
      </w:r>
    </w:p>
    <w:p>
      <w:pPr>
        <w:pStyle w:val="Heading3"/>
        <w:spacing w:after="130" w:before="250"/>
      </w:pPr>
      <w:r>
        <w:rPr>
          <w:rFonts w:ascii="Calibri" w:cs="Calibri" w:eastAsia="Calibri" w:hAnsi="Calibri"/>
          <w:b/>
          <w:bCs/>
          <w:color w:val="1B2432"/>
          <w:sz w:val="23"/>
          <w:szCs w:val="23"/>
        </w:rPr>
        <w:t xml:space="preserve">G — Partner Onboarding Assistant</w:t>
      </w:r>
    </w:p>
    <w:p>
      <w:pPr>
        <w:spacing w:after="130" w:before="0"/>
      </w:pPr>
      <w:r>
        <w:rPr>
          <w:rFonts w:ascii="Calibri" w:cs="Calibri" w:eastAsia="Calibri" w:hAnsi="Calibri"/>
          <w:b/>
          <w:bCs/>
          <w:i w:val="false"/>
          <w:iCs w:val="false"/>
          <w:color w:val="1B2432"/>
          <w:sz w:val="21"/>
          <w:szCs w:val="21"/>
        </w:rPr>
        <w:t xml:space="preserve">What it does. </w:t>
      </w:r>
      <w:r>
        <w:rPr>
          <w:rFonts w:ascii="Calibri" w:cs="Calibri" w:eastAsia="Calibri" w:hAnsi="Calibri"/>
          <w:b w:val="false"/>
          <w:bCs w:val="false"/>
          <w:i w:val="false"/>
          <w:iCs w:val="false"/>
          <w:color w:val="1B2432"/>
          <w:sz w:val="21"/>
          <w:szCs w:val="21"/>
        </w:rPr>
        <w:t xml:space="preserve">Answers the partner's questions, grounded in the pattern catalogue, the policy set and their own enablement record: what do I do next, why am I blocked, what does this failure mean, what format is expected here, what did other partners on this pattern find difficult.</w:t>
      </w:r>
    </w:p>
    <w:p>
      <w:pPr>
        <w:spacing w:after="130" w:before="0"/>
      </w:pPr>
      <w:r>
        <w:rPr>
          <w:rFonts w:ascii="Calibri" w:cs="Calibri" w:eastAsia="Calibri" w:hAnsi="Calibri"/>
          <w:b/>
          <w:bCs/>
          <w:i w:val="false"/>
          <w:iCs w:val="false"/>
          <w:color w:val="1B2432"/>
          <w:sz w:val="21"/>
          <w:szCs w:val="21"/>
        </w:rPr>
        <w:t xml:space="preserve">Why it carries the Lean tier. </w:t>
      </w:r>
      <w:r>
        <w:rPr>
          <w:rFonts w:ascii="Calibri" w:cs="Calibri" w:eastAsia="Calibri" w:hAnsi="Calibri"/>
          <w:b w:val="false"/>
          <w:bCs w:val="false"/>
          <w:i w:val="false"/>
          <w:iCs w:val="false"/>
          <w:color w:val="1B2432"/>
          <w:sz w:val="21"/>
          <w:szCs w:val="21"/>
        </w:rPr>
        <w:t xml:space="preserve">A Lean partner has no engineer to ask. This capability is the difference between self-service and abandonment.</w:t>
      </w:r>
    </w:p>
    <w:p>
      <w:pPr>
        <w:spacing w:after="130" w:before="0"/>
      </w:pPr>
      <w:r>
        <w:rPr>
          <w:rFonts w:ascii="Calibri" w:cs="Calibri" w:eastAsia="Calibri" w:hAnsi="Calibri"/>
          <w:b/>
          <w:bCs/>
          <w:i w:val="false"/>
          <w:iCs w:val="false"/>
          <w:color w:val="1B2432"/>
          <w:sz w:val="21"/>
          <w:szCs w:val="21"/>
        </w:rPr>
        <w:t xml:space="preserve">Guardrail. </w:t>
      </w:r>
      <w:r>
        <w:rPr>
          <w:rFonts w:ascii="Calibri" w:cs="Calibri" w:eastAsia="Calibri" w:hAnsi="Calibri"/>
          <w:b w:val="false"/>
          <w:bCs w:val="false"/>
          <w:i w:val="false"/>
          <w:iCs w:val="false"/>
          <w:color w:val="1B2432"/>
          <w:sz w:val="21"/>
          <w:szCs w:val="21"/>
        </w:rPr>
        <w:t xml:space="preserve">Every answer cites its source. Where the assistant cannot ground an answer, it says so and offers a clinic booking rather than improvising a procedure.</w:t>
      </w:r>
    </w:p>
    <w:p>
      <w:pPr>
        <w:pStyle w:val="Heading3"/>
        <w:spacing w:after="130" w:before="250"/>
      </w:pPr>
      <w:r>
        <w:rPr>
          <w:rFonts w:ascii="Calibri" w:cs="Calibri" w:eastAsia="Calibri" w:hAnsi="Calibri"/>
          <w:b/>
          <w:bCs/>
          <w:color w:val="1B2432"/>
          <w:sz w:val="23"/>
          <w:szCs w:val="23"/>
        </w:rPr>
        <w:t xml:space="preserve">H — Drift Detector</w:t>
      </w:r>
    </w:p>
    <w:p>
      <w:pPr>
        <w:spacing w:after="130" w:before="0"/>
      </w:pPr>
      <w:r>
        <w:rPr>
          <w:rFonts w:ascii="Calibri" w:cs="Calibri" w:eastAsia="Calibri" w:hAnsi="Calibri"/>
          <w:b/>
          <w:bCs/>
          <w:i w:val="false"/>
          <w:iCs w:val="false"/>
          <w:color w:val="1B2432"/>
          <w:sz w:val="21"/>
          <w:szCs w:val="21"/>
        </w:rPr>
        <w:t xml:space="preserve">What it does. </w:t>
      </w:r>
      <w:r>
        <w:rPr>
          <w:rFonts w:ascii="Calibri" w:cs="Calibri" w:eastAsia="Calibri" w:hAnsi="Calibri"/>
          <w:b w:val="false"/>
          <w:bCs w:val="false"/>
          <w:i w:val="false"/>
          <w:iCs w:val="false"/>
          <w:color w:val="1B2432"/>
          <w:sz w:val="21"/>
          <w:szCs w:val="21"/>
        </w:rPr>
        <w:t xml:space="preserve">Monitors intake content and lifecycle events for the escalation triggers in Part 4.4 — a new document type, a volume breach, a retention change, repeated gate failures, variation outside declared tolerance — and re-tiers automatically.</w:t>
      </w:r>
    </w:p>
    <w:p>
      <w:pPr>
        <w:pStyle w:val="Heading3"/>
        <w:spacing w:after="130" w:before="250"/>
      </w:pPr>
      <w:r>
        <w:rPr>
          <w:rFonts w:ascii="Calibri" w:cs="Calibri" w:eastAsia="Calibri" w:hAnsi="Calibri"/>
          <w:b/>
          <w:bCs/>
          <w:color w:val="1B2432"/>
          <w:sz w:val="23"/>
          <w:szCs w:val="23"/>
        </w:rPr>
        <w:t xml:space="preserve">I — Precedent Retrieval</w:t>
      </w:r>
    </w:p>
    <w:p>
      <w:pPr>
        <w:spacing w:after="130" w:before="0"/>
      </w:pPr>
      <w:r>
        <w:rPr>
          <w:rFonts w:ascii="Calibri" w:cs="Calibri" w:eastAsia="Calibri" w:hAnsi="Calibri"/>
          <w:b/>
          <w:bCs/>
          <w:i w:val="false"/>
          <w:iCs w:val="false"/>
          <w:color w:val="1B2432"/>
          <w:sz w:val="21"/>
          <w:szCs w:val="21"/>
        </w:rPr>
        <w:t xml:space="preserve">What it does. </w:t>
      </w:r>
      <w:r>
        <w:rPr>
          <w:rFonts w:ascii="Calibri" w:cs="Calibri" w:eastAsia="Calibri" w:hAnsi="Calibri"/>
          <w:b w:val="false"/>
          <w:bCs w:val="false"/>
          <w:i w:val="false"/>
          <w:iCs w:val="false"/>
          <w:color w:val="1B2432"/>
          <w:sz w:val="21"/>
          <w:szCs w:val="21"/>
        </w:rPr>
        <w:t xml:space="preserve">Surfaces comparable prior intakes, what was decided, what went wrong and how long each phase took. Available to partners, guides and pods.</w:t>
      </w:r>
    </w:p>
    <w:p>
      <w:pPr>
        <w:spacing w:after="130" w:before="0"/>
      </w:pPr>
      <w:r>
        <w:rPr>
          <w:rFonts w:ascii="Calibri" w:cs="Calibri" w:eastAsia="Calibri" w:hAnsi="Calibri"/>
          <w:b/>
          <w:bCs/>
          <w:i w:val="false"/>
          <w:iCs w:val="false"/>
          <w:color w:val="1B2432"/>
          <w:sz w:val="21"/>
          <w:szCs w:val="21"/>
        </w:rPr>
        <w:t xml:space="preserve">Why it compounds. </w:t>
      </w:r>
      <w:r>
        <w:rPr>
          <w:rFonts w:ascii="Calibri" w:cs="Calibri" w:eastAsia="Calibri" w:hAnsi="Calibri"/>
          <w:b w:val="false"/>
          <w:bCs w:val="false"/>
          <w:i w:val="false"/>
          <w:iCs w:val="false"/>
          <w:color w:val="1B2432"/>
          <w:sz w:val="21"/>
          <w:szCs w:val="21"/>
        </w:rPr>
        <w:t xml:space="preserve">Every completed intake makes the next one easier without anyone writing documentation. This is the lowest-effort knowledge-retention mechanism available.</w:t>
      </w:r>
    </w:p>
    <w:p>
      <w:pPr>
        <w:pStyle w:val="Heading3"/>
        <w:spacing w:after="130" w:before="250"/>
      </w:pPr>
      <w:r>
        <w:rPr>
          <w:rFonts w:ascii="Calibri" w:cs="Calibri" w:eastAsia="Calibri" w:hAnsi="Calibri"/>
          <w:b/>
          <w:bCs/>
          <w:color w:val="1B2432"/>
          <w:sz w:val="23"/>
          <w:szCs w:val="23"/>
        </w:rPr>
        <w:t xml:space="preserve">J — Clinic Triage</w:t>
      </w:r>
    </w:p>
    <w:p>
      <w:pPr>
        <w:spacing w:after="130" w:before="0"/>
      </w:pPr>
      <w:r>
        <w:rPr>
          <w:rFonts w:ascii="Calibri" w:cs="Calibri" w:eastAsia="Calibri" w:hAnsi="Calibri"/>
          <w:b/>
          <w:bCs/>
          <w:i w:val="false"/>
          <w:iCs w:val="false"/>
          <w:color w:val="1B2432"/>
          <w:sz w:val="21"/>
          <w:szCs w:val="21"/>
        </w:rPr>
        <w:t xml:space="preserve">What it does. </w:t>
      </w:r>
      <w:r>
        <w:rPr>
          <w:rFonts w:ascii="Calibri" w:cs="Calibri" w:eastAsia="Calibri" w:hAnsi="Calibri"/>
          <w:b w:val="false"/>
          <w:bCs w:val="false"/>
          <w:i w:val="false"/>
          <w:iCs w:val="false"/>
          <w:color w:val="1B2432"/>
          <w:sz w:val="21"/>
          <w:szCs w:val="21"/>
        </w:rPr>
        <w:t xml:space="preserve">Classifies incoming clinic questions, answers the documented ones directly, and routes the rest to the right engineer with the intake context already assembled.</w:t>
      </w:r>
    </w:p>
    <w:p>
      <w:pPr>
        <w:spacing w:after="130" w:before="0"/>
      </w:pPr>
      <w:r>
        <w:rPr>
          <w:rFonts w:ascii="Calibri" w:cs="Calibri" w:eastAsia="Calibri" w:hAnsi="Calibri"/>
          <w:b/>
          <w:bCs/>
          <w:i w:val="false"/>
          <w:iCs w:val="false"/>
          <w:color w:val="1B2432"/>
          <w:sz w:val="21"/>
          <w:szCs w:val="21"/>
        </w:rPr>
        <w:t xml:space="preserve">Why it makes the Clinic affordable. </w:t>
      </w:r>
      <w:r>
        <w:rPr>
          <w:rFonts w:ascii="Calibri" w:cs="Calibri" w:eastAsia="Calibri" w:hAnsi="Calibri"/>
          <w:b w:val="false"/>
          <w:bCs w:val="false"/>
          <w:i w:val="false"/>
          <w:iCs w:val="false"/>
          <w:color w:val="1B2432"/>
          <w:sz w:val="21"/>
          <w:szCs w:val="21"/>
        </w:rPr>
        <w:t xml:space="preserve">A shared pool only works if it is not flooded with questions the pattern already answers. Triage is what keeps clinic capacity pointed at genuine design questions.</w:t>
      </w:r>
    </w:p>
    <w:p>
      <w:r>
        <w:br w:type="page"/>
      </w:r>
    </w:p>
    <w:p>
      <w:pPr>
        <w:pStyle w:val="Heading2"/>
        <w:spacing w:after="170" w:before="320"/>
      </w:pPr>
      <w:r>
        <w:rPr>
          <w:rFonts w:ascii="Cambria" w:cs="Cambria" w:eastAsia="Cambria" w:hAnsi="Cambria"/>
          <w:b/>
          <w:bCs/>
          <w:color w:val="15304F"/>
          <w:sz w:val="27"/>
          <w:szCs w:val="27"/>
        </w:rPr>
        <w:t xml:space="preserve">13.4 Automation applied across the three models</w:t>
      </w:r>
    </w:p>
    <w:p>
      <w:pPr>
        <w:spacing w:after="130" w:before="0"/>
      </w:pPr>
      <w:r>
        <w:rPr>
          <w:rFonts w:ascii="Calibri" w:cs="Calibri" w:eastAsia="Calibri" w:hAnsi="Calibri"/>
          <w:b w:val="false"/>
          <w:bCs w:val="false"/>
          <w:i w:val="false"/>
          <w:iCs w:val="false"/>
          <w:color w:val="1B2432"/>
          <w:sz w:val="21"/>
          <w:szCs w:val="21"/>
        </w:rPr>
        <w:t xml:space="preserve">The same capabilities serve all three tiers; what differs is how much of the output is acted on without a human and who the human is.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460"/>
        <w:gridCol w:w="2300"/>
        <w:gridCol w:w="2300"/>
        <w:gridCol w:w="2300"/>
      </w:tblGrid>
      <w:tr>
        <w:trPr>
          <w:tblHeader/>
        </w:trPr>
        <w:tc>
          <w:tcPr>
            <w:tcW w:type="dxa" w:w="24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Capability</w:t>
            </w:r>
          </w:p>
        </w:tc>
        <w:tc>
          <w:tcPr>
            <w:tcW w:type="dxa" w:w="23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Lean</w:t>
            </w:r>
          </w:p>
        </w:tc>
        <w:tc>
          <w:tcPr>
            <w:tcW w:type="dxa" w:w="23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Lean+</w:t>
            </w:r>
          </w:p>
        </w:tc>
        <w:tc>
          <w:tcPr>
            <w:tcW w:type="dxa" w:w="23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Dedicated</w:t>
            </w:r>
          </w:p>
        </w:tc>
      </w:tr>
      <w:tr>
        <w:tc>
          <w:tcPr>
            <w:tcW w:type="dxa" w:w="246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Intake Copilot</w:t>
            </w:r>
          </w:p>
        </w:tc>
        <w:tc>
          <w:tcPr>
            <w:tcW w:type="dxa" w:w="2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 uses it unaided</w:t>
            </w:r>
          </w:p>
        </w:tc>
        <w:tc>
          <w:tcPr>
            <w:tcW w:type="dxa" w:w="2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 uses it; guide reviews output</w:t>
            </w:r>
          </w:p>
        </w:tc>
        <w:tc>
          <w:tcPr>
            <w:tcW w:type="dxa" w:w="2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Pod uses it with the partner</w:t>
            </w:r>
          </w:p>
        </w:tc>
      </w:tr>
      <w:tr>
        <w:tc>
          <w:tcPr>
            <w:tcW w:type="dxa" w:w="246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Pattern Matcher</w:t>
            </w:r>
          </w:p>
        </w:tc>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Auto-selects on high confidence</w:t>
            </w:r>
          </w:p>
        </w:tc>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Proposes; lead confirms</w:t>
            </w:r>
          </w:p>
        </w:tc>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Informs design; often no match</w:t>
            </w:r>
          </w:p>
        </w:tc>
      </w:tr>
      <w:tr>
        <w:tc>
          <w:tcPr>
            <w:tcW w:type="dxa" w:w="246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Tiering Assistant</w:t>
            </w:r>
          </w:p>
        </w:tc>
        <w:tc>
          <w:tcPr>
            <w:tcW w:type="dxa" w:w="2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Auto-assigns unless overridden</w:t>
            </w:r>
          </w:p>
        </w:tc>
        <w:tc>
          <w:tcPr>
            <w:tcW w:type="dxa" w:w="2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Lead confirms</w:t>
            </w:r>
          </w:p>
        </w:tc>
        <w:tc>
          <w:tcPr>
            <w:tcW w:type="dxa" w:w="2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Lead confirms</w:t>
            </w:r>
          </w:p>
        </w:tc>
      </w:tr>
      <w:tr>
        <w:tc>
          <w:tcPr>
            <w:tcW w:type="dxa" w:w="246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Scope Derivation</w:t>
            </w:r>
          </w:p>
        </w:tc>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Drives the partner's task list</w:t>
            </w:r>
          </w:p>
        </w:tc>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Drives the checkpoint agenda</w:t>
            </w:r>
          </w:p>
        </w:tc>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Starting point for pod analysis</w:t>
            </w:r>
          </w:p>
        </w:tc>
      </w:tr>
      <w:tr>
        <w:tc>
          <w:tcPr>
            <w:tcW w:type="dxa" w:w="246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Artefact Generator</w:t>
            </w:r>
          </w:p>
        </w:tc>
        <w:tc>
          <w:tcPr>
            <w:tcW w:type="dxa" w:w="2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Generates; partner submits</w:t>
            </w:r>
          </w:p>
        </w:tc>
        <w:tc>
          <w:tcPr>
            <w:tcW w:type="dxa" w:w="2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Generates; guide reviews</w:t>
            </w:r>
          </w:p>
        </w:tc>
        <w:tc>
          <w:tcPr>
            <w:tcW w:type="dxa" w:w="2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Generates; pod augments</w:t>
            </w:r>
          </w:p>
        </w:tc>
      </w:tr>
      <w:tr>
        <w:tc>
          <w:tcPr>
            <w:tcW w:type="dxa" w:w="246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Gate Engine</w:t>
            </w:r>
          </w:p>
        </w:tc>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Sole arbiter of progression</w:t>
            </w:r>
          </w:p>
        </w:tc>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Sole arbiter of progression</w:t>
            </w:r>
          </w:p>
        </w:tc>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Sole arbiter of progression</w:t>
            </w:r>
          </w:p>
        </w:tc>
      </w:tr>
      <w:tr>
        <w:tc>
          <w:tcPr>
            <w:tcW w:type="dxa" w:w="246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Onboarding Assistant</w:t>
            </w:r>
          </w:p>
        </w:tc>
        <w:tc>
          <w:tcPr>
            <w:tcW w:type="dxa" w:w="2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Primary support channel</w:t>
            </w:r>
          </w:p>
        </w:tc>
        <w:tc>
          <w:tcPr>
            <w:tcW w:type="dxa" w:w="2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Supplements the guide</w:t>
            </w:r>
          </w:p>
        </w:tc>
        <w:tc>
          <w:tcPr>
            <w:tcW w:type="dxa" w:w="2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Supplements the pod</w:t>
            </w:r>
          </w:p>
        </w:tc>
      </w:tr>
      <w:tr>
        <w:tc>
          <w:tcPr>
            <w:tcW w:type="dxa" w:w="246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Drift Detector</w:t>
            </w:r>
          </w:p>
        </w:tc>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Escalates to Lean+</w:t>
            </w:r>
          </w:p>
        </w:tc>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Escalates to Dedicated</w:t>
            </w:r>
          </w:p>
        </w:tc>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Flags scope change</w:t>
            </w:r>
          </w:p>
        </w:tc>
      </w:tr>
      <w:tr>
        <w:tc>
          <w:tcPr>
            <w:tcW w:type="dxa" w:w="246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Precedent Retrieval</w:t>
            </w:r>
          </w:p>
        </w:tc>
        <w:tc>
          <w:tcPr>
            <w:tcW w:type="dxa" w:w="2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Self-serve</w:t>
            </w:r>
          </w:p>
        </w:tc>
        <w:tc>
          <w:tcPr>
            <w:tcW w:type="dxa" w:w="2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Self-serve and in checkpoints</w:t>
            </w:r>
          </w:p>
        </w:tc>
        <w:tc>
          <w:tcPr>
            <w:tcW w:type="dxa" w:w="2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 input</w:t>
            </w:r>
          </w:p>
        </w:tc>
      </w:tr>
      <w:tr>
        <w:tc>
          <w:tcPr>
            <w:tcW w:type="dxa" w:w="246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Clinic Triage</w:t>
            </w:r>
          </w:p>
        </w:tc>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Front door to all human help</w:t>
            </w:r>
          </w:p>
        </w:tc>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Front door between checkpoints</w:t>
            </w:r>
          </w:p>
        </w:tc>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Not used</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One row is deliberately identical across all three columns. The gate engine is the sole arbiter of progression in every tier, with no human promotion path anywhere. That uniformity is what allows the lighter tiers to be defended: a Lean intake is not progressing on a lower standard, it is progressing on exactly the same standard, evaluated by the same engine.</w:t>
      </w:r>
    </w:p>
    <w:p>
      <w:pPr>
        <w:pStyle w:val="Heading2"/>
        <w:spacing w:after="170" w:before="320"/>
      </w:pPr>
      <w:r>
        <w:rPr>
          <w:rFonts w:ascii="Cambria" w:cs="Cambria" w:eastAsia="Cambria" w:hAnsi="Cambria"/>
          <w:b/>
          <w:bCs/>
          <w:color w:val="15304F"/>
          <w:sz w:val="27"/>
          <w:szCs w:val="27"/>
        </w:rPr>
        <w:t xml:space="preserve">13.5 Guardrails specific to AI enablement</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700"/>
        <w:gridCol w:w="6660"/>
      </w:tblGrid>
      <w:tr>
        <w:trPr>
          <w:tblHeader/>
        </w:trPr>
        <w:tc>
          <w:tcPr>
            <w:tcW w:type="dxa" w:w="27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Guardrail</w:t>
            </w:r>
          </w:p>
        </w:tc>
        <w:tc>
          <w:tcPr>
            <w:tcW w:type="dxa" w:w="66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What it prevents</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No AI output is a gate decision</w:t>
            </w:r>
          </w:p>
        </w:tc>
        <w:tc>
          <w:tcPr>
            <w:tcW w:type="dxa" w:w="6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Prevents a model's inference becoming an irreversible progression. Gates remain deterministic and replayable.</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Every AI output is grounded and cited</w:t>
            </w:r>
          </w:p>
        </w:tc>
        <w:tc>
          <w:tcPr>
            <w:tcW w:type="dxa" w:w="6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Prevents invented procedure. If the assistant cannot point at a pattern, policy or record, it does not answer.</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Confidence thresholds, with refusal below them</w:t>
            </w:r>
          </w:p>
        </w:tc>
        <w:tc>
          <w:tcPr>
            <w:tcW w:type="dxa" w:w="6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Prevents a forced weak match. Below threshold the system returns nothing and routes to a human.</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Human acceptance before any write to a system of record</w:t>
            </w:r>
          </w:p>
        </w:tc>
        <w:tc>
          <w:tcPr>
            <w:tcW w:type="dxa" w:w="6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Prevents a generated draft becoming an unreviewed submission.</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No AI determination of classification, retention or security posture</w:t>
            </w:r>
          </w:p>
        </w:tc>
        <w:tc>
          <w:tcPr>
            <w:tcW w:type="dxa" w:w="6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These are governance, records and security authorities. Nothing in this architecture touches them.</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Proposal and acceptance both recorded</w:t>
            </w:r>
          </w:p>
        </w:tc>
        <w:tc>
          <w:tcPr>
            <w:tcW w:type="dxa" w:w="6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Creates the audit trail, and simultaneously produces the calibration data for improving the proposals.</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Partner-facing assistant has no write access</w:t>
            </w:r>
          </w:p>
        </w:tc>
        <w:tc>
          <w:tcPr>
            <w:tcW w:type="dxa" w:w="6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partner's assistant can explain and retrieve. It cannot provision, approve or promote on their behalf.</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Model changes are versioned against the pattern catalogue</w:t>
            </w:r>
          </w:p>
        </w:tc>
        <w:tc>
          <w:tcPr>
            <w:tcW w:type="dxa" w:w="6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Prevents a silent behaviour change altering what partners are told about a pattern.</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Spot-audit of AI-assisted intakes</w:t>
            </w:r>
          </w:p>
        </w:tc>
        <w:tc>
          <w:tcPr>
            <w:tcW w:type="dxa" w:w="6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Gives compliance functions a concrete assurance mechanism rather than a promise.</w:t>
            </w:r>
          </w:p>
        </w:tc>
      </w:tr>
    </w:tbl>
    <w:p>
      <w:r>
        <w:br w:type="page"/>
      </w:r>
    </w:p>
    <w:p>
      <w:pPr>
        <w:pStyle w:val="Heading1"/>
        <w:spacing w:after="220" w:before="400"/>
      </w:pPr>
      <w:r>
        <w:rPr>
          <w:rFonts w:ascii="Cambria" w:cs="Cambria" w:eastAsia="Cambria" w:hAnsi="Cambria"/>
          <w:b/>
          <w:bCs/>
          <w:color w:val="15304F"/>
          <w:sz w:val="34"/>
          <w:szCs w:val="34"/>
        </w:rPr>
        <w:t xml:space="preserve">Part 14 — Making Partner Engagement Effortless</w:t>
      </w:r>
    </w:p>
    <w:p>
      <w:pPr>
        <w:pStyle w:val="Heading2"/>
        <w:spacing w:after="170" w:before="320"/>
      </w:pPr>
      <w:r>
        <w:rPr>
          <w:rFonts w:ascii="Cambria" w:cs="Cambria" w:eastAsia="Cambria" w:hAnsi="Cambria"/>
          <w:b/>
          <w:bCs/>
          <w:color w:val="15304F"/>
          <w:sz w:val="27"/>
          <w:szCs w:val="27"/>
        </w:rPr>
        <w:t xml:space="preserve">14.1 Why onboarding feels hard today</w:t>
      </w:r>
    </w:p>
    <w:p>
      <w:pPr>
        <w:spacing w:after="130" w:before="0"/>
      </w:pPr>
      <w:r>
        <w:rPr>
          <w:rFonts w:ascii="Calibri" w:cs="Calibri" w:eastAsia="Calibri" w:hAnsi="Calibri"/>
          <w:b w:val="false"/>
          <w:bCs w:val="false"/>
          <w:i w:val="false"/>
          <w:iCs w:val="false"/>
          <w:color w:val="1B2432"/>
          <w:sz w:val="21"/>
          <w:szCs w:val="21"/>
        </w:rPr>
        <w:t xml:space="preserve">Partners rarely complain that onboarding involves too much work. They complain that it involves too much uncertainty. The distinction matters, because the two have completely different remedies.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500"/>
        <w:gridCol w:w="3300"/>
        <w:gridCol w:w="3560"/>
      </w:tblGrid>
      <w:tr>
        <w:trPr>
          <w:tblHeader/>
        </w:trPr>
        <w:tc>
          <w:tcPr>
            <w:tcW w:type="dxa" w:w="2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Friction</w:t>
            </w:r>
          </w:p>
        </w:tc>
        <w:tc>
          <w:tcPr>
            <w:tcW w:type="dxa" w:w="33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What the partner experiences</w:t>
            </w:r>
          </w:p>
        </w:tc>
        <w:tc>
          <w:tcPr>
            <w:tcW w:type="dxa" w:w="35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What removes it</w:t>
            </w:r>
          </w:p>
        </w:tc>
      </w:tr>
      <w:tr>
        <w:tc>
          <w:tcPr>
            <w:tcW w:type="dxa" w:w="2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You do not know what you do not know</w:t>
            </w:r>
          </w:p>
        </w:tc>
        <w:tc>
          <w:tcPr>
            <w:tcW w:type="dxa" w:w="3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Requirements surface one at a time over weeks, each one a surprise</w:t>
            </w:r>
          </w:p>
        </w:tc>
        <w:tc>
          <w:tcPr>
            <w:tcW w:type="dxa" w:w="3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Scope derivation at intake: the full obligation list on day one</w:t>
            </w:r>
          </w:p>
        </w:tc>
      </w:tr>
      <w:tr>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You do not know where you are</w:t>
            </w:r>
          </w:p>
        </w:tc>
        <w:tc>
          <w:tcPr>
            <w:tcW w:type="dxa" w:w="3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Status comes from asking a person who may be unavailable</w:t>
            </w:r>
          </w:p>
        </w:tc>
        <w:tc>
          <w:tcPr>
            <w:tcW w:type="dxa" w:w="3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Live state in the cockpit, updated at every gate event</w:t>
            </w:r>
          </w:p>
        </w:tc>
      </w:tr>
      <w:tr>
        <w:tc>
          <w:tcPr>
            <w:tcW w:type="dxa" w:w="2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You do not know who to ask</w:t>
            </w:r>
          </w:p>
        </w:tc>
        <w:tc>
          <w:tcPr>
            <w:tcW w:type="dxa" w:w="3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Questions route by relationship rather than by subject</w:t>
            </w:r>
          </w:p>
        </w:tc>
        <w:tc>
          <w:tcPr>
            <w:tcW w:type="dxa" w:w="3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Single front door with triage and routing</w:t>
            </w:r>
          </w:p>
        </w:tc>
      </w:tr>
      <w:tr>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You wait without knowing why</w:t>
            </w:r>
          </w:p>
        </w:tc>
        <w:tc>
          <w:tcPr>
            <w:tcW w:type="dxa" w:w="3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Something is blocked somewhere, owned by someone unnamed</w:t>
            </w:r>
          </w:p>
        </w:tc>
        <w:tc>
          <w:tcPr>
            <w:tcW w:type="dxa" w:w="3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Every blocked item shows its owner, its age and its expected resolution</w:t>
            </w:r>
          </w:p>
        </w:tc>
      </w:tr>
      <w:tr>
        <w:tc>
          <w:tcPr>
            <w:tcW w:type="dxa" w:w="2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You are asked for the same thing twice</w:t>
            </w:r>
          </w:p>
        </w:tc>
        <w:tc>
          <w:tcPr>
            <w:tcW w:type="dxa" w:w="3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Information given at intake is requested again at discovery</w:t>
            </w:r>
          </w:p>
        </w:tc>
        <w:tc>
          <w:tcPr>
            <w:tcW w:type="dxa" w:w="3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One enablement record; nothing is asked for twice</w:t>
            </w:r>
          </w:p>
        </w:tc>
      </w:tr>
      <w:tr>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Your format is wrong and you learn late</w:t>
            </w:r>
          </w:p>
        </w:tc>
        <w:tc>
          <w:tcPr>
            <w:tcW w:type="dxa" w:w="3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Weeks of work invalidated by a specification detail</w:t>
            </w:r>
          </w:p>
        </w:tc>
        <w:tc>
          <w:tcPr>
            <w:tcW w:type="dxa" w:w="3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Validation at the point of submission, not at the point of consumption</w:t>
            </w:r>
          </w:p>
        </w:tc>
      </w:tr>
      <w:tr>
        <w:tc>
          <w:tcPr>
            <w:tcW w:type="dxa" w:w="2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Decisions happen without you</w:t>
            </w:r>
          </w:p>
        </w:tc>
        <w:tc>
          <w:tcPr>
            <w:tcW w:type="dxa" w:w="3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determination is made and you learn of it indirectly</w:t>
            </w:r>
          </w:p>
        </w:tc>
        <w:tc>
          <w:tcPr>
            <w:tcW w:type="dxa" w:w="3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Determination outcomes are notified and visible against the intake</w:t>
            </w:r>
          </w:p>
        </w:tc>
      </w:tr>
    </w:tbl>
    <w:p>
      <w:pPr>
        <w:spacing w:after="140"/>
      </w:pPr>
      <w:r>
        <w:t xml:space="preserve"/>
      </w:r>
    </w:p>
    <w:tbl>
      <w:tblPr>
        <w:tblW w:type="dxa" w:w="9360"/>
        <w:tblBorders>
          <w:top w:val="single" w:color="0B6E6E" w:sz="6"/>
          <w:left w:val="single" w:color="0B6E6E" w:sz="6"/>
          <w:bottom w:val="single" w:color="0B6E6E" w:sz="6"/>
          <w:right w:val="single" w:color="0B6E6E" w:sz="6"/>
          <w:insideH w:val="none"/>
          <w:insideV w:val="none"/>
        </w:tblBorders>
      </w:tblPr>
      <w:tblGrid>
        <w:gridCol w:w="9360"/>
      </w:tblGrid>
      <w:tr>
        <w:tc>
          <w:tcPr>
            <w:tcW w:type="dxa" w:w="9360"/>
            <w:shd w:fill="E6F2F1" w:color="auto" w:val="clear"/>
            <w:tcMar>
              <w:top w:type="dxa" w:w="140"/>
              <w:left w:type="dxa" w:w="165"/>
              <w:bottom w:type="dxa" w:w="140"/>
              <w:right w:type="dxa" w:w="165"/>
            </w:tcMar>
          </w:tcPr>
          <w:p>
            <w:pPr>
              <w:spacing w:after="85"/>
            </w:pPr>
            <w:r>
              <w:rPr>
                <w:rFonts w:ascii="Calibri" w:cs="Calibri" w:eastAsia="Calibri" w:hAnsi="Calibri"/>
                <w:b/>
                <w:bCs/>
                <w:color w:val="0B6E6E"/>
                <w:sz w:val="20"/>
                <w:szCs w:val="20"/>
              </w:rPr>
              <w:t xml:space="preserve">THE DESIGN GOAL, STATED PRECISELY</w:t>
            </w:r>
          </w:p>
          <w:p>
            <w:pPr>
              <w:spacing w:after="65"/>
            </w:pPr>
            <w:r>
              <w:rPr>
                <w:rFonts w:ascii="Calibri" w:cs="Calibri" w:eastAsia="Calibri" w:hAnsi="Calibri"/>
                <w:color w:val="1B2432"/>
                <w:sz w:val="20"/>
                <w:szCs w:val="20"/>
              </w:rPr>
              <w:t xml:space="preserve">Reduce what the partner must know, not only what they must do.</w:t>
            </w:r>
          </w:p>
          <w:p>
            <w:pPr>
              <w:spacing w:after="65"/>
            </w:pPr>
            <w:r>
              <w:rPr>
                <w:rFonts w:ascii="Calibri" w:cs="Calibri" w:eastAsia="Calibri" w:hAnsi="Calibri"/>
                <w:color w:val="1B2432"/>
                <w:sz w:val="20"/>
                <w:szCs w:val="20"/>
              </w:rPr>
              <w:t xml:space="preserve">A partner who knows exactly what is required, where they stand, what is blocked and who owns it will absorb a significant amount of work without friction. A partner doing less work in a fog will still experience onboarding as hard.</w:t>
            </w:r>
          </w:p>
          <w:p>
            <w:pPr>
              <w:spacing w:after="65"/>
            </w:pPr>
            <w:r>
              <w:rPr>
                <w:rFonts w:ascii="Calibri" w:cs="Calibri" w:eastAsia="Calibri" w:hAnsi="Calibri"/>
                <w:color w:val="1B2432"/>
                <w:sz w:val="20"/>
                <w:szCs w:val="20"/>
              </w:rPr>
              <w:t xml:space="preserve">This is why the cockpit and scope derivation rank above provisioning automation in build priority, even though provisioning looks like the bigger saving.</w:t>
            </w:r>
          </w:p>
        </w:tc>
      </w:tr>
    </w:tbl>
    <w:p>
      <w:pPr>
        <w:pStyle w:val="Heading2"/>
        <w:spacing w:after="170" w:before="320"/>
      </w:pPr>
      <w:r>
        <w:rPr>
          <w:rFonts w:ascii="Cambria" w:cs="Cambria" w:eastAsia="Cambria" w:hAnsi="Cambria"/>
          <w:b/>
          <w:bCs/>
          <w:color w:val="15304F"/>
          <w:sz w:val="27"/>
          <w:szCs w:val="27"/>
        </w:rPr>
        <w:t xml:space="preserve">14.2 What the journey looks like in each tier</w:t>
      </w:r>
    </w:p>
    <w:p>
      <w:pPr>
        <w:pStyle w:val="Heading3"/>
        <w:spacing w:after="130" w:before="250"/>
      </w:pPr>
      <w:r>
        <w:rPr>
          <w:rFonts w:ascii="Calibri" w:cs="Calibri" w:eastAsia="Calibri" w:hAnsi="Calibri"/>
          <w:b/>
          <w:bCs/>
          <w:color w:val="1B2432"/>
          <w:sz w:val="23"/>
          <w:szCs w:val="23"/>
        </w:rPr>
        <w:t xml:space="preserve">Lean — a partner extending an existing integration</w:t>
      </w:r>
    </w:p>
    <w:p>
      <w:pPr>
        <w:pStyle w:val="ListParagraph"/>
        <w:numPr>
          <w:ilvl w:val="0"/>
          <w:numId w:val="8"/>
        </w:numPr>
        <w:spacing w:after="75"/>
      </w:pPr>
      <w:r>
        <w:rPr>
          <w:rFonts w:ascii="Calibri" w:cs="Calibri" w:eastAsia="Calibri" w:hAnsi="Calibri"/>
          <w:color w:val="1B2432"/>
          <w:sz w:val="21"/>
          <w:szCs w:val="21"/>
        </w:rPr>
        <w:t xml:space="preserve">Partner opens the cockpit and describes what they want in their own words. The copilot asks eight to ten questions and produces a complete intake package.</w:t>
      </w:r>
    </w:p>
    <w:p>
      <w:pPr>
        <w:pStyle w:val="ListParagraph"/>
        <w:numPr>
          <w:ilvl w:val="0"/>
          <w:numId w:val="8"/>
        </w:numPr>
        <w:spacing w:after="75"/>
      </w:pPr>
      <w:r>
        <w:rPr>
          <w:rFonts w:ascii="Calibri" w:cs="Calibri" w:eastAsia="Calibri" w:hAnsi="Calibri"/>
          <w:color w:val="1B2432"/>
          <w:sz w:val="21"/>
          <w:szCs w:val="21"/>
        </w:rPr>
        <w:t xml:space="preserve">Pattern matched at high confidence; tier assigned as Lean automatically. The partner is told their tier, what it means, and sees their full obligation list immediately.</w:t>
      </w:r>
    </w:p>
    <w:p>
      <w:pPr>
        <w:pStyle w:val="ListParagraph"/>
        <w:numPr>
          <w:ilvl w:val="0"/>
          <w:numId w:val="8"/>
        </w:numPr>
        <w:spacing w:after="75"/>
      </w:pPr>
      <w:r>
        <w:rPr>
          <w:rFonts w:ascii="Calibri" w:cs="Calibri" w:eastAsia="Calibri" w:hAnsi="Calibri"/>
          <w:color w:val="1B2432"/>
          <w:sz w:val="21"/>
          <w:szCs w:val="21"/>
        </w:rPr>
        <w:t xml:space="preserve">Scope derivation produces the task list, with lead-time items flagged to start now.</w:t>
      </w:r>
    </w:p>
    <w:p>
      <w:pPr>
        <w:pStyle w:val="ListParagraph"/>
        <w:numPr>
          <w:ilvl w:val="0"/>
          <w:numId w:val="8"/>
        </w:numPr>
        <w:spacing w:after="75"/>
      </w:pPr>
      <w:r>
        <w:rPr>
          <w:rFonts w:ascii="Calibri" w:cs="Calibri" w:eastAsia="Calibri" w:hAnsi="Calibri"/>
          <w:color w:val="1B2432"/>
          <w:sz w:val="21"/>
          <w:szCs w:val="21"/>
        </w:rPr>
        <w:t xml:space="preserve">Partner self-provisions within policy bounds. Each action validates immediately.</w:t>
      </w:r>
    </w:p>
    <w:p>
      <w:pPr>
        <w:pStyle w:val="ListParagraph"/>
        <w:numPr>
          <w:ilvl w:val="0"/>
          <w:numId w:val="8"/>
        </w:numPr>
        <w:spacing w:after="75"/>
      </w:pPr>
      <w:r>
        <w:rPr>
          <w:rFonts w:ascii="Calibri" w:cs="Calibri" w:eastAsia="Calibri" w:hAnsi="Calibri"/>
          <w:color w:val="1B2432"/>
          <w:sz w:val="21"/>
          <w:szCs w:val="21"/>
        </w:rPr>
        <w:t xml:space="preserve">Generated API collection issued; partner builds and tests against it.</w:t>
      </w:r>
    </w:p>
    <w:p>
      <w:pPr>
        <w:pStyle w:val="ListParagraph"/>
        <w:numPr>
          <w:ilvl w:val="0"/>
          <w:numId w:val="8"/>
        </w:numPr>
        <w:spacing w:after="75"/>
      </w:pPr>
      <w:r>
        <w:rPr>
          <w:rFonts w:ascii="Calibri" w:cs="Calibri" w:eastAsia="Calibri" w:hAnsi="Calibri"/>
          <w:color w:val="1B2432"/>
          <w:sz w:val="21"/>
          <w:szCs w:val="21"/>
        </w:rPr>
        <w:t xml:space="preserve">Gates evaluate continuously. The cockpit shows what is cleared and what remains.</w:t>
      </w:r>
    </w:p>
    <w:p>
      <w:pPr>
        <w:pStyle w:val="ListParagraph"/>
        <w:numPr>
          <w:ilvl w:val="0"/>
          <w:numId w:val="8"/>
        </w:numPr>
        <w:spacing w:after="75"/>
      </w:pPr>
      <w:r>
        <w:rPr>
          <w:rFonts w:ascii="Calibri" w:cs="Calibri" w:eastAsia="Calibri" w:hAnsi="Calibri"/>
          <w:color w:val="1B2432"/>
          <w:sz w:val="21"/>
          <w:szCs w:val="21"/>
        </w:rPr>
        <w:t xml:space="preserve">Promotion on gate satisfaction. Transition documentation generated. Live.</w:t>
      </w:r>
    </w:p>
    <w:p>
      <w:pPr>
        <w:spacing w:after="130" w:before="0"/>
      </w:pPr>
      <w:r>
        <w:rPr>
          <w:rFonts w:ascii="Calibri" w:cs="Calibri" w:eastAsia="Calibri" w:hAnsi="Calibri"/>
          <w:b/>
          <w:bCs/>
          <w:i w:val="false"/>
          <w:iCs w:val="false"/>
          <w:color w:val="1B2432"/>
          <w:sz w:val="21"/>
          <w:szCs w:val="21"/>
        </w:rPr>
        <w:t xml:space="preserve">Human contact: </w:t>
      </w:r>
      <w:r>
        <w:rPr>
          <w:rFonts w:ascii="Calibri" w:cs="Calibri" w:eastAsia="Calibri" w:hAnsi="Calibri"/>
          <w:b w:val="false"/>
          <w:bCs w:val="false"/>
          <w:i w:val="false"/>
          <w:iCs w:val="false"/>
          <w:color w:val="1B2432"/>
          <w:sz w:val="21"/>
          <w:szCs w:val="21"/>
        </w:rPr>
        <w:t xml:space="preserve">none required. Clinic available if wanted. Elapsed time is bounded by the partner's own throughput.</w:t>
      </w:r>
    </w:p>
    <w:p>
      <w:pPr>
        <w:pStyle w:val="Heading3"/>
        <w:spacing w:after="130" w:before="250"/>
      </w:pPr>
      <w:r>
        <w:rPr>
          <w:rFonts w:ascii="Calibri" w:cs="Calibri" w:eastAsia="Calibri" w:hAnsi="Calibri"/>
          <w:b/>
          <w:bCs/>
          <w:color w:val="1B2432"/>
          <w:sz w:val="23"/>
          <w:szCs w:val="23"/>
        </w:rPr>
        <w:t xml:space="preserve">Lean+ — a partner adding a new flow on a known pattern</w:t>
      </w:r>
    </w:p>
    <w:p>
      <w:pPr>
        <w:pStyle w:val="ListParagraph"/>
        <w:numPr>
          <w:ilvl w:val="0"/>
          <w:numId w:val="9"/>
        </w:numPr>
        <w:spacing w:after="75"/>
      </w:pPr>
      <w:r>
        <w:rPr>
          <w:rFonts w:ascii="Calibri" w:cs="Calibri" w:eastAsia="Calibri" w:hAnsi="Calibri"/>
          <w:color w:val="1B2432"/>
          <w:sz w:val="21"/>
          <w:szCs w:val="21"/>
        </w:rPr>
        <w:t xml:space="preserve">Same intake experience. Pattern matched with a named delta; tier assigned as Lean+ and a guide named.</w:t>
      </w:r>
    </w:p>
    <w:p>
      <w:pPr>
        <w:pStyle w:val="ListParagraph"/>
        <w:numPr>
          <w:ilvl w:val="0"/>
          <w:numId w:val="9"/>
        </w:numPr>
        <w:spacing w:after="75"/>
      </w:pPr>
      <w:r>
        <w:rPr>
          <w:rFonts w:ascii="Calibri" w:cs="Calibri" w:eastAsia="Calibri" w:hAnsi="Calibri"/>
          <w:color w:val="1B2432"/>
          <w:sz w:val="21"/>
          <w:szCs w:val="21"/>
        </w:rPr>
        <w:t xml:space="preserve">Checkpoint 1 booked automatically at the design point, with the agenda derived from the delta.</w:t>
      </w:r>
    </w:p>
    <w:p>
      <w:pPr>
        <w:pStyle w:val="ListParagraph"/>
        <w:numPr>
          <w:ilvl w:val="0"/>
          <w:numId w:val="9"/>
        </w:numPr>
        <w:spacing w:after="75"/>
      </w:pPr>
      <w:r>
        <w:rPr>
          <w:rFonts w:ascii="Calibri" w:cs="Calibri" w:eastAsia="Calibri" w:hAnsi="Calibri"/>
          <w:color w:val="1B2432"/>
          <w:sz w:val="21"/>
          <w:szCs w:val="21"/>
        </w:rPr>
        <w:t xml:space="preserve">Partner drafts the design artefacts; the generator provides the starting drafts.</w:t>
      </w:r>
    </w:p>
    <w:p>
      <w:pPr>
        <w:pStyle w:val="ListParagraph"/>
        <w:numPr>
          <w:ilvl w:val="0"/>
          <w:numId w:val="9"/>
        </w:numPr>
        <w:spacing w:after="75"/>
      </w:pPr>
      <w:r>
        <w:rPr>
          <w:rFonts w:ascii="Calibri" w:cs="Calibri" w:eastAsia="Calibri" w:hAnsi="Calibri"/>
          <w:color w:val="1B2432"/>
          <w:sz w:val="21"/>
          <w:szCs w:val="21"/>
        </w:rPr>
        <w:t xml:space="preserve">Checkpoint 1: guide reviews the delta specifically, not the whole design. Thirty focused minutes rather than a two-hour walkthrough.</w:t>
      </w:r>
    </w:p>
    <w:p>
      <w:pPr>
        <w:pStyle w:val="ListParagraph"/>
        <w:numPr>
          <w:ilvl w:val="0"/>
          <w:numId w:val="9"/>
        </w:numPr>
        <w:spacing w:after="75"/>
      </w:pPr>
      <w:r>
        <w:rPr>
          <w:rFonts w:ascii="Calibri" w:cs="Calibri" w:eastAsia="Calibri" w:hAnsi="Calibri"/>
          <w:color w:val="1B2432"/>
          <w:sz w:val="21"/>
          <w:szCs w:val="21"/>
        </w:rPr>
        <w:t xml:space="preserve">Partner builds. Weekly working session available, optional. Assistant answers documented questions between sessions.</w:t>
      </w:r>
    </w:p>
    <w:p>
      <w:pPr>
        <w:pStyle w:val="ListParagraph"/>
        <w:numPr>
          <w:ilvl w:val="0"/>
          <w:numId w:val="9"/>
        </w:numPr>
        <w:spacing w:after="75"/>
      </w:pPr>
      <w:r>
        <w:rPr>
          <w:rFonts w:ascii="Calibri" w:cs="Calibri" w:eastAsia="Calibri" w:hAnsi="Calibri"/>
          <w:color w:val="1B2432"/>
          <w:sz w:val="21"/>
          <w:szCs w:val="21"/>
        </w:rPr>
        <w:t xml:space="preserve">Checkpoint 2 at readiness: gate state reviewed, residual risks named.</w:t>
      </w:r>
    </w:p>
    <w:p>
      <w:pPr>
        <w:pStyle w:val="ListParagraph"/>
        <w:numPr>
          <w:ilvl w:val="0"/>
          <w:numId w:val="9"/>
        </w:numPr>
        <w:spacing w:after="75"/>
      </w:pPr>
      <w:r>
        <w:rPr>
          <w:rFonts w:ascii="Calibri" w:cs="Calibri" w:eastAsia="Calibri" w:hAnsi="Calibri"/>
          <w:color w:val="1B2432"/>
          <w:sz w:val="21"/>
          <w:szCs w:val="21"/>
        </w:rPr>
        <w:t xml:space="preserve">Promotion, generation, live.</w:t>
      </w:r>
    </w:p>
    <w:p>
      <w:pPr>
        <w:spacing w:after="130" w:before="0"/>
      </w:pPr>
      <w:r>
        <w:rPr>
          <w:rFonts w:ascii="Calibri" w:cs="Calibri" w:eastAsia="Calibri" w:hAnsi="Calibri"/>
          <w:b/>
          <w:bCs/>
          <w:i w:val="false"/>
          <w:iCs w:val="false"/>
          <w:color w:val="1B2432"/>
          <w:sz w:val="21"/>
          <w:szCs w:val="21"/>
        </w:rPr>
        <w:t xml:space="preserve">Human contact: </w:t>
      </w:r>
      <w:r>
        <w:rPr>
          <w:rFonts w:ascii="Calibri" w:cs="Calibri" w:eastAsia="Calibri" w:hAnsi="Calibri"/>
          <w:b w:val="false"/>
          <w:bCs w:val="false"/>
          <w:i w:val="false"/>
          <w:iCs w:val="false"/>
          <w:color w:val="1B2432"/>
          <w:sz w:val="21"/>
          <w:szCs w:val="21"/>
        </w:rPr>
        <w:t xml:space="preserve">two scheduled reviews, both with a known agenda, plus optional weekly access.</w:t>
      </w:r>
    </w:p>
    <w:p>
      <w:pPr>
        <w:pStyle w:val="Heading3"/>
        <w:spacing w:after="130" w:before="250"/>
      </w:pPr>
      <w:r>
        <w:rPr>
          <w:rFonts w:ascii="Calibri" w:cs="Calibri" w:eastAsia="Calibri" w:hAnsi="Calibri"/>
          <w:b/>
          <w:bCs/>
          <w:color w:val="1B2432"/>
          <w:sz w:val="23"/>
          <w:szCs w:val="23"/>
        </w:rPr>
        <w:t xml:space="preserve">Dedicated — a partner introducing regulated content</w:t>
      </w:r>
    </w:p>
    <w:p>
      <w:pPr>
        <w:pStyle w:val="ListParagraph"/>
        <w:numPr>
          <w:ilvl w:val="0"/>
          <w:numId w:val="10"/>
        </w:numPr>
        <w:spacing w:after="75"/>
      </w:pPr>
      <w:r>
        <w:rPr>
          <w:rFonts w:ascii="Calibri" w:cs="Calibri" w:eastAsia="Calibri" w:hAnsi="Calibri"/>
          <w:color w:val="1B2432"/>
          <w:sz w:val="21"/>
          <w:szCs w:val="21"/>
        </w:rPr>
        <w:t xml:space="preserve">Intake package produced with pod support; pattern match returns no high-confidence match, which is itself the signal.</w:t>
      </w:r>
    </w:p>
    <w:p>
      <w:pPr>
        <w:pStyle w:val="ListParagraph"/>
        <w:numPr>
          <w:ilvl w:val="0"/>
          <w:numId w:val="10"/>
        </w:numPr>
        <w:spacing w:after="75"/>
      </w:pPr>
      <w:r>
        <w:rPr>
          <w:rFonts w:ascii="Calibri" w:cs="Calibri" w:eastAsia="Calibri" w:hAnsi="Calibri"/>
          <w:color w:val="1B2432"/>
          <w:sz w:val="21"/>
          <w:szCs w:val="21"/>
        </w:rPr>
        <w:t xml:space="preserve">Tier assigned as Dedicated under the regulated-retention override. Queue position disclosed.</w:t>
      </w:r>
    </w:p>
    <w:p>
      <w:pPr>
        <w:pStyle w:val="ListParagraph"/>
        <w:numPr>
          <w:ilvl w:val="0"/>
          <w:numId w:val="10"/>
        </w:numPr>
        <w:spacing w:after="75"/>
      </w:pPr>
      <w:r>
        <w:rPr>
          <w:rFonts w:ascii="Calibri" w:cs="Calibri" w:eastAsia="Calibri" w:hAnsi="Calibri"/>
          <w:color w:val="1B2432"/>
          <w:sz w:val="21"/>
          <w:szCs w:val="21"/>
        </w:rPr>
        <w:t xml:space="preserve">Pod engages. Scope derivation gives the pod its starting analysis rather than a blank page.</w:t>
      </w:r>
    </w:p>
    <w:p>
      <w:pPr>
        <w:pStyle w:val="ListParagraph"/>
        <w:numPr>
          <w:ilvl w:val="0"/>
          <w:numId w:val="10"/>
        </w:numPr>
        <w:spacing w:after="75"/>
      </w:pPr>
      <w:r>
        <w:rPr>
          <w:rFonts w:ascii="Calibri" w:cs="Calibri" w:eastAsia="Calibri" w:hAnsi="Calibri"/>
          <w:color w:val="1B2432"/>
          <w:sz w:val="21"/>
          <w:szCs w:val="21"/>
        </w:rPr>
        <w:t xml:space="preserve">Governance and records engaged early; determination requests assembled and tracked by the platform, decided by the authorities.</w:t>
      </w:r>
    </w:p>
    <w:p>
      <w:pPr>
        <w:pStyle w:val="ListParagraph"/>
        <w:numPr>
          <w:ilvl w:val="0"/>
          <w:numId w:val="10"/>
        </w:numPr>
        <w:spacing w:after="75"/>
      </w:pPr>
      <w:r>
        <w:rPr>
          <w:rFonts w:ascii="Calibri" w:cs="Calibri" w:eastAsia="Calibri" w:hAnsi="Calibri"/>
          <w:color w:val="1B2432"/>
          <w:sz w:val="21"/>
          <w:szCs w:val="21"/>
        </w:rPr>
        <w:t xml:space="preserve">Pod authors design, mappings and configuration. Generation produces the artefacts; the pod augments them.</w:t>
      </w:r>
    </w:p>
    <w:p>
      <w:pPr>
        <w:pStyle w:val="ListParagraph"/>
        <w:numPr>
          <w:ilvl w:val="0"/>
          <w:numId w:val="10"/>
        </w:numPr>
        <w:spacing w:after="75"/>
      </w:pPr>
      <w:r>
        <w:rPr>
          <w:rFonts w:ascii="Calibri" w:cs="Calibri" w:eastAsia="Calibri" w:hAnsi="Calibri"/>
          <w:color w:val="1B2432"/>
          <w:sz w:val="21"/>
          <w:szCs w:val="21"/>
        </w:rPr>
        <w:t xml:space="preserve">Validation, promotion, release with the pod present.</w:t>
      </w:r>
    </w:p>
    <w:p>
      <w:pPr>
        <w:pStyle w:val="ListParagraph"/>
        <w:numPr>
          <w:ilvl w:val="0"/>
          <w:numId w:val="10"/>
        </w:numPr>
        <w:spacing w:after="75"/>
      </w:pPr>
      <w:r>
        <w:rPr>
          <w:rFonts w:ascii="Calibri" w:cs="Calibri" w:eastAsia="Calibri" w:hAnsi="Calibri"/>
          <w:color w:val="1B2432"/>
          <w:sz w:val="21"/>
          <w:szCs w:val="21"/>
        </w:rPr>
        <w:t xml:space="preserve">At closure, the pod produces the pattern candidate, so the next partner doing this is assessed at Lean+.</w:t>
      </w:r>
    </w:p>
    <w:p>
      <w:pPr>
        <w:spacing w:after="130" w:before="0"/>
      </w:pPr>
      <w:r>
        <w:rPr>
          <w:rFonts w:ascii="Calibri" w:cs="Calibri" w:eastAsia="Calibri" w:hAnsi="Calibri"/>
          <w:b/>
          <w:bCs/>
          <w:i w:val="false"/>
          <w:iCs w:val="false"/>
          <w:color w:val="1B2432"/>
          <w:sz w:val="21"/>
          <w:szCs w:val="21"/>
        </w:rPr>
        <w:t xml:space="preserve">Human contact: </w:t>
      </w:r>
      <w:r>
        <w:rPr>
          <w:rFonts w:ascii="Calibri" w:cs="Calibri" w:eastAsia="Calibri" w:hAnsi="Calibri"/>
          <w:b w:val="false"/>
          <w:bCs w:val="false"/>
          <w:i w:val="false"/>
          <w:iCs w:val="false"/>
          <w:color w:val="1B2432"/>
          <w:sz w:val="21"/>
          <w:szCs w:val="21"/>
        </w:rPr>
        <w:t xml:space="preserve">continuous, and appropriately so — this is work that genuinely needs people.</w:t>
      </w:r>
    </w:p>
    <w:p>
      <w:pPr>
        <w:pStyle w:val="Heading2"/>
        <w:spacing w:after="170" w:before="320"/>
      </w:pPr>
      <w:r>
        <w:rPr>
          <w:rFonts w:ascii="Cambria" w:cs="Cambria" w:eastAsia="Cambria" w:hAnsi="Cambria"/>
          <w:b/>
          <w:bCs/>
          <w:color w:val="15304F"/>
          <w:sz w:val="27"/>
          <w:szCs w:val="27"/>
        </w:rPr>
        <w:t xml:space="preserve">14.3 Reducing effort on ECM's side at the same time</w:t>
      </w:r>
    </w:p>
    <w:p>
      <w:pPr>
        <w:spacing w:after="130" w:before="0"/>
      </w:pPr>
      <w:r>
        <w:rPr>
          <w:rFonts w:ascii="Calibri" w:cs="Calibri" w:eastAsia="Calibri" w:hAnsi="Calibri"/>
          <w:b w:val="false"/>
          <w:bCs w:val="false"/>
          <w:i w:val="false"/>
          <w:iCs w:val="false"/>
          <w:color w:val="1B2432"/>
          <w:sz w:val="21"/>
          <w:szCs w:val="21"/>
        </w:rPr>
        <w:t xml:space="preserve">A partner experience that is easy because ECM absorbs more effort is not a solution. The following reduce both simultaneously, which is the only version worth building.</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800"/>
        <w:gridCol w:w="3200"/>
        <w:gridCol w:w="3360"/>
      </w:tblGrid>
      <w:tr>
        <w:trPr>
          <w:tblHeader/>
        </w:trPr>
        <w:tc>
          <w:tcPr>
            <w:tcW w:type="dxa" w:w="28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Change</w:t>
            </w:r>
          </w:p>
        </w:tc>
        <w:tc>
          <w:tcPr>
            <w:tcW w:type="dxa" w:w="32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Partner effort</w:t>
            </w:r>
          </w:p>
        </w:tc>
        <w:tc>
          <w:tcPr>
            <w:tcW w:type="dxa" w:w="33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ECM effort</w:t>
            </w:r>
          </w:p>
        </w:tc>
      </w:tr>
      <w:tr>
        <w:tc>
          <w:tcPr>
            <w:tcW w:type="dxa" w:w="28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Conversational intake replacing the workbook</w:t>
            </w:r>
          </w:p>
        </w:tc>
        <w:tc>
          <w:tcPr>
            <w:tcW w:type="dxa" w:w="3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Falls — guided rather than interpreted</w:t>
            </w:r>
          </w:p>
        </w:tc>
        <w:tc>
          <w:tcPr>
            <w:tcW w:type="dxa" w:w="3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Falls — clarification cycles largely disappear</w:t>
            </w:r>
          </w:p>
        </w:tc>
      </w:tr>
      <w:tr>
        <w:tc>
          <w:tcPr>
            <w:tcW w:type="dxa" w:w="28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Scope derivation at intake</w:t>
            </w:r>
          </w:p>
        </w:tc>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Falls — no drip-feed of requirements</w:t>
            </w:r>
          </w:p>
        </w:tc>
        <w:tc>
          <w:tcPr>
            <w:tcW w:type="dxa" w:w="3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Falls — no repeated explanation of obligations</w:t>
            </w:r>
          </w:p>
        </w:tc>
      </w:tr>
      <w:tr>
        <w:tc>
          <w:tcPr>
            <w:tcW w:type="dxa" w:w="28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Validation at submission</w:t>
            </w:r>
          </w:p>
        </w:tc>
        <w:tc>
          <w:tcPr>
            <w:tcW w:type="dxa" w:w="3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Falls — errors caught in minutes</w:t>
            </w:r>
          </w:p>
        </w:tc>
        <w:tc>
          <w:tcPr>
            <w:tcW w:type="dxa" w:w="3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Falls — no rework triggered weeks later</w:t>
            </w:r>
          </w:p>
        </w:tc>
      </w:tr>
      <w:tr>
        <w:tc>
          <w:tcPr>
            <w:tcW w:type="dxa" w:w="28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Artefact generation</w:t>
            </w:r>
          </w:p>
        </w:tc>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Falls — drafts instead of blank pages</w:t>
            </w:r>
          </w:p>
        </w:tc>
        <w:tc>
          <w:tcPr>
            <w:tcW w:type="dxa" w:w="3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Falls — review instead of authorship</w:t>
            </w:r>
          </w:p>
        </w:tc>
      </w:tr>
      <w:tr>
        <w:tc>
          <w:tcPr>
            <w:tcW w:type="dxa" w:w="28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Routing rules codified</w:t>
            </w:r>
          </w:p>
        </w:tc>
        <w:tc>
          <w:tcPr>
            <w:tcW w:type="dxa" w:w="3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Neutral</w:t>
            </w:r>
          </w:p>
        </w:tc>
        <w:tc>
          <w:tcPr>
            <w:tcW w:type="dxa" w:w="3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Falls sharply — removes a whole class of silent misrouting</w:t>
            </w:r>
          </w:p>
        </w:tc>
      </w:tr>
      <w:tr>
        <w:tc>
          <w:tcPr>
            <w:tcW w:type="dxa" w:w="28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Cockpit state visibility</w:t>
            </w:r>
          </w:p>
        </w:tc>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Falls — no status chasing</w:t>
            </w:r>
          </w:p>
        </w:tc>
        <w:tc>
          <w:tcPr>
            <w:tcW w:type="dxa" w:w="3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Falls — no status answering</w:t>
            </w:r>
          </w:p>
        </w:tc>
      </w:tr>
      <w:tr>
        <w:tc>
          <w:tcPr>
            <w:tcW w:type="dxa" w:w="28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Precedent retrieval</w:t>
            </w:r>
          </w:p>
        </w:tc>
        <w:tc>
          <w:tcPr>
            <w:tcW w:type="dxa" w:w="3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Falls — prior answers available</w:t>
            </w:r>
          </w:p>
        </w:tc>
        <w:tc>
          <w:tcPr>
            <w:tcW w:type="dxa" w:w="3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Falls — questions answered once, not repeatedly</w:t>
            </w:r>
          </w:p>
        </w:tc>
      </w:tr>
      <w:tr>
        <w:tc>
          <w:tcPr>
            <w:tcW w:type="dxa" w:w="28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Clinic triage</w:t>
            </w:r>
          </w:p>
        </w:tc>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Neutral</w:t>
            </w:r>
          </w:p>
        </w:tc>
        <w:tc>
          <w:tcPr>
            <w:tcW w:type="dxa" w:w="3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Falls — pool sees only genuine design questions</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Seven of the eight reduce effort on both sides. That symmetry is what distinguishes a genuine process improvement from a cost transfer, and it is worth pointing out explicitly when partners ask what they are being asked to absorb.</w:t>
      </w:r>
    </w:p>
    <w:p>
      <w:r>
        <w:br w:type="page"/>
      </w:r>
    </w:p>
    <w:p>
      <w:pPr>
        <w:pStyle w:val="Heading1"/>
        <w:spacing w:after="220" w:before="400"/>
      </w:pPr>
      <w:r>
        <w:rPr>
          <w:rFonts w:ascii="Cambria" w:cs="Cambria" w:eastAsia="Cambria" w:hAnsi="Cambria"/>
          <w:b/>
          <w:bCs/>
          <w:color w:val="15304F"/>
          <w:sz w:val="34"/>
          <w:szCs w:val="34"/>
        </w:rPr>
        <w:t xml:space="preserve">Part 15 — Phase 2: The Four-Sprint Build Plan</w:t>
      </w:r>
    </w:p>
    <w:p>
      <w:pPr>
        <w:pStyle w:val="Heading2"/>
        <w:spacing w:after="170" w:before="320"/>
      </w:pPr>
      <w:r>
        <w:rPr>
          <w:rFonts w:ascii="Cambria" w:cs="Cambria" w:eastAsia="Cambria" w:hAnsi="Cambria"/>
          <w:b/>
          <w:bCs/>
          <w:color w:val="15304F"/>
          <w:sz w:val="27"/>
          <w:szCs w:val="27"/>
        </w:rPr>
        <w:t xml:space="preserve">15.1 What four sprints can realistically achieve</w:t>
      </w:r>
    </w:p>
    <w:p>
      <w:pPr>
        <w:spacing w:after="130" w:before="0"/>
      </w:pPr>
      <w:r>
        <w:rPr>
          <w:rFonts w:ascii="Calibri" w:cs="Calibri" w:eastAsia="Calibri" w:hAnsi="Calibri"/>
          <w:b w:val="false"/>
          <w:bCs w:val="false"/>
          <w:i w:val="false"/>
          <w:iCs w:val="false"/>
          <w:color w:val="1B2432"/>
          <w:sz w:val="21"/>
          <w:szCs w:val="21"/>
        </w:rPr>
        <w:t xml:space="preserve">Eight weeks will not deliver the platform described in Part 3. It can deliver something more useful at this stage: a working framework, real tiering data, two tiers genuinely operating, one pattern fully self-service, and three partners plus the enabling squads actively using the new model.</w:t>
      </w:r>
    </w:p>
    <w:p>
      <w:pPr>
        <w:spacing w:after="130" w:before="0"/>
      </w:pPr>
      <w:r>
        <w:rPr>
          <w:rFonts w:ascii="Calibri" w:cs="Calibri" w:eastAsia="Calibri" w:hAnsi="Calibri"/>
          <w:b w:val="false"/>
          <w:bCs w:val="false"/>
          <w:i w:val="false"/>
          <w:iCs w:val="false"/>
          <w:color w:val="1B2432"/>
          <w:sz w:val="21"/>
          <w:szCs w:val="21"/>
        </w:rPr>
        <w:t xml:space="preserve">This is achievable because of the principle in 13.1 — decisions before systems, generation before integration. Almost nothing in the four sprints requires deep integration into downstream tooling.</w:t>
      </w:r>
    </w:p>
    <w:p>
      <w:pPr>
        <w:pStyle w:val="Heading3"/>
        <w:spacing w:after="130" w:before="250"/>
      </w:pPr>
      <w:r>
        <w:rPr>
          <w:rFonts w:ascii="Calibri" w:cs="Calibri" w:eastAsia="Calibri" w:hAnsi="Calibri"/>
          <w:b/>
          <w:bCs/>
          <w:color w:val="1B2432"/>
          <w:sz w:val="23"/>
          <w:szCs w:val="23"/>
        </w:rPr>
        <w:t xml:space="preserve">The team</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600"/>
        <w:gridCol w:w="1400"/>
        <w:gridCol w:w="5360"/>
      </w:tblGrid>
      <w:tr>
        <w:trPr>
          <w:tblHeader/>
        </w:trPr>
        <w:tc>
          <w:tcPr>
            <w:tcW w:type="dxa" w:w="26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Role</w:t>
            </w:r>
          </w:p>
        </w:tc>
        <w:tc>
          <w:tcPr>
            <w:tcW w:type="dxa" w:w="14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Allocation</w:t>
            </w:r>
          </w:p>
        </w:tc>
        <w:tc>
          <w:tcPr>
            <w:tcW w:type="dxa" w:w="53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Focus</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Product owner / enablement lead</w:t>
            </w:r>
          </w:p>
        </w:tc>
        <w:tc>
          <w:tcPr>
            <w:tcW w:type="dxa" w:w="14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 full-time</w:t>
            </w:r>
          </w:p>
        </w:tc>
        <w:tc>
          <w:tcPr>
            <w:tcW w:type="dxa" w:w="5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Rubric, tiering decisions, partner and squad adoption, backlog priority</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Platform engineers</w:t>
            </w:r>
          </w:p>
        </w:tc>
        <w:tc>
          <w:tcPr>
            <w:tcW w:type="dxa" w:w="14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 full-time</w:t>
            </w:r>
          </w:p>
        </w:tc>
        <w:tc>
          <w:tcPr>
            <w:tcW w:type="dxa" w:w="5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Enablement record, rules engine, generation, cockpit</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Pattern and content analyst</w:t>
            </w:r>
          </w:p>
        </w:tc>
        <w:tc>
          <w:tcPr>
            <w:tcW w:type="dxa" w:w="14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 full-time</w:t>
            </w:r>
          </w:p>
        </w:tc>
        <w:tc>
          <w:tcPr>
            <w:tcW w:type="dxa" w:w="5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Intake data catalogue and why-register, pattern documentation, scope derivation rules, artefact templates</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Governance and records analyst</w:t>
            </w:r>
          </w:p>
        </w:tc>
        <w:tc>
          <w:tcPr>
            <w:tcW w:type="dxa" w:w="14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0.5</w:t>
            </w:r>
          </w:p>
        </w:tc>
        <w:tc>
          <w:tcPr>
            <w:tcW w:type="dxa" w:w="5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Why-register entries for classification and retention, determination service level, gate definitions, compliance engagement</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Enablement engineer (clinic pilot)</w:t>
            </w:r>
          </w:p>
        </w:tc>
        <w:tc>
          <w:tcPr>
            <w:tcW w:type="dxa" w:w="14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 from sprint 3</w:t>
            </w:r>
          </w:p>
        </w:tc>
        <w:tc>
          <w:tcPr>
            <w:tcW w:type="dxa" w:w="5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Runs the first checkpoints and clinic slots</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Five to six people. Not the whole organisation, and deliberately so — this is a tiger team proving the model, while the existing teams continue delivering.</w:t>
      </w:r>
    </w:p>
    <w:p>
      <w:r>
        <w:br w:type="page"/>
      </w:r>
    </w:p>
    <w:p>
      <w:pPr>
        <w:pStyle w:val="Heading2"/>
        <w:spacing w:after="170" w:before="320"/>
      </w:pPr>
      <w:r>
        <w:rPr>
          <w:rFonts w:ascii="Cambria" w:cs="Cambria" w:eastAsia="Cambria" w:hAnsi="Cambria"/>
          <w:b/>
          <w:bCs/>
          <w:color w:val="15304F"/>
          <w:sz w:val="27"/>
          <w:szCs w:val="27"/>
        </w:rPr>
        <w:t xml:space="preserve">15.2 Sprint 1 — Complete the intake</w:t>
      </w:r>
    </w:p>
    <w:p>
      <w:pPr>
        <w:spacing w:after="130" w:before="0"/>
      </w:pPr>
      <w:r>
        <w:rPr>
          <w:rFonts w:ascii="Calibri" w:cs="Calibri" w:eastAsia="Calibri" w:hAnsi="Calibri"/>
          <w:b/>
          <w:bCs/>
          <w:i w:val="false"/>
          <w:iCs w:val="false"/>
          <w:color w:val="1B2432"/>
          <w:sz w:val="21"/>
          <w:szCs w:val="21"/>
        </w:rPr>
        <w:t xml:space="preserve">Goal: </w:t>
      </w:r>
      <w:r>
        <w:rPr>
          <w:rFonts w:ascii="Calibri" w:cs="Calibri" w:eastAsia="Calibri" w:hAnsi="Calibri"/>
          <w:b w:val="false"/>
          <w:bCs w:val="false"/>
          <w:i w:val="false"/>
          <w:iCs w:val="false"/>
          <w:color w:val="1B2432"/>
          <w:sz w:val="21"/>
          <w:szCs w:val="21"/>
        </w:rPr>
        <w:t xml:space="preserve">from day one of this sprint, every new intake is captured completely, with the reason for each requirement explained at the point of asking, and every remaining unknown registered as a dated, owned, gate-linked gap.</w:t>
      </w:r>
    </w:p>
    <w:p>
      <w:pPr>
        <w:spacing w:after="130" w:before="90"/>
      </w:pPr>
      <w:r>
        <w:rPr>
          <w:rFonts w:ascii="Calibri" w:cs="Calibri" w:eastAsia="Calibri" w:hAnsi="Calibri"/>
          <w:b w:val="false"/>
          <w:bCs w:val="false"/>
          <w:i w:val="false"/>
          <w:iCs w:val="false"/>
          <w:color w:val="1B2432"/>
          <w:sz w:val="21"/>
          <w:szCs w:val="21"/>
        </w:rPr>
        <w:t xml:space="preserve">This is the first sprint because it is the largest single time saving available, it benefits the current operating model as much as the target one, and it determines the quality of everything built in the three sprints that follow.</w:t>
      </w:r>
    </w:p>
    <w:p>
      <w:pPr>
        <w:pStyle w:val="Heading3"/>
        <w:spacing w:after="130" w:before="250"/>
      </w:pPr>
      <w:r>
        <w:rPr>
          <w:rFonts w:ascii="Calibri" w:cs="Calibri" w:eastAsia="Calibri" w:hAnsi="Calibri"/>
          <w:b/>
          <w:bCs/>
          <w:color w:val="1B2432"/>
          <w:sz w:val="23"/>
          <w:szCs w:val="23"/>
        </w:rPr>
        <w:t xml:space="preserve">Deliverables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3000"/>
        <w:gridCol w:w="6360"/>
      </w:tblGrid>
      <w:tr>
        <w:trPr>
          <w:tblHeader/>
        </w:trPr>
        <w:tc>
          <w:tcPr>
            <w:tcW w:type="dxa" w:w="30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Deliverable</w:t>
            </w:r>
          </w:p>
        </w:tc>
        <w:tc>
          <w:tcPr>
            <w:tcW w:type="dxa" w:w="63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Detail</w:t>
            </w:r>
          </w:p>
        </w:tc>
      </w:tr>
      <w:tr>
        <w:tc>
          <w:tcPr>
            <w:tcW w:type="dxa" w:w="30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Intake Data Catalogue and why-register</w:t>
            </w:r>
          </w:p>
        </w:tc>
        <w:tc>
          <w:tcPr>
            <w:tcW w:type="dxa" w:w="6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All fifty-four data points from Appendix D, each with its reason, what it blocks, what a good answer looks like, diagnostic sub-questions and its completeness band. Roughly two weeks of two experienced engineers and a governance analyst — the highest-leverage effort in the programme.</w:t>
            </w:r>
          </w:p>
        </w:tc>
      </w:tr>
      <w:tr>
        <w:tc>
          <w:tcPr>
            <w:tcW w:type="dxa" w:w="30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Intake Copilot v1</w:t>
            </w:r>
          </w:p>
        </w:tc>
        <w:tc>
          <w:tcPr>
            <w:tcW w:type="dxa" w:w="6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Conversational capture with applicability filtering, reasons attached to every question, assistance when the partner does not know, and inference with visible working.</w:t>
            </w:r>
          </w:p>
        </w:tc>
      </w:tr>
      <w:tr>
        <w:tc>
          <w:tcPr>
            <w:tcW w:type="dxa" w:w="30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Completeness validation and banding</w:t>
            </w:r>
          </w:p>
        </w:tc>
        <w:tc>
          <w:tcPr>
            <w:tcW w:type="dxa" w:w="6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Deterministic rules scoring the package against the four bands — accept, design, provision, certify — rather than a single pass or fail.</w:t>
            </w:r>
          </w:p>
        </w:tc>
      </w:tr>
      <w:tr>
        <w:tc>
          <w:tcPr>
            <w:tcW w:type="dxa" w:w="30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Gap register</w:t>
            </w:r>
          </w:p>
        </w:tc>
        <w:tc>
          <w:tcPr>
            <w:tcW w:type="dxa" w:w="6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Every unanswered item recorded with named owner, due date and the specific gate it blocks. This is what converts discovery into scheduling.</w:t>
            </w:r>
          </w:p>
        </w:tc>
      </w:tr>
      <w:tr>
        <w:tc>
          <w:tcPr>
            <w:tcW w:type="dxa" w:w="30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Handoff contract</w:t>
            </w:r>
          </w:p>
        </w:tc>
        <w:tc>
          <w:tcPr>
            <w:tcW w:type="dxa" w:w="6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completeness certificate that accompanies every intake onto the ECM board: answers, gaps, derived scope, long-lead items.</w:t>
            </w:r>
          </w:p>
        </w:tc>
      </w:tr>
      <w:tr>
        <w:tc>
          <w:tcPr>
            <w:tcW w:type="dxa" w:w="30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Long-lead item flagging</w:t>
            </w:r>
          </w:p>
        </w:tc>
        <w:tc>
          <w:tcPr>
            <w:tcW w:type="dxa" w:w="6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Connectivity, certificates and specialist engagements surfaced on day one rather than mid-delivery.</w:t>
            </w:r>
          </w:p>
        </w:tc>
      </w:tr>
      <w:tr>
        <w:tc>
          <w:tcPr>
            <w:tcW w:type="dxa" w:w="30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Clarification-cycle baseline</w:t>
            </w:r>
          </w:p>
        </w:tc>
        <w:tc>
          <w:tcPr>
            <w:tcW w:type="dxa" w:w="6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Count of clarification cycles and the elapsed days each consumed, across the last twelve months. This converts the thirty-to-forty per cent estimate into a measurement.</w:t>
            </w:r>
          </w:p>
        </w:tc>
      </w:tr>
      <w:tr>
        <w:tc>
          <w:tcPr>
            <w:tcW w:type="dxa" w:w="30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Tiering rubric published  (parallel)</w:t>
            </w:r>
          </w:p>
        </w:tc>
        <w:tc>
          <w:tcPr>
            <w:tcW w:type="dxa" w:w="6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seven determinants, scoring and overrides from Part 4, published to partners and squads. Low effort, runs alongside.</w:t>
            </w:r>
          </w:p>
        </w:tc>
      </w:tr>
      <w:tr>
        <w:tc>
          <w:tcPr>
            <w:tcW w:type="dxa" w:w="30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Retrospective tier scoring  (parallel)</w:t>
            </w:r>
          </w:p>
        </w:tc>
        <w:tc>
          <w:tcPr>
            <w:tcW w:type="dxa" w:w="6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Twelve months of intakes scored against the rubric. Two days of analyst effort, and it tests the central assumption of the structural design.</w:t>
            </w:r>
          </w:p>
        </w:tc>
      </w:tr>
    </w:tbl>
    <w:p>
      <w:pPr>
        <w:spacing w:after="140"/>
      </w:pPr>
      <w:r>
        <w:t xml:space="preserve"/>
      </w:r>
    </w:p>
    <w:p>
      <w:pPr>
        <w:spacing w:after="130" w:before="0"/>
      </w:pPr>
      <w:r>
        <w:rPr>
          <w:rFonts w:ascii="Calibri" w:cs="Calibri" w:eastAsia="Calibri" w:hAnsi="Calibri"/>
          <w:b/>
          <w:bCs/>
          <w:i w:val="false"/>
          <w:iCs w:val="false"/>
          <w:color w:val="A44A2A"/>
          <w:sz w:val="21"/>
          <w:szCs w:val="21"/>
        </w:rPr>
        <w:t xml:space="preserve">Exit criteria. </w:t>
      </w:r>
      <w:r>
        <w:rPr>
          <w:rFonts w:ascii="Calibri" w:cs="Calibri" w:eastAsia="Calibri" w:hAnsi="Calibri"/>
          <w:b w:val="false"/>
          <w:bCs w:val="false"/>
          <w:i w:val="false"/>
          <w:iCs w:val="false"/>
          <w:color w:val="1B2432"/>
          <w:sz w:val="21"/>
          <w:szCs w:val="21"/>
        </w:rPr>
        <w:t xml:space="preserve">The catalogue is published. Three partners have completed an intake through the copilot with no engineer involvement. Every new intake arrives on the ECM board with a completeness certificate. Clarification cycles on the pilot intakes are measurably below the baseline.</w:t>
      </w:r>
    </w:p>
    <w:p>
      <w:pPr>
        <w:spacing w:after="130" w:before="80"/>
      </w:pPr>
      <w:r>
        <w:rPr>
          <w:rFonts w:ascii="Calibri" w:cs="Calibri" w:eastAsia="Calibri" w:hAnsi="Calibri"/>
          <w:b/>
          <w:bCs/>
          <w:i w:val="false"/>
          <w:iCs w:val="false"/>
          <w:color w:val="1B2432"/>
          <w:sz w:val="21"/>
          <w:szCs w:val="21"/>
        </w:rPr>
        <w:t xml:space="preserve">What leadership can see at the end of sprint 1. </w:t>
      </w:r>
      <w:r>
        <w:rPr>
          <w:rFonts w:ascii="Calibri" w:cs="Calibri" w:eastAsia="Calibri" w:hAnsi="Calibri"/>
          <w:b w:val="false"/>
          <w:bCs w:val="false"/>
          <w:i w:val="false"/>
          <w:iCs w:val="false"/>
          <w:color w:val="1B2432"/>
          <w:sz w:val="21"/>
          <w:szCs w:val="21"/>
        </w:rPr>
        <w:t xml:space="preserve">Two things. First, whether the thirty-to-forty per cent estimate holds — now measured rather than asserted. Second, the real tier distribution of twelve months of historical demand, which either validates the structural design or forces a rethink eight weeks before anything is committed.</w:t>
      </w:r>
    </w:p>
    <w:p>
      <w:pPr>
        <w:pStyle w:val="Heading2"/>
        <w:spacing w:after="170" w:before="320"/>
      </w:pPr>
      <w:r>
        <w:rPr>
          <w:rFonts w:ascii="Cambria" w:cs="Cambria" w:eastAsia="Cambria" w:hAnsi="Cambria"/>
          <w:b/>
          <w:bCs/>
          <w:color w:val="15304F"/>
          <w:sz w:val="27"/>
          <w:szCs w:val="27"/>
        </w:rPr>
        <w:t xml:space="preserve">15.3 Sprint 2 — Make the intake drive everything downstream</w:t>
      </w:r>
    </w:p>
    <w:p>
      <w:pPr>
        <w:spacing w:after="130" w:before="0"/>
      </w:pPr>
      <w:r>
        <w:rPr>
          <w:rFonts w:ascii="Calibri" w:cs="Calibri" w:eastAsia="Calibri" w:hAnsi="Calibri"/>
          <w:b/>
          <w:bCs/>
          <w:i w:val="false"/>
          <w:iCs w:val="false"/>
          <w:color w:val="1B2432"/>
          <w:sz w:val="21"/>
          <w:szCs w:val="21"/>
        </w:rPr>
        <w:t xml:space="preserve">Goal: </w:t>
      </w:r>
      <w:r>
        <w:rPr>
          <w:rFonts w:ascii="Calibri" w:cs="Calibri" w:eastAsia="Calibri" w:hAnsi="Calibri"/>
          <w:b w:val="false"/>
          <w:bCs w:val="false"/>
          <w:i w:val="false"/>
          <w:iCs w:val="false"/>
          <w:color w:val="1B2432"/>
          <w:sz w:val="21"/>
          <w:szCs w:val="21"/>
        </w:rPr>
        <w:t xml:space="preserve">the content captured in Sprint 1 starts producing scope, tier, pattern and precedent automatically, so an engineer picking up an intake begins with analysis rather than with assembly.</w:t>
      </w:r>
    </w:p>
    <w:p>
      <w:pPr>
        <w:pStyle w:val="Heading3"/>
        <w:spacing w:after="130" w:before="250"/>
      </w:pPr>
      <w:r>
        <w:rPr>
          <w:rFonts w:ascii="Calibri" w:cs="Calibri" w:eastAsia="Calibri" w:hAnsi="Calibri"/>
          <w:b/>
          <w:bCs/>
          <w:color w:val="1B2432"/>
          <w:sz w:val="23"/>
          <w:szCs w:val="23"/>
        </w:rPr>
        <w:t xml:space="preserve">Deliverables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3000"/>
        <w:gridCol w:w="6360"/>
      </w:tblGrid>
      <w:tr>
        <w:trPr>
          <w:tblHeader/>
        </w:trPr>
        <w:tc>
          <w:tcPr>
            <w:tcW w:type="dxa" w:w="30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Deliverable</w:t>
            </w:r>
          </w:p>
        </w:tc>
        <w:tc>
          <w:tcPr>
            <w:tcW w:type="dxa" w:w="63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Detail</w:t>
            </w:r>
          </w:p>
        </w:tc>
      </w:tr>
      <w:tr>
        <w:tc>
          <w:tcPr>
            <w:tcW w:type="dxa" w:w="30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Scope derivation v1</w:t>
            </w:r>
          </w:p>
        </w:tc>
        <w:tc>
          <w:tcPr>
            <w:tcW w:type="dxa" w:w="6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From the intake: workstreams in scope, specialist teams to engage, approvals needed and their sequence, and the full partner obligation list on day one.</w:t>
            </w:r>
          </w:p>
        </w:tc>
      </w:tr>
      <w:tr>
        <w:tc>
          <w:tcPr>
            <w:tcW w:type="dxa" w:w="30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Tiering Assistant</w:t>
            </w:r>
          </w:p>
        </w:tc>
        <w:tc>
          <w:tcPr>
            <w:tcW w:type="dxa" w:w="6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Scores the seven determinants from intake content with visible reasoning; proposes a tier; an enablement lead confirms.</w:t>
            </w:r>
          </w:p>
        </w:tc>
      </w:tr>
      <w:tr>
        <w:tc>
          <w:tcPr>
            <w:tcW w:type="dxa" w:w="30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Pattern Matcher v1</w:t>
            </w:r>
          </w:p>
        </w:tc>
        <w:tc>
          <w:tcPr>
            <w:tcW w:type="dxa" w:w="6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Matches against the documented patterns and the scored historical intakes, returning confidence and — more usefully — the delta.</w:t>
            </w:r>
          </w:p>
        </w:tc>
      </w:tr>
      <w:tr>
        <w:tc>
          <w:tcPr>
            <w:tcW w:type="dxa" w:w="30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Precedent Retrieval</w:t>
            </w:r>
          </w:p>
        </w:tc>
        <w:tc>
          <w:tcPr>
            <w:tcW w:type="dxa" w:w="6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Surfaces comparable prior intakes, what was decided and what those partners found difficult.</w:t>
            </w:r>
          </w:p>
        </w:tc>
      </w:tr>
      <w:tr>
        <w:tc>
          <w:tcPr>
            <w:tcW w:type="dxa" w:w="30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Top three patterns documented to M1</w:t>
            </w:r>
          </w:p>
        </w:tc>
        <w:tc>
          <w:tcPr>
            <w:tcW w:type="dxa" w:w="6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three highest-frequency scenarios from the retrospective scoring, described as patterns: steps, inputs, gates, tolerated variation.</w:t>
            </w:r>
          </w:p>
        </w:tc>
      </w:tr>
      <w:tr>
        <w:tc>
          <w:tcPr>
            <w:tcW w:type="dxa" w:w="30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Dual-run tiering begins</w:t>
            </w:r>
          </w:p>
        </w:tc>
        <w:tc>
          <w:tcPr>
            <w:tcW w:type="dxa" w:w="6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Every new intake is tiered and recorded, but still delivered under the current model. Real data, zero risk.</w:t>
            </w:r>
          </w:p>
        </w:tc>
      </w:tr>
      <w:tr>
        <w:tc>
          <w:tcPr>
            <w:tcW w:type="dxa" w:w="30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Enablement record v0</w:t>
            </w:r>
          </w:p>
        </w:tc>
        <w:tc>
          <w:tcPr>
            <w:tcW w:type="dxa" w:w="6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thin structured record carrying intake content, tier, pattern, determinations, gaps and state. Built on existing tooling wherever possible.</w:t>
            </w:r>
          </w:p>
        </w:tc>
      </w:tr>
      <w:tr>
        <w:tc>
          <w:tcPr>
            <w:tcW w:type="dxa" w:w="30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Phase baseline measurement</w:t>
            </w:r>
          </w:p>
        </w:tc>
        <w:tc>
          <w:tcPr>
            <w:tcW w:type="dxa" w:w="6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Effort and elapsed time capture against the six phases, for the measurements named in Part 10.2.</w:t>
            </w:r>
          </w:p>
        </w:tc>
      </w:tr>
    </w:tbl>
    <w:p>
      <w:pPr>
        <w:spacing w:after="140"/>
      </w:pPr>
      <w:r>
        <w:t xml:space="preserve"/>
      </w:r>
    </w:p>
    <w:p>
      <w:pPr>
        <w:spacing w:after="130" w:before="0"/>
      </w:pPr>
      <w:r>
        <w:rPr>
          <w:rFonts w:ascii="Calibri" w:cs="Calibri" w:eastAsia="Calibri" w:hAnsi="Calibri"/>
          <w:b/>
          <w:bCs/>
          <w:i w:val="false"/>
          <w:iCs w:val="false"/>
          <w:color w:val="A44A2A"/>
          <w:sz w:val="21"/>
          <w:szCs w:val="21"/>
        </w:rPr>
        <w:t xml:space="preserve">Exit criteria. </w:t>
      </w:r>
      <w:r>
        <w:rPr>
          <w:rFonts w:ascii="Calibri" w:cs="Calibri" w:eastAsia="Calibri" w:hAnsi="Calibri"/>
          <w:b w:val="false"/>
          <w:bCs w:val="false"/>
          <w:i w:val="false"/>
          <w:iCs w:val="false"/>
          <w:color w:val="1B2432"/>
          <w:sz w:val="21"/>
          <w:szCs w:val="21"/>
        </w:rPr>
        <w:t xml:space="preserve">Scope and tier derived automatically from every new intake. Three patterns at M1. An engineer picking up an intake receives a derived scope and a proposed tier rather than a description to interpret.</w:t>
      </w:r>
    </w:p>
    <w:p>
      <w:pPr>
        <w:pStyle w:val="Heading2"/>
        <w:spacing w:after="170" w:before="320"/>
      </w:pPr>
      <w:r>
        <w:rPr>
          <w:rFonts w:ascii="Cambria" w:cs="Cambria" w:eastAsia="Cambria" w:hAnsi="Cambria"/>
          <w:b/>
          <w:bCs/>
          <w:color w:val="15304F"/>
          <w:sz w:val="27"/>
          <w:szCs w:val="27"/>
        </w:rPr>
        <w:t xml:space="preserve">15.4 Sprint 3 — Guardrails, generation, and the Clinic opens</w:t>
      </w:r>
    </w:p>
    <w:p>
      <w:pPr>
        <w:spacing w:after="130" w:before="0"/>
      </w:pPr>
      <w:r>
        <w:rPr>
          <w:rFonts w:ascii="Calibri" w:cs="Calibri" w:eastAsia="Calibri" w:hAnsi="Calibri"/>
          <w:b/>
          <w:bCs/>
          <w:i w:val="false"/>
          <w:iCs w:val="false"/>
          <w:color w:val="1B2432"/>
          <w:sz w:val="21"/>
          <w:szCs w:val="21"/>
        </w:rPr>
        <w:t xml:space="preserve">Goal: </w:t>
      </w:r>
      <w:r>
        <w:rPr>
          <w:rFonts w:ascii="Calibri" w:cs="Calibri" w:eastAsia="Calibri" w:hAnsi="Calibri"/>
          <w:b w:val="false"/>
          <w:bCs w:val="false"/>
          <w:i w:val="false"/>
          <w:iCs w:val="false"/>
          <w:color w:val="1B2432"/>
          <w:sz w:val="21"/>
          <w:szCs w:val="21"/>
        </w:rPr>
        <w:t xml:space="preserve">Lean+ becomes a real tier with real intakes running through it.</w:t>
      </w:r>
    </w:p>
    <w:p>
      <w:pPr>
        <w:pStyle w:val="Heading3"/>
        <w:spacing w:after="130" w:before="250"/>
      </w:pPr>
      <w:r>
        <w:rPr>
          <w:rFonts w:ascii="Calibri" w:cs="Calibri" w:eastAsia="Calibri" w:hAnsi="Calibri"/>
          <w:b/>
          <w:bCs/>
          <w:color w:val="1B2432"/>
          <w:sz w:val="23"/>
          <w:szCs w:val="23"/>
        </w:rPr>
        <w:t xml:space="preserve">Deliverables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3000"/>
        <w:gridCol w:w="6360"/>
      </w:tblGrid>
      <w:tr>
        <w:trPr>
          <w:tblHeader/>
        </w:trPr>
        <w:tc>
          <w:tcPr>
            <w:tcW w:type="dxa" w:w="30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Deliverable</w:t>
            </w:r>
          </w:p>
        </w:tc>
        <w:tc>
          <w:tcPr>
            <w:tcW w:type="dxa" w:w="63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Detail</w:t>
            </w:r>
          </w:p>
        </w:tc>
      </w:tr>
      <w:tr>
        <w:tc>
          <w:tcPr>
            <w:tcW w:type="dxa" w:w="30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Gate engine for P0 and P1</w:t>
            </w:r>
          </w:p>
        </w:tc>
        <w:tc>
          <w:tcPr>
            <w:tcW w:type="dxa" w:w="6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Deterministic evaluation of the qualification and design-baseline gates, with itemised failure reasons.</w:t>
            </w:r>
          </w:p>
        </w:tc>
      </w:tr>
      <w:tr>
        <w:tc>
          <w:tcPr>
            <w:tcW w:type="dxa" w:w="30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Routing rules codified</w:t>
            </w:r>
          </w:p>
        </w:tc>
        <w:tc>
          <w:tcPr>
            <w:tcW w:type="dxa" w:w="6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Ticket routing, access path determination, environment account mapping — the rules that fail silently today, returned correctly on demand.</w:t>
            </w:r>
          </w:p>
        </w:tc>
      </w:tr>
      <w:tr>
        <w:tc>
          <w:tcPr>
            <w:tcW w:type="dxa" w:w="30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Artefact Generator v1</w:t>
            </w:r>
          </w:p>
        </w:tc>
        <w:tc>
          <w:tcPr>
            <w:tcW w:type="dxa" w:w="6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Records questionnaire draft, scope and design summary, integration test plan, partner API collection.</w:t>
            </w:r>
          </w:p>
        </w:tc>
      </w:tr>
      <w:tr>
        <w:tc>
          <w:tcPr>
            <w:tcW w:type="dxa" w:w="30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Partner Onboarding Assistant</w:t>
            </w:r>
          </w:p>
        </w:tc>
        <w:tc>
          <w:tcPr>
            <w:tcW w:type="dxa" w:w="6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Grounded question answering over the pattern catalogue, policy set and the partner's own record, with citation and refusal behaviour.</w:t>
            </w:r>
          </w:p>
        </w:tc>
      </w:tr>
      <w:tr>
        <w:tc>
          <w:tcPr>
            <w:tcW w:type="dxa" w:w="30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Clinic stands up</w:t>
            </w:r>
          </w:p>
        </w:tc>
        <w:tc>
          <w:tcPr>
            <w:tcW w:type="dxa" w:w="6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Checkpoint calendar, published open slots, escalation duty roster, triage front door.</w:t>
            </w:r>
          </w:p>
        </w:tc>
      </w:tr>
      <w:tr>
        <w:tc>
          <w:tcPr>
            <w:tcW w:type="dxa" w:w="30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Three patterns to M2</w:t>
            </w:r>
          </w:p>
        </w:tc>
        <w:tc>
          <w:tcPr>
            <w:tcW w:type="dxa" w:w="6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Automated gates in place; configuration generated and applied with review.</w:t>
            </w:r>
          </w:p>
        </w:tc>
      </w:tr>
      <w:tr>
        <w:tc>
          <w:tcPr>
            <w:tcW w:type="dxa" w:w="30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First Lean+ intakes</w:t>
            </w:r>
          </w:p>
        </w:tc>
        <w:tc>
          <w:tcPr>
            <w:tcW w:type="dxa" w:w="6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Three to five intakes running with real checkpoints and a named guide.</w:t>
            </w:r>
          </w:p>
        </w:tc>
      </w:tr>
      <w:tr>
        <w:tc>
          <w:tcPr>
            <w:tcW w:type="dxa" w:w="30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Enabling squad onboarding</w:t>
            </w:r>
          </w:p>
        </w:tc>
        <w:tc>
          <w:tcPr>
            <w:tcW w:type="dxa" w:w="6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Squads walked through the tiering model, the clinic rhythm and the new role definitions. Run with them, not at them.</w:t>
            </w:r>
          </w:p>
        </w:tc>
      </w:tr>
    </w:tbl>
    <w:p>
      <w:pPr>
        <w:spacing w:after="140"/>
      </w:pPr>
      <w:r>
        <w:t xml:space="preserve"/>
      </w:r>
    </w:p>
    <w:p>
      <w:pPr>
        <w:spacing w:after="130" w:before="0"/>
      </w:pPr>
      <w:r>
        <w:rPr>
          <w:rFonts w:ascii="Calibri" w:cs="Calibri" w:eastAsia="Calibri" w:hAnsi="Calibri"/>
          <w:b/>
          <w:bCs/>
          <w:i w:val="false"/>
          <w:iCs w:val="false"/>
          <w:color w:val="A44A2A"/>
          <w:sz w:val="21"/>
          <w:szCs w:val="21"/>
        </w:rPr>
        <w:t xml:space="preserve">Exit criteria. </w:t>
      </w:r>
      <w:r>
        <w:rPr>
          <w:rFonts w:ascii="Calibri" w:cs="Calibri" w:eastAsia="Calibri" w:hAnsi="Calibri"/>
          <w:b w:val="false"/>
          <w:bCs w:val="false"/>
          <w:i w:val="false"/>
          <w:iCs w:val="false"/>
          <w:color w:val="1B2432"/>
          <w:sz w:val="21"/>
          <w:szCs w:val="21"/>
        </w:rPr>
        <w:t xml:space="preserve">Clinic operating on its published rhythm. At least three intakes progressing as Lean+ with both checkpoints scheduled. Generated artefacts accepted by records management and by partners without substantial rework.</w:t>
      </w:r>
    </w:p>
    <w:p>
      <w:pPr>
        <w:pStyle w:val="Heading2"/>
        <w:spacing w:after="170" w:before="320"/>
      </w:pPr>
      <w:r>
        <w:rPr>
          <w:rFonts w:ascii="Cambria" w:cs="Cambria" w:eastAsia="Cambria" w:hAnsi="Cambria"/>
          <w:b/>
          <w:bCs/>
          <w:color w:val="15304F"/>
          <w:sz w:val="27"/>
          <w:szCs w:val="27"/>
        </w:rPr>
        <w:t xml:space="preserve">15.5 Sprint 4 — Prove Lean on one pattern</w:t>
      </w:r>
    </w:p>
    <w:p>
      <w:pPr>
        <w:spacing w:after="130" w:before="0"/>
      </w:pPr>
      <w:r>
        <w:rPr>
          <w:rFonts w:ascii="Calibri" w:cs="Calibri" w:eastAsia="Calibri" w:hAnsi="Calibri"/>
          <w:b/>
          <w:bCs/>
          <w:i w:val="false"/>
          <w:iCs w:val="false"/>
          <w:color w:val="1B2432"/>
          <w:sz w:val="21"/>
          <w:szCs w:val="21"/>
        </w:rPr>
        <w:t xml:space="preserve">Goal: </w:t>
      </w:r>
      <w:r>
        <w:rPr>
          <w:rFonts w:ascii="Calibri" w:cs="Calibri" w:eastAsia="Calibri" w:hAnsi="Calibri"/>
          <w:b w:val="false"/>
          <w:bCs w:val="false"/>
          <w:i w:val="false"/>
          <w:iCs w:val="false"/>
          <w:color w:val="1B2432"/>
          <w:sz w:val="21"/>
          <w:szCs w:val="21"/>
        </w:rPr>
        <w:t xml:space="preserve">at least one partner completes an intake end to end with no allocated ECM capacity.</w:t>
      </w:r>
    </w:p>
    <w:p>
      <w:pPr>
        <w:pStyle w:val="Heading3"/>
        <w:spacing w:after="130" w:before="250"/>
      </w:pPr>
      <w:r>
        <w:rPr>
          <w:rFonts w:ascii="Calibri" w:cs="Calibri" w:eastAsia="Calibri" w:hAnsi="Calibri"/>
          <w:b/>
          <w:bCs/>
          <w:color w:val="1B2432"/>
          <w:sz w:val="23"/>
          <w:szCs w:val="23"/>
        </w:rPr>
        <w:t xml:space="preserve">Deliverables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3000"/>
        <w:gridCol w:w="6360"/>
      </w:tblGrid>
      <w:tr>
        <w:trPr>
          <w:tblHeader/>
        </w:trPr>
        <w:tc>
          <w:tcPr>
            <w:tcW w:type="dxa" w:w="30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Deliverable</w:t>
            </w:r>
          </w:p>
        </w:tc>
        <w:tc>
          <w:tcPr>
            <w:tcW w:type="dxa" w:w="63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Detail</w:t>
            </w:r>
          </w:p>
        </w:tc>
      </w:tr>
      <w:tr>
        <w:tc>
          <w:tcPr>
            <w:tcW w:type="dxa" w:w="30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Self-service provisioning, one pattern</w:t>
            </w:r>
          </w:p>
        </w:tc>
        <w:tc>
          <w:tcPr>
            <w:tcW w:type="dxa" w:w="6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highest-frequency pattern only — most likely subscription extension — provisionable by the partner within policy bounds.</w:t>
            </w:r>
          </w:p>
        </w:tc>
      </w:tr>
      <w:tr>
        <w:tc>
          <w:tcPr>
            <w:tcW w:type="dxa" w:w="30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That pattern promoted to M3</w:t>
            </w:r>
          </w:p>
        </w:tc>
        <w:tc>
          <w:tcPr>
            <w:tcW w:type="dxa" w:w="6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Full maturity: self-service provisioning, automated gates, generated artefacts, declared tolerated variation.</w:t>
            </w:r>
          </w:p>
        </w:tc>
      </w:tr>
      <w:tr>
        <w:tc>
          <w:tcPr>
            <w:tcW w:type="dxa" w:w="30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Partner certification live</w:t>
            </w:r>
          </w:p>
        </w:tc>
        <w:tc>
          <w:tcPr>
            <w:tcW w:type="dxa" w:w="6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Criteria published; two to three partners certified.</w:t>
            </w:r>
          </w:p>
        </w:tc>
      </w:tr>
      <w:tr>
        <w:tc>
          <w:tcPr>
            <w:tcW w:type="dxa" w:w="30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Cockpit v1</w:t>
            </w:r>
          </w:p>
        </w:tc>
        <w:tc>
          <w:tcPr>
            <w:tcW w:type="dxa" w:w="6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State across phases, gate status, blocked items with owners and age, next action, clinic booking.</w:t>
            </w:r>
          </w:p>
        </w:tc>
      </w:tr>
      <w:tr>
        <w:tc>
          <w:tcPr>
            <w:tcW w:type="dxa" w:w="30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Drift Detector v1</w:t>
            </w:r>
          </w:p>
        </w:tc>
        <w:tc>
          <w:tcPr>
            <w:tcW w:type="dxa" w:w="6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escalation triggers from Part 4.4 evaluated automatically.</w:t>
            </w:r>
          </w:p>
        </w:tc>
      </w:tr>
      <w:tr>
        <w:tc>
          <w:tcPr>
            <w:tcW w:type="dxa" w:w="30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Leadership dashboard v1</w:t>
            </w:r>
          </w:p>
        </w:tc>
        <w:tc>
          <w:tcPr>
            <w:tcW w:type="dxa" w:w="6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Tier distribution, stage dwell time, escalation rate, gate failure by pattern, clinic demand against capacity.</w:t>
            </w:r>
          </w:p>
        </w:tc>
      </w:tr>
      <w:tr>
        <w:tc>
          <w:tcPr>
            <w:tcW w:type="dxa" w:w="30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First Lean intake completed</w:t>
            </w:r>
          </w:p>
        </w:tc>
        <w:tc>
          <w:tcPr>
            <w:tcW w:type="dxa" w:w="6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One partner, end to end, no allocated capacity.</w:t>
            </w:r>
          </w:p>
        </w:tc>
      </w:tr>
      <w:tr>
        <w:tc>
          <w:tcPr>
            <w:tcW w:type="dxa" w:w="30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Adoption push</w:t>
            </w:r>
          </w:p>
        </w:tc>
        <w:tc>
          <w:tcPr>
            <w:tcW w:type="dxa" w:w="6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Model and rubric communicated to the wider partner community; squads running the new rhythm; in-flight intakes deliberately left alone.</w:t>
            </w:r>
          </w:p>
        </w:tc>
      </w:tr>
    </w:tbl>
    <w:p>
      <w:pPr>
        <w:spacing w:after="140"/>
      </w:pPr>
      <w:r>
        <w:t xml:space="preserve"/>
      </w:r>
    </w:p>
    <w:p>
      <w:pPr>
        <w:spacing w:after="130" w:before="0"/>
      </w:pPr>
      <w:r>
        <w:rPr>
          <w:rFonts w:ascii="Calibri" w:cs="Calibri" w:eastAsia="Calibri" w:hAnsi="Calibri"/>
          <w:b/>
          <w:bCs/>
          <w:i w:val="false"/>
          <w:iCs w:val="false"/>
          <w:color w:val="A44A2A"/>
          <w:sz w:val="21"/>
          <w:szCs w:val="21"/>
        </w:rPr>
        <w:t xml:space="preserve">Exit criteria. </w:t>
      </w:r>
      <w:r>
        <w:rPr>
          <w:rFonts w:ascii="Calibri" w:cs="Calibri" w:eastAsia="Calibri" w:hAnsi="Calibri"/>
          <w:b w:val="false"/>
          <w:bCs w:val="false"/>
          <w:i w:val="false"/>
          <w:iCs w:val="false"/>
          <w:color w:val="1B2432"/>
          <w:sz w:val="21"/>
          <w:szCs w:val="21"/>
        </w:rPr>
        <w:t xml:space="preserve">One Lean intake live. Three or more Lean+ intakes in flight. Clinic rhythm established. Leadership dashboard populated with real data across all four sprints.</w:t>
      </w:r>
    </w:p>
    <w:p>
      <w:r>
        <w:br w:type="page"/>
      </w:r>
    </w:p>
    <w:p>
      <w:pPr>
        <w:pStyle w:val="Heading2"/>
        <w:spacing w:after="170" w:before="320"/>
      </w:pPr>
      <w:r>
        <w:rPr>
          <w:rFonts w:ascii="Cambria" w:cs="Cambria" w:eastAsia="Cambria" w:hAnsi="Cambria"/>
          <w:b/>
          <w:bCs/>
          <w:color w:val="15304F"/>
          <w:sz w:val="27"/>
          <w:szCs w:val="27"/>
        </w:rPr>
        <w:t xml:space="preserve">15.6 What is deliberately not attempted in four sprints</w:t>
      </w:r>
    </w:p>
    <w:p>
      <w:pPr>
        <w:spacing w:after="130" w:before="0"/>
      </w:pPr>
      <w:r>
        <w:rPr>
          <w:rFonts w:ascii="Calibri" w:cs="Calibri" w:eastAsia="Calibri" w:hAnsi="Calibri"/>
          <w:b w:val="false"/>
          <w:bCs w:val="false"/>
          <w:i w:val="false"/>
          <w:iCs w:val="false"/>
          <w:color w:val="1B2432"/>
          <w:sz w:val="21"/>
          <w:szCs w:val="21"/>
        </w:rPr>
        <w:t xml:space="preserve">Scope discipline is the difference between this plan and a plan that delivers nothing. The following are explicitly out, and saying so protects the team from the pressure to attempt them.</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3200"/>
        <w:gridCol w:w="6160"/>
      </w:tblGrid>
      <w:tr>
        <w:trPr>
          <w:tblHeader/>
        </w:trPr>
        <w:tc>
          <w:tcPr>
            <w:tcW w:type="dxa" w:w="32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Not in scope</w:t>
            </w:r>
          </w:p>
        </w:tc>
        <w:tc>
          <w:tcPr>
            <w:tcW w:type="dxa" w:w="61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Why, and when it comes</w:t>
            </w:r>
          </w:p>
        </w:tc>
      </w:tr>
      <w:tr>
        <w:tc>
          <w:tcPr>
            <w:tcW w:type="dxa" w:w="32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Deep integration with every downstream system</w:t>
            </w:r>
          </w:p>
        </w:tc>
        <w:tc>
          <w:tcPr>
            <w:tcW w:type="dxa" w:w="61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expensive part. Generation and rules deliver most of the value first; integration follows pattern by pattern where volume justifies it.</w:t>
            </w:r>
          </w:p>
        </w:tc>
      </w:tr>
      <w:tr>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All thirty-eight patterns</w:t>
            </w:r>
          </w:p>
        </w:tc>
        <w:tc>
          <w:tcPr>
            <w:tcW w:type="dxa" w:w="61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Three patterns cover a disproportionate share of volume. The rest follow as Dedicated intakes are harvested.</w:t>
            </w:r>
          </w:p>
        </w:tc>
      </w:tr>
      <w:tr>
        <w:tc>
          <w:tcPr>
            <w:tcW w:type="dxa" w:w="32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A perfected why-register</w:t>
            </w:r>
          </w:p>
        </w:tc>
        <w:tc>
          <w:tcPr>
            <w:tcW w:type="dxa" w:w="61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catalogue is written once in Sprint 1 and improved continuously from clinic questions and gate failures. It does not need to be complete to be transformative.</w:t>
            </w:r>
          </w:p>
        </w:tc>
      </w:tr>
      <w:tr>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A full partner portal</w:t>
            </w:r>
          </w:p>
        </w:tc>
        <w:tc>
          <w:tcPr>
            <w:tcW w:type="dxa" w:w="61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cockpit is a state view, not a product. A portal is a later decision and may never be needed.</w:t>
            </w:r>
          </w:p>
        </w:tc>
      </w:tr>
      <w:tr>
        <w:tc>
          <w:tcPr>
            <w:tcW w:type="dxa" w:w="32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Retiring any existing tooling</w:t>
            </w:r>
          </w:p>
        </w:tc>
        <w:tc>
          <w:tcPr>
            <w:tcW w:type="dxa" w:w="61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Nothing is switched off in eight weeks. The new model runs alongside.</w:t>
            </w:r>
          </w:p>
        </w:tc>
      </w:tr>
      <w:tr>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Migrating in-flight intakes</w:t>
            </w:r>
          </w:p>
        </w:tc>
        <w:tc>
          <w:tcPr>
            <w:tcW w:type="dxa" w:w="61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Partners mid-delivery are left alone. Forcing a model change on a live intake creates the first failure story.</w:t>
            </w:r>
          </w:p>
        </w:tc>
      </w:tr>
      <w:tr>
        <w:tc>
          <w:tcPr>
            <w:tcW w:type="dxa" w:w="32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The Migration Factory</w:t>
            </w:r>
          </w:p>
        </w:tc>
        <w:tc>
          <w:tcPr>
            <w:tcW w:type="dxa" w:w="61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Important, but separable. It starts after the onboarding model is proven.</w:t>
            </w:r>
          </w:p>
        </w:tc>
      </w:tr>
      <w:tr>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Full team re-organisation</w:t>
            </w:r>
          </w:p>
        </w:tc>
        <w:tc>
          <w:tcPr>
            <w:tcW w:type="dxa" w:w="61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Five or six people prove the model. Structural change follows evidence, not precedes it.</w:t>
            </w:r>
          </w:p>
        </w:tc>
      </w:tr>
      <w:tr>
        <w:tc>
          <w:tcPr>
            <w:tcW w:type="dxa" w:w="32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Headcount commitments</w:t>
            </w:r>
          </w:p>
        </w:tc>
        <w:tc>
          <w:tcPr>
            <w:tcW w:type="dxa" w:w="61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 capacity claim is made until the baseline measurements exist.</w:t>
            </w:r>
          </w:p>
        </w:tc>
      </w:tr>
    </w:tbl>
    <w:p>
      <w:pPr>
        <w:pStyle w:val="Heading2"/>
        <w:spacing w:after="170" w:before="320"/>
      </w:pPr>
      <w:r>
        <w:rPr>
          <w:rFonts w:ascii="Cambria" w:cs="Cambria" w:eastAsia="Cambria" w:hAnsi="Cambria"/>
          <w:b/>
          <w:bCs/>
          <w:color w:val="15304F"/>
          <w:sz w:val="27"/>
          <w:szCs w:val="27"/>
        </w:rPr>
        <w:t xml:space="preserve">15.7 Adoption — partners and squads</w:t>
      </w:r>
    </w:p>
    <w:p>
      <w:pPr>
        <w:pStyle w:val="Heading3"/>
        <w:spacing w:after="130" w:before="250"/>
      </w:pPr>
      <w:r>
        <w:rPr>
          <w:rFonts w:ascii="Calibri" w:cs="Calibri" w:eastAsia="Calibri" w:hAnsi="Calibri"/>
          <w:b/>
          <w:bCs/>
          <w:color w:val="1B2432"/>
          <w:sz w:val="23"/>
          <w:szCs w:val="23"/>
        </w:rPr>
        <w:t xml:space="preserve">Partners</w:t>
      </w:r>
    </w:p>
    <w:p>
      <w:pPr>
        <w:pStyle w:val="ListParagraph"/>
        <w:numPr>
          <w:ilvl w:val="0"/>
          <w:numId w:val="3"/>
        </w:numPr>
        <w:spacing w:after="75"/>
      </w:pPr>
      <w:r>
        <w:rPr>
          <w:rFonts w:ascii="Calibri" w:cs="Calibri" w:eastAsia="Calibri" w:hAnsi="Calibri"/>
          <w:b/>
          <w:bCs/>
          <w:i w:val="false"/>
          <w:iCs w:val="false"/>
          <w:color w:val="1B2432"/>
          <w:sz w:val="21"/>
          <w:szCs w:val="21"/>
        </w:rPr>
        <w:t xml:space="preserve">Choose the first three deliberately. </w:t>
      </w:r>
      <w:r>
        <w:rPr>
          <w:rFonts w:ascii="Calibri" w:cs="Calibri" w:eastAsia="Calibri" w:hAnsi="Calibri"/>
          <w:b w:val="false"/>
          <w:bCs w:val="false"/>
          <w:i w:val="false"/>
          <w:iCs w:val="false"/>
          <w:color w:val="1B2432"/>
          <w:sz w:val="21"/>
          <w:szCs w:val="21"/>
        </w:rPr>
        <w:t xml:space="preserve">One high-frequency simple partner who will succeed quickly and generate a reference story. One mid-complexity partner who will genuinely exercise Lean+. One known sceptic, because a model that only works with enthusiasts does not work.</w:t>
      </w:r>
    </w:p>
    <w:p>
      <w:pPr>
        <w:pStyle w:val="ListParagraph"/>
        <w:numPr>
          <w:ilvl w:val="0"/>
          <w:numId w:val="3"/>
        </w:numPr>
        <w:spacing w:after="75"/>
      </w:pPr>
      <w:r>
        <w:rPr>
          <w:rFonts w:ascii="Calibri" w:cs="Calibri" w:eastAsia="Calibri" w:hAnsi="Calibri"/>
          <w:b/>
          <w:bCs/>
          <w:i w:val="false"/>
          <w:iCs w:val="false"/>
          <w:color w:val="1B2432"/>
          <w:sz w:val="21"/>
          <w:szCs w:val="21"/>
        </w:rPr>
        <w:t xml:space="preserve">Lead with the reframing. </w:t>
      </w:r>
      <w:r>
        <w:rPr>
          <w:rFonts w:ascii="Calibri" w:cs="Calibri" w:eastAsia="Calibri" w:hAnsi="Calibri"/>
          <w:b w:val="false"/>
          <w:bCs w:val="false"/>
          <w:i w:val="false"/>
          <w:iCs w:val="false"/>
          <w:color w:val="1B2432"/>
          <w:sz w:val="21"/>
          <w:szCs w:val="21"/>
        </w:rPr>
        <w:t xml:space="preserve">Dedicated is the slowest tier because it queues for scarce capacity. Lean partners go live sooner. If this lands early, tiering stops being a negotiation.</w:t>
      </w:r>
    </w:p>
    <w:p>
      <w:pPr>
        <w:pStyle w:val="ListParagraph"/>
        <w:numPr>
          <w:ilvl w:val="0"/>
          <w:numId w:val="3"/>
        </w:numPr>
        <w:spacing w:after="75"/>
      </w:pPr>
      <w:r>
        <w:rPr>
          <w:rFonts w:ascii="Calibri" w:cs="Calibri" w:eastAsia="Calibri" w:hAnsi="Calibri"/>
          <w:b/>
          <w:bCs/>
          <w:i w:val="false"/>
          <w:iCs w:val="false"/>
          <w:color w:val="1B2432"/>
          <w:sz w:val="21"/>
          <w:szCs w:val="21"/>
        </w:rPr>
        <w:t xml:space="preserve">Show the obligation list on day one. </w:t>
      </w:r>
      <w:r>
        <w:rPr>
          <w:rFonts w:ascii="Calibri" w:cs="Calibri" w:eastAsia="Calibri" w:hAnsi="Calibri"/>
          <w:b w:val="false"/>
          <w:bCs w:val="false"/>
          <w:i w:val="false"/>
          <w:iCs w:val="false"/>
          <w:color w:val="1B2432"/>
          <w:sz w:val="21"/>
          <w:szCs w:val="21"/>
        </w:rPr>
        <w:t xml:space="preserve">The single most persuasive thing a partner experiences is seeing their complete set of obligations at intake rather than discovering them over six weeks.</w:t>
      </w:r>
    </w:p>
    <w:p>
      <w:pPr>
        <w:pStyle w:val="ListParagraph"/>
        <w:numPr>
          <w:ilvl w:val="0"/>
          <w:numId w:val="3"/>
        </w:numPr>
        <w:spacing w:after="75"/>
      </w:pPr>
      <w:r>
        <w:rPr>
          <w:rFonts w:ascii="Calibri" w:cs="Calibri" w:eastAsia="Calibri" w:hAnsi="Calibri"/>
          <w:b/>
          <w:bCs/>
          <w:i w:val="false"/>
          <w:iCs w:val="false"/>
          <w:color w:val="1B2432"/>
          <w:sz w:val="21"/>
          <w:szCs w:val="21"/>
        </w:rPr>
        <w:t xml:space="preserve">Never force a tier change mid-intake. </w:t>
      </w:r>
      <w:r>
        <w:rPr>
          <w:rFonts w:ascii="Calibri" w:cs="Calibri" w:eastAsia="Calibri" w:hAnsi="Calibri"/>
          <w:b w:val="false"/>
          <w:bCs w:val="false"/>
          <w:i w:val="false"/>
          <w:iCs w:val="false"/>
          <w:color w:val="1B2432"/>
          <w:sz w:val="21"/>
          <w:szCs w:val="21"/>
        </w:rPr>
        <w:t xml:space="preserve">Downward re-tiering of in-flight work is how the model acquires its first horror story.</w:t>
      </w:r>
    </w:p>
    <w:p>
      <w:pPr>
        <w:pStyle w:val="Heading3"/>
        <w:spacing w:after="130" w:before="250"/>
      </w:pPr>
      <w:r>
        <w:rPr>
          <w:rFonts w:ascii="Calibri" w:cs="Calibri" w:eastAsia="Calibri" w:hAnsi="Calibri"/>
          <w:b/>
          <w:bCs/>
          <w:color w:val="1B2432"/>
          <w:sz w:val="23"/>
          <w:szCs w:val="23"/>
        </w:rPr>
        <w:t xml:space="preserve">Enabling squads</w:t>
      </w:r>
    </w:p>
    <w:p>
      <w:pPr>
        <w:pStyle w:val="ListParagraph"/>
        <w:numPr>
          <w:ilvl w:val="0"/>
          <w:numId w:val="3"/>
        </w:numPr>
        <w:spacing w:after="75"/>
      </w:pPr>
      <w:r>
        <w:rPr>
          <w:rFonts w:ascii="Calibri" w:cs="Calibri" w:eastAsia="Calibri" w:hAnsi="Calibri"/>
          <w:b/>
          <w:bCs/>
          <w:i w:val="false"/>
          <w:iCs w:val="false"/>
          <w:color w:val="1B2432"/>
          <w:sz w:val="21"/>
          <w:szCs w:val="21"/>
        </w:rPr>
        <w:t xml:space="preserve">Run the clinic with them, not at them. </w:t>
      </w:r>
      <w:r>
        <w:rPr>
          <w:rFonts w:ascii="Calibri" w:cs="Calibri" w:eastAsia="Calibri" w:hAnsi="Calibri"/>
          <w:b w:val="false"/>
          <w:bCs w:val="false"/>
          <w:i w:val="false"/>
          <w:iCs w:val="false"/>
          <w:color w:val="1B2432"/>
          <w:sz w:val="21"/>
          <w:szCs w:val="21"/>
        </w:rPr>
        <w:t xml:space="preserve">The squads are the people whose working week changes most. Involve them in defining the checkpoint format and the triage rules.</w:t>
      </w:r>
    </w:p>
    <w:p>
      <w:pPr>
        <w:pStyle w:val="ListParagraph"/>
        <w:numPr>
          <w:ilvl w:val="0"/>
          <w:numId w:val="3"/>
        </w:numPr>
        <w:spacing w:after="75"/>
      </w:pPr>
      <w:r>
        <w:rPr>
          <w:rFonts w:ascii="Calibri" w:cs="Calibri" w:eastAsia="Calibri" w:hAnsi="Calibri"/>
          <w:b/>
          <w:bCs/>
          <w:i w:val="false"/>
          <w:iCs w:val="false"/>
          <w:color w:val="1B2432"/>
          <w:sz w:val="21"/>
          <w:szCs w:val="21"/>
        </w:rPr>
        <w:t xml:space="preserve">Be honest about the role shift. </w:t>
      </w:r>
      <w:r>
        <w:rPr>
          <w:rFonts w:ascii="Calibri" w:cs="Calibri" w:eastAsia="Calibri" w:hAnsi="Calibri"/>
          <w:b w:val="false"/>
          <w:bCs w:val="false"/>
          <w:i w:val="false"/>
          <w:iCs w:val="false"/>
          <w:color w:val="1B2432"/>
          <w:sz w:val="21"/>
          <w:szCs w:val="21"/>
        </w:rPr>
        <w:t xml:space="preserve">Reviewing work you used to perform is a genuinely different skill, and not everyone will want it. Say so, and give people a route to the role that suits them — pod, clinic, platform or factory.</w:t>
      </w:r>
    </w:p>
    <w:p>
      <w:pPr>
        <w:pStyle w:val="ListParagraph"/>
        <w:numPr>
          <w:ilvl w:val="0"/>
          <w:numId w:val="3"/>
        </w:numPr>
        <w:spacing w:after="75"/>
      </w:pPr>
      <w:r>
        <w:rPr>
          <w:rFonts w:ascii="Calibri" w:cs="Calibri" w:eastAsia="Calibri" w:hAnsi="Calibri"/>
          <w:b/>
          <w:bCs/>
          <w:i w:val="false"/>
          <w:iCs w:val="false"/>
          <w:color w:val="1B2432"/>
          <w:sz w:val="21"/>
          <w:szCs w:val="21"/>
        </w:rPr>
        <w:t xml:space="preserve">Make pattern harvesting visible and credited. </w:t>
      </w:r>
      <w:r>
        <w:rPr>
          <w:rFonts w:ascii="Calibri" w:cs="Calibri" w:eastAsia="Calibri" w:hAnsi="Calibri"/>
          <w:b w:val="false"/>
          <w:bCs w:val="false"/>
          <w:i w:val="false"/>
          <w:iCs w:val="false"/>
          <w:color w:val="1B2432"/>
          <w:sz w:val="21"/>
          <w:szCs w:val="21"/>
        </w:rPr>
        <w:t xml:space="preserve">If producing a reusable pattern is invisible in how people are measured, it will not happen. This is the mechanism the whole model compounds on.</w:t>
      </w:r>
    </w:p>
    <w:p>
      <w:pPr>
        <w:pStyle w:val="ListParagraph"/>
        <w:numPr>
          <w:ilvl w:val="0"/>
          <w:numId w:val="3"/>
        </w:numPr>
        <w:spacing w:after="75"/>
      </w:pPr>
      <w:r>
        <w:rPr>
          <w:rFonts w:ascii="Calibri" w:cs="Calibri" w:eastAsia="Calibri" w:hAnsi="Calibri"/>
          <w:b/>
          <w:bCs/>
          <w:i w:val="false"/>
          <w:iCs w:val="false"/>
          <w:color w:val="1B2432"/>
          <w:sz w:val="21"/>
          <w:szCs w:val="21"/>
        </w:rPr>
        <w:t xml:space="preserve">Protect the tiger team publicly. </w:t>
      </w:r>
      <w:r>
        <w:rPr>
          <w:rFonts w:ascii="Calibri" w:cs="Calibri" w:eastAsia="Calibri" w:hAnsi="Calibri"/>
          <w:b w:val="false"/>
          <w:bCs w:val="false"/>
          <w:i w:val="false"/>
          <w:iCs w:val="false"/>
          <w:color w:val="1B2432"/>
          <w:sz w:val="21"/>
          <w:szCs w:val="21"/>
        </w:rPr>
        <w:t xml:space="preserve">The first time the platform team is pulled into a pressured delivery, every subsequent protection becomes negotiable.</w:t>
      </w:r>
    </w:p>
    <w:p>
      <w:pPr>
        <w:pStyle w:val="Heading2"/>
        <w:spacing w:after="170" w:before="320"/>
      </w:pPr>
      <w:r>
        <w:rPr>
          <w:rFonts w:ascii="Cambria" w:cs="Cambria" w:eastAsia="Cambria" w:hAnsi="Cambria"/>
          <w:b/>
          <w:bCs/>
          <w:color w:val="15304F"/>
          <w:sz w:val="27"/>
          <w:szCs w:val="27"/>
        </w:rPr>
        <w:t xml:space="preserve">15.8 Sprint plan at a glance</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1600"/>
        <w:gridCol w:w="2500"/>
        <w:gridCol w:w="2630"/>
        <w:gridCol w:w="2630"/>
      </w:tblGrid>
      <w:tr>
        <w:trPr>
          <w:tblHeader/>
        </w:trPr>
        <w:tc>
          <w:tcPr>
            <w:tcW w:type="dxa" w:w="16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Sprint</w:t>
            </w:r>
          </w:p>
        </w:tc>
        <w:tc>
          <w:tcPr>
            <w:tcW w:type="dxa" w:w="2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Theme</w:t>
            </w:r>
          </w:p>
        </w:tc>
        <w:tc>
          <w:tcPr>
            <w:tcW w:type="dxa" w:w="263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Key deliverable</w:t>
            </w:r>
          </w:p>
        </w:tc>
        <w:tc>
          <w:tcPr>
            <w:tcW w:type="dxa" w:w="263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Proof point</w:t>
            </w:r>
          </w:p>
        </w:tc>
      </w:tr>
      <w:tr>
        <w:tc>
          <w:tcPr>
            <w:tcW w:type="dxa" w:w="1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Sprint 1</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Complete the intake</w:t>
            </w:r>
          </w:p>
        </w:tc>
        <w:tc>
          <w:tcPr>
            <w:tcW w:type="dxa" w:w="263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Data catalogue and why-register; intake copilot; gap register; handoff contract</w:t>
            </w:r>
          </w:p>
        </w:tc>
        <w:tc>
          <w:tcPr>
            <w:tcW w:type="dxa" w:w="263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Three partners complete intakes unaided; clarification cycles measurably down</w:t>
            </w:r>
          </w:p>
        </w:tc>
      </w:tr>
      <w:tr>
        <w:tc>
          <w:tcPr>
            <w:tcW w:type="dxa" w:w="1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Sprint 2</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Make intake drive delivery</w:t>
            </w:r>
          </w:p>
        </w:tc>
        <w:tc>
          <w:tcPr>
            <w:tcW w:type="dxa" w:w="263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Scope derivation; tiering assistant; pattern matcher; precedent</w:t>
            </w:r>
          </w:p>
        </w:tc>
        <w:tc>
          <w:tcPr>
            <w:tcW w:type="dxa" w:w="263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Scope and tier derived automatically; real distribution known</w:t>
            </w:r>
          </w:p>
        </w:tc>
      </w:tr>
      <w:tr>
        <w:tc>
          <w:tcPr>
            <w:tcW w:type="dxa" w:w="1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Sprint 3</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Guardrails and the Clinic</w:t>
            </w:r>
          </w:p>
        </w:tc>
        <w:tc>
          <w:tcPr>
            <w:tcW w:type="dxa" w:w="263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Gate engine; routing rules; generation; clinic rhythm</w:t>
            </w:r>
          </w:p>
        </w:tc>
        <w:tc>
          <w:tcPr>
            <w:tcW w:type="dxa" w:w="263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Lean+ running with real checkpoints</w:t>
            </w:r>
          </w:p>
        </w:tc>
      </w:tr>
      <w:tr>
        <w:tc>
          <w:tcPr>
            <w:tcW w:type="dxa" w:w="1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Sprint 4</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Prove Lean</w:t>
            </w:r>
          </w:p>
        </w:tc>
        <w:tc>
          <w:tcPr>
            <w:tcW w:type="dxa" w:w="263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Self-service provisioning on one pattern; certification; cockpit</w:t>
            </w:r>
          </w:p>
        </w:tc>
        <w:tc>
          <w:tcPr>
            <w:tcW w:type="dxa" w:w="263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One partner live with no allocated capacity</w:t>
            </w:r>
          </w:p>
        </w:tc>
      </w:tr>
    </w:tbl>
    <w:p>
      <w:r>
        <w:br w:type="page"/>
      </w:r>
    </w:p>
    <w:p>
      <w:pPr>
        <w:pStyle w:val="Heading1"/>
        <w:spacing w:after="220" w:before="400"/>
      </w:pPr>
      <w:r>
        <w:rPr>
          <w:rFonts w:ascii="Cambria" w:cs="Cambria" w:eastAsia="Cambria" w:hAnsi="Cambria"/>
          <w:b/>
          <w:bCs/>
          <w:color w:val="15304F"/>
          <w:sz w:val="34"/>
          <w:szCs w:val="34"/>
        </w:rPr>
        <w:t xml:space="preserve">Part 16 — The Leadership View</w:t>
      </w:r>
    </w:p>
    <w:p>
      <w:pPr>
        <w:pStyle w:val="Heading2"/>
        <w:spacing w:after="170" w:before="320"/>
      </w:pPr>
      <w:r>
        <w:rPr>
          <w:rFonts w:ascii="Cambria" w:cs="Cambria" w:eastAsia="Cambria" w:hAnsi="Cambria"/>
          <w:b/>
          <w:bCs/>
          <w:color w:val="15304F"/>
          <w:sz w:val="27"/>
          <w:szCs w:val="27"/>
        </w:rPr>
        <w:t xml:space="preserve">16.1 What leadership is actually buying</w:t>
      </w:r>
    </w:p>
    <w:p>
      <w:pPr>
        <w:spacing w:after="130" w:before="0"/>
      </w:pPr>
      <w:r>
        <w:rPr>
          <w:rFonts w:ascii="Calibri" w:cs="Calibri" w:eastAsia="Calibri" w:hAnsi="Calibri"/>
          <w:b w:val="false"/>
          <w:bCs w:val="false"/>
          <w:i w:val="false"/>
          <w:iCs w:val="false"/>
          <w:color w:val="1B2432"/>
          <w:sz w:val="21"/>
          <w:szCs w:val="21"/>
        </w:rPr>
        <w:t xml:space="preserve">The temptation in presenting this is to lead with efficiency. That undersells it and invites the wrong challenge. What is actually on offer is a change in how ECM's capacity behaves as demand grows.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400"/>
        <w:gridCol w:w="3400"/>
        <w:gridCol w:w="3560"/>
      </w:tblGrid>
      <w:tr>
        <w:trPr>
          <w:tblHeader/>
        </w:trPr>
        <w:tc>
          <w:tcPr>
            <w:tcW w:type="dxa" w:w="24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
            </w:r>
          </w:p>
        </w:tc>
        <w:tc>
          <w:tcPr>
            <w:tcW w:type="dxa" w:w="34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Today</w:t>
            </w:r>
          </w:p>
        </w:tc>
        <w:tc>
          <w:tcPr>
            <w:tcW w:type="dxa" w:w="35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With the tiered model</w:t>
            </w:r>
          </w:p>
        </w:tc>
      </w:tr>
      <w:tr>
        <w:tc>
          <w:tcPr>
            <w:tcW w:type="dxa" w:w="24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Dominant source of delay</w:t>
            </w:r>
          </w:p>
        </w:tc>
        <w:tc>
          <w:tcPr>
            <w:tcW w:type="dxa" w:w="34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Missing data discovered late, cycle after cycle</w:t>
            </w:r>
          </w:p>
        </w:tc>
        <w:tc>
          <w:tcPr>
            <w:tcW w:type="dxa" w:w="3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Requirement known and explained at intake; unknowns dated and owned</w:t>
            </w:r>
          </w:p>
        </w:tc>
      </w:tr>
      <w:tr>
        <w:tc>
          <w:tcPr>
            <w:tcW w:type="dxa" w:w="24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Capacity behaviour</w:t>
            </w:r>
          </w:p>
        </w:tc>
        <w:tc>
          <w:tcPr>
            <w:tcW w:type="dxa" w:w="34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Linear with intake volume</w:t>
            </w:r>
          </w:p>
        </w:tc>
        <w:tc>
          <w:tcPr>
            <w:tcW w:type="dxa" w:w="3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Flat for Lean, sub-linear for Lean+, linear only for Dedicated</w:t>
            </w:r>
          </w:p>
        </w:tc>
      </w:tr>
      <w:tr>
        <w:tc>
          <w:tcPr>
            <w:tcW w:type="dxa" w:w="24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Response to a demand spike</w:t>
            </w:r>
          </w:p>
        </w:tc>
        <w:tc>
          <w:tcPr>
            <w:tcW w:type="dxa" w:w="34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Queue lengthens or headcount grows</w:t>
            </w:r>
          </w:p>
        </w:tc>
        <w:tc>
          <w:tcPr>
            <w:tcW w:type="dxa" w:w="3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Lighter tiers absorb it without additional capacity</w:t>
            </w:r>
          </w:p>
        </w:tc>
      </w:tr>
      <w:tr>
        <w:tc>
          <w:tcPr>
            <w:tcW w:type="dxa" w:w="24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Cost of the tenth identical onboarding</w:t>
            </w:r>
          </w:p>
        </w:tc>
        <w:tc>
          <w:tcPr>
            <w:tcW w:type="dxa" w:w="34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Same as the first</w:t>
            </w:r>
          </w:p>
        </w:tc>
        <w:tc>
          <w:tcPr>
            <w:tcW w:type="dxa" w:w="3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Near zero</w:t>
            </w:r>
          </w:p>
        </w:tc>
      </w:tr>
      <w:tr>
        <w:tc>
          <w:tcPr>
            <w:tcW w:type="dxa" w:w="24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Where senior engineers spend time</w:t>
            </w:r>
          </w:p>
        </w:tc>
        <w:tc>
          <w:tcPr>
            <w:tcW w:type="dxa" w:w="34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Spread across all intakes</w:t>
            </w:r>
          </w:p>
        </w:tc>
        <w:tc>
          <w:tcPr>
            <w:tcW w:type="dxa" w:w="3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Concentrated on genuine design</w:t>
            </w:r>
          </w:p>
        </w:tc>
      </w:tr>
      <w:tr>
        <w:tc>
          <w:tcPr>
            <w:tcW w:type="dxa" w:w="24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What a completed onboarding leaves behind</w:t>
            </w:r>
          </w:p>
        </w:tc>
        <w:tc>
          <w:tcPr>
            <w:tcW w:type="dxa" w:w="34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live partner</w:t>
            </w:r>
          </w:p>
        </w:tc>
        <w:tc>
          <w:tcPr>
            <w:tcW w:type="dxa" w:w="3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live partner and a reusable pattern</w:t>
            </w:r>
          </w:p>
        </w:tc>
      </w:tr>
      <w:tr>
        <w:tc>
          <w:tcPr>
            <w:tcW w:type="dxa" w:w="24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Knowledge retention</w:t>
            </w:r>
          </w:p>
        </w:tc>
        <w:tc>
          <w:tcPr>
            <w:tcW w:type="dxa" w:w="34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In individuals</w:t>
            </w:r>
          </w:p>
        </w:tc>
        <w:tc>
          <w:tcPr>
            <w:tcW w:type="dxa" w:w="3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In patterns, records and precedent</w:t>
            </w:r>
          </w:p>
        </w:tc>
      </w:tr>
      <w:tr>
        <w:tc>
          <w:tcPr>
            <w:tcW w:type="dxa" w:w="24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Risk posture</w:t>
            </w:r>
          </w:p>
        </w:tc>
        <w:tc>
          <w:tcPr>
            <w:tcW w:type="dxa" w:w="34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Depends on engineer attention</w:t>
            </w:r>
          </w:p>
        </w:tc>
        <w:tc>
          <w:tcPr>
            <w:tcW w:type="dxa" w:w="3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Enforced identically by the platform in every tier</w:t>
            </w:r>
          </w:p>
        </w:tc>
      </w:tr>
    </w:tbl>
    <w:p>
      <w:pPr>
        <w:spacing w:after="140"/>
      </w:pPr>
      <w:r>
        <w:t xml:space="preserve"/>
      </w:r>
    </w:p>
    <w:tbl>
      <w:tblPr>
        <w:tblW w:type="dxa" w:w="9360"/>
        <w:tblBorders>
          <w:top w:val="single" w:color="15304F" w:sz="6"/>
          <w:left w:val="single" w:color="15304F" w:sz="6"/>
          <w:bottom w:val="single" w:color="15304F" w:sz="6"/>
          <w:right w:val="single" w:color="15304F" w:sz="6"/>
          <w:insideH w:val="none"/>
          <w:insideV w:val="none"/>
        </w:tblBorders>
      </w:tblPr>
      <w:tblGrid>
        <w:gridCol w:w="9360"/>
      </w:tblGrid>
      <w:tr>
        <w:tc>
          <w:tcPr>
            <w:tcW w:type="dxa" w:w="9360"/>
            <w:shd w:fill="EEF2F7" w:color="auto" w:val="clear"/>
            <w:tcMar>
              <w:top w:type="dxa" w:w="140"/>
              <w:left w:type="dxa" w:w="165"/>
              <w:bottom w:type="dxa" w:w="140"/>
              <w:right w:type="dxa" w:w="165"/>
            </w:tcMar>
          </w:tcPr>
          <w:p>
            <w:pPr>
              <w:spacing w:after="85"/>
            </w:pPr>
            <w:r>
              <w:rPr>
                <w:rFonts w:ascii="Calibri" w:cs="Calibri" w:eastAsia="Calibri" w:hAnsi="Calibri"/>
                <w:b/>
                <w:bCs/>
                <w:color w:val="15304F"/>
                <w:sz w:val="20"/>
                <w:szCs w:val="20"/>
              </w:rPr>
              <w:t xml:space="preserve">THE SENTENCE TO LEAD WITH</w:t>
            </w:r>
          </w:p>
          <w:p>
            <w:pPr>
              <w:spacing w:after="65"/>
            </w:pPr>
            <w:r>
              <w:rPr>
                <w:rFonts w:ascii="Calibri" w:cs="Calibri" w:eastAsia="Calibri" w:hAnsi="Calibri"/>
                <w:color w:val="1B2432"/>
                <w:sz w:val="20"/>
                <w:szCs w:val="20"/>
              </w:rPr>
              <w:t xml:space="preserve">Today, ECM's capacity requirement is a direct function of partner demand, and the only lever is headcount.</w:t>
            </w:r>
          </w:p>
          <w:p>
            <w:pPr>
              <w:spacing w:after="65"/>
            </w:pPr>
            <w:r>
              <w:rPr>
                <w:rFonts w:ascii="Calibri" w:cs="Calibri" w:eastAsia="Calibri" w:hAnsi="Calibri"/>
                <w:color w:val="1B2432"/>
                <w:sz w:val="20"/>
                <w:szCs w:val="20"/>
              </w:rPr>
              <w:t xml:space="preserve">The tiered model breaks that relationship for the majority of intakes, so that growth in partner demand no longer translates directly into growth in labour — and the work that does still require people is the work that genuinely needs them.</w:t>
            </w:r>
          </w:p>
        </w:tc>
      </w:tr>
    </w:tbl>
    <w:p>
      <w:pPr>
        <w:pStyle w:val="Heading2"/>
        <w:spacing w:after="170" w:before="320"/>
      </w:pPr>
      <w:r>
        <w:rPr>
          <w:rFonts w:ascii="Cambria" w:cs="Cambria" w:eastAsia="Cambria" w:hAnsi="Cambria"/>
          <w:b/>
          <w:bCs/>
          <w:color w:val="15304F"/>
          <w:sz w:val="27"/>
          <w:szCs w:val="27"/>
        </w:rPr>
        <w:t xml:space="preserve">16.2 Gains by audience</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100"/>
        <w:gridCol w:w="3600"/>
        <w:gridCol w:w="3660"/>
      </w:tblGrid>
      <w:tr>
        <w:trPr>
          <w:tblHeader/>
        </w:trPr>
        <w:tc>
          <w:tcPr>
            <w:tcW w:type="dxa" w:w="21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Audience</w:t>
            </w:r>
          </w:p>
        </w:tc>
        <w:tc>
          <w:tcPr>
            <w:tcW w:type="dxa" w:w="36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Primary gain</w:t>
            </w:r>
          </w:p>
        </w:tc>
        <w:tc>
          <w:tcPr>
            <w:tcW w:type="dxa" w:w="36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How it is evidenced</w:t>
            </w:r>
          </w:p>
        </w:tc>
      </w:tr>
      <w:tr>
        <w:tc>
          <w:tcPr>
            <w:tcW w:type="dxa" w:w="21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Leadership</w:t>
            </w:r>
          </w:p>
        </w:tc>
        <w:tc>
          <w:tcPr>
            <w:tcW w:type="dxa" w:w="36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Capacity decoupled from demand; headroom without headcount</w:t>
            </w:r>
          </w:p>
        </w:tc>
        <w:tc>
          <w:tcPr>
            <w:tcW w:type="dxa" w:w="3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Intakes absorbed per period at constant headcount; tier distribution shifting over time</w:t>
            </w:r>
          </w:p>
        </w:tc>
      </w:tr>
      <w:tr>
        <w:tc>
          <w:tcPr>
            <w:tcW w:type="dxa" w:w="21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Partners</w:t>
            </w:r>
          </w:p>
        </w:tc>
        <w:tc>
          <w:tcPr>
            <w:tcW w:type="dxa" w:w="36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Know the full obligation on day one; faster start and shorter time to live; genuine partnership where it is needed</w:t>
            </w:r>
          </w:p>
        </w:tc>
        <w:tc>
          <w:tcPr>
            <w:tcW w:type="dxa" w:w="3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Elapsed time from intake to go-live by tier; clarification cycles per intake</w:t>
            </w:r>
          </w:p>
        </w:tc>
      </w:tr>
      <w:tr>
        <w:tc>
          <w:tcPr>
            <w:tcW w:type="dxa" w:w="21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Enabling squads</w:t>
            </w:r>
          </w:p>
        </w:tc>
        <w:tc>
          <w:tcPr>
            <w:tcW w:type="dxa" w:w="36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most draining work — explaining and chasing missing data — is done once by the catalogue rather than repeatedly by a person</w:t>
            </w:r>
          </w:p>
        </w:tc>
        <w:tc>
          <w:tcPr>
            <w:tcW w:type="dxa" w:w="3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Clarification cycles per intake; squad feedback; clinic triage volume</w:t>
            </w:r>
          </w:p>
        </w:tc>
      </w:tr>
      <w:tr>
        <w:tc>
          <w:tcPr>
            <w:tcW w:type="dxa" w:w="21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Governance and compliance</w:t>
            </w:r>
          </w:p>
        </w:tc>
        <w:tc>
          <w:tcPr>
            <w:tcW w:type="dxa" w:w="36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Controls enforced consistently rather than variably</w:t>
            </w:r>
          </w:p>
        </w:tc>
        <w:tc>
          <w:tcPr>
            <w:tcW w:type="dxa" w:w="3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Gate evaluation coverage; compliance findings on completed intakes; spot-audit results</w:t>
            </w:r>
          </w:p>
        </w:tc>
      </w:tr>
      <w:tr>
        <w:tc>
          <w:tcPr>
            <w:tcW w:type="dxa" w:w="21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Enterprise</w:t>
            </w:r>
          </w:p>
        </w:tc>
        <w:tc>
          <w:tcPr>
            <w:tcW w:type="dxa" w:w="36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Faster reduction of non-compliant content; a scalable onboarding pattern for future growth</w:t>
            </w:r>
          </w:p>
        </w:tc>
        <w:tc>
          <w:tcPr>
            <w:tcW w:type="dxa" w:w="3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Content remediated per campaign; repositories decommissioned</w:t>
            </w:r>
          </w:p>
        </w:tc>
      </w:tr>
      <w:tr>
        <w:tc>
          <w:tcPr>
            <w:tcW w:type="dxa" w:w="21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Records management</w:t>
            </w:r>
          </w:p>
        </w:tc>
        <w:tc>
          <w:tcPr>
            <w:tcW w:type="dxa" w:w="36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Determinations requested with complete submissions and a published turnaround</w:t>
            </w:r>
          </w:p>
        </w:tc>
        <w:tc>
          <w:tcPr>
            <w:tcW w:type="dxa" w:w="3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Determination cycle time; rework rate on questionnaires</w:t>
            </w:r>
          </w:p>
        </w:tc>
      </w:tr>
    </w:tbl>
    <w:p>
      <w:pPr>
        <w:pStyle w:val="Heading2"/>
        <w:spacing w:after="170" w:before="320"/>
      </w:pPr>
      <w:r>
        <w:rPr>
          <w:rFonts w:ascii="Cambria" w:cs="Cambria" w:eastAsia="Cambria" w:hAnsi="Cambria"/>
          <w:b/>
          <w:bCs/>
          <w:color w:val="15304F"/>
          <w:sz w:val="27"/>
          <w:szCs w:val="27"/>
        </w:rPr>
        <w:t xml:space="preserve">16.3 The leadership scorecard</w:t>
      </w:r>
    </w:p>
    <w:p>
      <w:pPr>
        <w:spacing w:after="130" w:before="0"/>
      </w:pPr>
      <w:r>
        <w:rPr>
          <w:rFonts w:ascii="Calibri" w:cs="Calibri" w:eastAsia="Calibri" w:hAnsi="Calibri"/>
          <w:b w:val="false"/>
          <w:bCs w:val="false"/>
          <w:i w:val="false"/>
          <w:iCs w:val="false"/>
          <w:color w:val="1B2432"/>
          <w:sz w:val="21"/>
          <w:szCs w:val="21"/>
        </w:rPr>
        <w:t xml:space="preserve">Eight measures, deliberately few. Each is available from the platform rather than assembled by hand, which is itself part of the point.</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600"/>
        <w:gridCol w:w="2500"/>
        <w:gridCol w:w="2200"/>
        <w:gridCol w:w="2060"/>
      </w:tblGrid>
      <w:tr>
        <w:trPr>
          <w:tblHeader/>
        </w:trPr>
        <w:tc>
          <w:tcPr>
            <w:tcW w:type="dxa" w:w="26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Measure</w:t>
            </w:r>
          </w:p>
        </w:tc>
        <w:tc>
          <w:tcPr>
            <w:tcW w:type="dxa" w:w="2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Why it is on the list</w:t>
            </w:r>
          </w:p>
        </w:tc>
        <w:tc>
          <w:tcPr>
            <w:tcW w:type="dxa" w:w="22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After 4 sprints</w:t>
            </w:r>
          </w:p>
        </w:tc>
        <w:tc>
          <w:tcPr>
            <w:tcW w:type="dxa" w:w="20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At 12 months</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Clarification cycles per intake</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Direct measure of the largest single source of delay</w:t>
            </w:r>
          </w:p>
        </w:tc>
        <w:tc>
          <w:tcPr>
            <w:tcW w:type="dxa" w:w="2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Baselined; measurably lower on pilots</w:t>
            </w:r>
          </w:p>
        </w:tc>
        <w:tc>
          <w:tcPr>
            <w:tcW w:type="dxa" w:w="20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Near zero on mature patterns</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Intake completeness at handoff</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Whether the data deficit is actually being closed at source</w:t>
            </w:r>
          </w:p>
        </w:tc>
        <w:tc>
          <w:tcPr>
            <w:tcW w:type="dxa" w:w="2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Certificate on every new intake</w:t>
            </w:r>
          </w:p>
        </w:tc>
        <w:tc>
          <w:tcPr>
            <w:tcW w:type="dxa" w:w="20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90%+ of applicable points answered or dated</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Tier distribution</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headline indicator of whether pattern investment is working</w:t>
            </w:r>
          </w:p>
        </w:tc>
        <w:tc>
          <w:tcPr>
            <w:tcW w:type="dxa" w:w="2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Known and baselined</w:t>
            </w:r>
          </w:p>
        </w:tc>
        <w:tc>
          <w:tcPr>
            <w:tcW w:type="dxa" w:w="20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40%+ Lean or Lean+</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Intakes absorbed per period</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capacity outcome leadership is buying</w:t>
            </w:r>
          </w:p>
        </w:tc>
        <w:tc>
          <w:tcPr>
            <w:tcW w:type="dxa" w:w="2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Baseline established</w:t>
            </w:r>
          </w:p>
        </w:tc>
        <w:tc>
          <w:tcPr>
            <w:tcW w:type="dxa" w:w="20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Rising at constant headcount</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Intake-to-live elapsed time, by tier</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Partner-visible value</w:t>
            </w:r>
          </w:p>
        </w:tc>
        <w:tc>
          <w:tcPr>
            <w:tcW w:type="dxa" w:w="2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First Lean comparison available</w:t>
            </w:r>
          </w:p>
        </w:tc>
        <w:tc>
          <w:tcPr>
            <w:tcW w:type="dxa" w:w="20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Lean materially below Dedicated</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Pattern maturity progression</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Leading indicator of future distribution</w:t>
            </w:r>
          </w:p>
        </w:tc>
        <w:tc>
          <w:tcPr>
            <w:tcW w:type="dxa" w:w="2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Three patterns at M2, one at M3</w:t>
            </w:r>
          </w:p>
        </w:tc>
        <w:tc>
          <w:tcPr>
            <w:tcW w:type="dxa" w:w="20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Twelve-plus patterns at M2 or above</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Pattern candidates per Dedicated closure</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Whether the compounding mechanism works</w:t>
            </w:r>
          </w:p>
        </w:tc>
        <w:tc>
          <w:tcPr>
            <w:tcW w:type="dxa" w:w="2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Process defined</w:t>
            </w:r>
          </w:p>
        </w:tc>
        <w:tc>
          <w:tcPr>
            <w:tcW w:type="dxa" w:w="20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One per closure</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Escalation rate out of Lean</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Whether tiering is accurate</w:t>
            </w:r>
          </w:p>
        </w:tc>
        <w:tc>
          <w:tcPr>
            <w:tcW w:type="dxa" w:w="2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Not yet meaningful</w:t>
            </w:r>
          </w:p>
        </w:tc>
        <w:tc>
          <w:tcPr>
            <w:tcW w:type="dxa" w:w="20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Below 20%</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Compliance findings on completed intakes</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Whether lighter tiers are safe</w:t>
            </w:r>
          </w:p>
        </w:tc>
        <w:tc>
          <w:tcPr>
            <w:tcW w:type="dxa" w:w="2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 regression</w:t>
            </w:r>
          </w:p>
        </w:tc>
        <w:tc>
          <w:tcPr>
            <w:tcW w:type="dxa" w:w="20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 increase on baseline</w:t>
            </w:r>
          </w:p>
        </w:tc>
      </w:tr>
    </w:tbl>
    <w:p>
      <w:pPr>
        <w:pStyle w:val="Heading2"/>
        <w:spacing w:after="170" w:before="320"/>
      </w:pPr>
      <w:r>
        <w:rPr>
          <w:rFonts w:ascii="Cambria" w:cs="Cambria" w:eastAsia="Cambria" w:hAnsi="Cambria"/>
          <w:b/>
          <w:bCs/>
          <w:color w:val="15304F"/>
          <w:sz w:val="27"/>
          <w:szCs w:val="27"/>
        </w:rPr>
        <w:t xml:space="preserve">16.4 What leadership will and will not see in eight weeks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4680"/>
        <w:gridCol w:w="4680"/>
      </w:tblGrid>
      <w:tr>
        <w:trPr>
          <w:tblHeader/>
        </w:trPr>
        <w:tc>
          <w:tcPr>
            <w:tcW w:type="dxa" w:w="468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Will see</w:t>
            </w:r>
          </w:p>
        </w:tc>
        <w:tc>
          <w:tcPr>
            <w:tcW w:type="dxa" w:w="468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Will not see</w:t>
            </w:r>
          </w:p>
        </w:tc>
      </w:tr>
      <w:tr>
        <w:tc>
          <w:tcPr>
            <w:tcW w:type="dxa" w:w="468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Whether the thirty-to-forty per cent estimate holds, measured rather than asserted</w:t>
            </w:r>
          </w:p>
        </w:tc>
        <w:tc>
          <w:tcPr>
            <w:tcW w:type="dxa" w:w="46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reduction in headcount</w:t>
            </w:r>
          </w:p>
        </w:tc>
      </w:tr>
      <w:tr>
        <w:tc>
          <w:tcPr>
            <w:tcW w:type="dxa" w:w="468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The real tier distribution of twelve months of historical demand</w:t>
            </w:r>
          </w:p>
        </w:tc>
        <w:tc>
          <w:tcPr>
            <w:tcW w:type="dxa" w:w="46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All partners migrated to the new model</w:t>
            </w:r>
          </w:p>
        </w:tc>
      </w:tr>
      <w:tr>
        <w:tc>
          <w:tcPr>
            <w:tcW w:type="dxa" w:w="468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Three partners producing complete intakes without an engineer</w:t>
            </w:r>
          </w:p>
        </w:tc>
        <w:tc>
          <w:tcPr>
            <w:tcW w:type="dxa" w:w="46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All thirty-eight scenarios patterned</w:t>
            </w:r>
          </w:p>
        </w:tc>
      </w:tr>
      <w:tr>
        <w:tc>
          <w:tcPr>
            <w:tcW w:type="dxa" w:w="468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Every intake arriving with a completeness certificate</w:t>
            </w:r>
          </w:p>
        </w:tc>
        <w:tc>
          <w:tcPr>
            <w:tcW w:type="dxa" w:w="46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Deep integration across downstream systems</w:t>
            </w:r>
          </w:p>
        </w:tc>
      </w:tr>
      <w:tr>
        <w:tc>
          <w:tcPr>
            <w:tcW w:type="dxa" w:w="468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Lean+ operating with real checkpoints and a named guide</w:t>
            </w:r>
          </w:p>
        </w:tc>
        <w:tc>
          <w:tcPr>
            <w:tcW w:type="dxa" w:w="46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validated full-year capacity saving</w:t>
            </w:r>
          </w:p>
        </w:tc>
      </w:tr>
      <w:tr>
        <w:tc>
          <w:tcPr>
            <w:tcW w:type="dxa" w:w="468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One partner live with no allocated ECM capacity</w:t>
            </w:r>
          </w:p>
        </w:tc>
        <w:tc>
          <w:tcPr>
            <w:tcW w:type="dxa" w:w="46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team re-organisation complete</w:t>
            </w:r>
          </w:p>
        </w:tc>
      </w:tr>
      <w:tr>
        <w:tc>
          <w:tcPr>
            <w:tcW w:type="dxa" w:w="468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A populated dashboard with real measurements</w:t>
            </w:r>
          </w:p>
        </w:tc>
        <w:tc>
          <w:tcPr>
            <w:tcW w:type="dxa" w:w="46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Migration Factory operating</w:t>
            </w:r>
          </w:p>
        </w:tc>
      </w:tr>
      <w:tr>
        <w:tc>
          <w:tcPr>
            <w:tcW w:type="dxa" w:w="468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Clarification cycles measurably lower on pilot intakes</w:t>
            </w:r>
          </w:p>
        </w:tc>
        <w:tc>
          <w:tcPr>
            <w:tcW w:type="dxa" w:w="46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perfected data catalogue — it improves continuously</w:t>
            </w:r>
          </w:p>
        </w:tc>
      </w:tr>
      <w:tr>
        <w:tc>
          <w:tcPr>
            <w:tcW w:type="dxa" w:w="468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Generated artefacts accepted by records management</w:t>
            </w:r>
          </w:p>
        </w:tc>
        <w:tc>
          <w:tcPr>
            <w:tcW w:type="dxa" w:w="46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The right-hand column matters as much as the left. A programme that over-promises at the eight-week mark loses the credibility it needs at the six-month mark, and the structural change proposed in Part 6 depends entirely on credibility accumulated in the first two quarters.</w:t>
      </w:r>
    </w:p>
    <w:p>
      <w:pPr>
        <w:pStyle w:val="Heading2"/>
        <w:spacing w:after="170" w:before="320"/>
      </w:pPr>
      <w:r>
        <w:rPr>
          <w:rFonts w:ascii="Cambria" w:cs="Cambria" w:eastAsia="Cambria" w:hAnsi="Cambria"/>
          <w:b/>
          <w:bCs/>
          <w:color w:val="15304F"/>
          <w:sz w:val="27"/>
          <w:szCs w:val="27"/>
        </w:rPr>
        <w:t xml:space="preserve">16.5 The three questions to ask at every checkpoint</w:t>
      </w:r>
    </w:p>
    <w:p>
      <w:pPr>
        <w:pStyle w:val="ListParagraph"/>
        <w:numPr>
          <w:ilvl w:val="0"/>
          <w:numId w:val="11"/>
        </w:numPr>
        <w:spacing w:after="75"/>
      </w:pPr>
      <w:r>
        <w:rPr>
          <w:rFonts w:ascii="Calibri" w:cs="Calibri" w:eastAsia="Calibri" w:hAnsi="Calibri"/>
          <w:color w:val="1B2432"/>
          <w:sz w:val="21"/>
          <w:szCs w:val="21"/>
        </w:rPr>
        <w:t xml:space="preserve">Is the tier distribution moving, and is the movement explained by pattern maturity rather than by softer assignment? A distribution that improves because tiering got lenient is a risk being taken, not a benefit being delivered.</w:t>
      </w:r>
    </w:p>
    <w:p>
      <w:pPr>
        <w:pStyle w:val="ListParagraph"/>
        <w:numPr>
          <w:ilvl w:val="0"/>
          <w:numId w:val="11"/>
        </w:numPr>
        <w:spacing w:after="75"/>
      </w:pPr>
      <w:r>
        <w:rPr>
          <w:rFonts w:ascii="Calibri" w:cs="Calibri" w:eastAsia="Calibri" w:hAnsi="Calibri"/>
          <w:color w:val="1B2432"/>
          <w:sz w:val="21"/>
          <w:szCs w:val="21"/>
        </w:rPr>
        <w:t xml:space="preserve">Are Dedicated intakes producing pattern candidates? If not, the compounding has stopped and the model has quietly become a one-off efficiency exercise.</w:t>
      </w:r>
    </w:p>
    <w:p>
      <w:pPr>
        <w:pStyle w:val="ListParagraph"/>
        <w:numPr>
          <w:ilvl w:val="0"/>
          <w:numId w:val="11"/>
        </w:numPr>
        <w:spacing w:after="75"/>
      </w:pPr>
      <w:r>
        <w:rPr>
          <w:rFonts w:ascii="Calibri" w:cs="Calibri" w:eastAsia="Calibri" w:hAnsi="Calibri"/>
          <w:color w:val="1B2432"/>
          <w:sz w:val="21"/>
          <w:szCs w:val="21"/>
        </w:rPr>
        <w:t xml:space="preserve">Has the platform team been pulled into delivery work? This is the single failure mode that ends the programme, and it is always justified at the time.</w:t>
      </w:r>
    </w:p>
    <w:p>
      <w:pPr>
        <w:pStyle w:val="Heading2"/>
        <w:spacing w:after="170" w:before="320"/>
      </w:pPr>
      <w:r>
        <w:rPr>
          <w:rFonts w:ascii="Cambria" w:cs="Cambria" w:eastAsia="Cambria" w:hAnsi="Cambria"/>
          <w:b/>
          <w:bCs/>
          <w:color w:val="15304F"/>
          <w:sz w:val="27"/>
          <w:szCs w:val="27"/>
        </w:rPr>
        <w:t xml:space="preserve">16.6 The decision to take now</w:t>
      </w:r>
    </w:p>
    <w:p>
      <w:pPr>
        <w:spacing w:after="130" w:before="0"/>
      </w:pPr>
      <w:r>
        <w:rPr>
          <w:rFonts w:ascii="Calibri" w:cs="Calibri" w:eastAsia="Calibri" w:hAnsi="Calibri"/>
          <w:b w:val="false"/>
          <w:bCs w:val="false"/>
          <w:i w:val="false"/>
          <w:iCs w:val="false"/>
          <w:color w:val="1B2432"/>
          <w:sz w:val="21"/>
          <w:szCs w:val="21"/>
        </w:rPr>
        <w:t xml:space="preserve">Four sprints, five to six people, no structural change, no headcount commitment, and no partner forced to do anything differently until they choose to. At the end of it leadership has real distribution data, three tiers demonstrated, one partner live under the lightest model, and a dashboard populated with measurements that do not exist today.</w:t>
      </w:r>
    </w:p>
    <w:p>
      <w:pPr>
        <w:spacing w:after="130" w:before="0"/>
      </w:pPr>
      <w:r>
        <w:rPr>
          <w:rFonts w:ascii="Calibri" w:cs="Calibri" w:eastAsia="Calibri" w:hAnsi="Calibri"/>
          <w:b w:val="false"/>
          <w:bCs w:val="false"/>
          <w:i w:val="false"/>
          <w:iCs w:val="false"/>
          <w:color w:val="1B2432"/>
          <w:sz w:val="21"/>
          <w:szCs w:val="21"/>
        </w:rPr>
        <w:t xml:space="preserve">That is a materially smaller commitment than the design in Parts 1 to 10 implies, and it is deliberately structured so that the expensive decisions — the team re-organisation, the platform investment, the migration factory — are taken against evidence produced in the first eight weeks rather than against the argument in this document.</w:t>
      </w:r>
    </w:p>
    <w:tbl>
      <w:tblPr>
        <w:tblW w:type="dxa" w:w="9360"/>
        <w:tblBorders>
          <w:top w:val="single" w:color="A44A2A" w:sz="6"/>
          <w:left w:val="single" w:color="A44A2A" w:sz="6"/>
          <w:bottom w:val="single" w:color="A44A2A" w:sz="6"/>
          <w:right w:val="single" w:color="A44A2A" w:sz="6"/>
          <w:insideH w:val="none"/>
          <w:insideV w:val="none"/>
        </w:tblBorders>
      </w:tblPr>
      <w:tblGrid>
        <w:gridCol w:w="9360"/>
      </w:tblGrid>
      <w:tr>
        <w:tc>
          <w:tcPr>
            <w:tcW w:type="dxa" w:w="9360"/>
            <w:shd w:fill="FDF5F1" w:color="auto" w:val="clear"/>
            <w:tcMar>
              <w:top w:type="dxa" w:w="140"/>
              <w:left w:type="dxa" w:w="165"/>
              <w:bottom w:type="dxa" w:w="140"/>
              <w:right w:type="dxa" w:w="165"/>
            </w:tcMar>
          </w:tcPr>
          <w:p>
            <w:pPr>
              <w:spacing w:after="85"/>
            </w:pPr>
            <w:r>
              <w:rPr>
                <w:rFonts w:ascii="Calibri" w:cs="Calibri" w:eastAsia="Calibri" w:hAnsi="Calibri"/>
                <w:b/>
                <w:bCs/>
                <w:color w:val="A44A2A"/>
                <w:sz w:val="20"/>
                <w:szCs w:val="20"/>
              </w:rPr>
              <w:t xml:space="preserve">THE ASK</w:t>
            </w:r>
          </w:p>
          <w:p>
            <w:pPr>
              <w:spacing w:after="65"/>
            </w:pPr>
            <w:r>
              <w:rPr>
                <w:rFonts w:ascii="Calibri" w:cs="Calibri" w:eastAsia="Calibri" w:hAnsi="Calibri"/>
                <w:color w:val="1B2432"/>
                <w:sz w:val="20"/>
                <w:szCs w:val="20"/>
              </w:rPr>
              <w:t xml:space="preserve">Approve a four-sprint pilot with a dedicated team of five to six people, protected from delivery work for the duration.</w:t>
            </w:r>
          </w:p>
          <w:p>
            <w:pPr>
              <w:spacing w:after="65"/>
            </w:pPr>
            <w:r>
              <w:rPr>
                <w:rFonts w:ascii="Calibri" w:cs="Calibri" w:eastAsia="Calibri" w:hAnsi="Calibri"/>
                <w:color w:val="1B2432"/>
                <w:sz w:val="20"/>
                <w:szCs w:val="20"/>
              </w:rPr>
              <w:t xml:space="preserve">Accept that Sprint 1 targets intake completeness from day one, ahead of any structural change — it is the largest single time saving, it benefits the current model as much as the target one, and it needs no decision beyond building it.</w:t>
            </w:r>
          </w:p>
          <w:p>
            <w:pPr>
              <w:spacing w:after="65"/>
            </w:pPr>
            <w:r>
              <w:rPr>
                <w:rFonts w:ascii="Calibri" w:cs="Calibri" w:eastAsia="Calibri" w:hAnsi="Calibri"/>
                <w:color w:val="1B2432"/>
                <w:sz w:val="20"/>
                <w:szCs w:val="20"/>
              </w:rPr>
              <w:t xml:space="preserve">Commission the retrospective scoring exercise in Sprint 1 regardless of any other decision — it is two days of effort and it tests the central assumption of this entire design.</w:t>
            </w:r>
          </w:p>
          <w:p>
            <w:pPr>
              <w:spacing w:after="65"/>
            </w:pPr>
            <w:r>
              <w:rPr>
                <w:rFonts w:ascii="Calibri" w:cs="Calibri" w:eastAsia="Calibri" w:hAnsi="Calibri"/>
                <w:color w:val="1B2432"/>
                <w:sz w:val="20"/>
                <w:szCs w:val="20"/>
              </w:rPr>
              <w:t xml:space="preserve">Agree that at the end of Sprint 4 the evidence is reviewed against the three questions in 16.5, and the structural decisions in Part 10.5 are taken then.</w:t>
            </w:r>
          </w:p>
        </w:tc>
      </w:tr>
    </w:tbl>
    <w:p>
      <w:r>
        <w:br w:type="page"/>
      </w:r>
    </w:p>
    <w:p>
      <w:pPr>
        <w:pStyle w:val="Heading1"/>
        <w:spacing w:after="220" w:before="400"/>
      </w:pPr>
      <w:r>
        <w:rPr>
          <w:rFonts w:ascii="Cambria" w:cs="Cambria" w:eastAsia="Cambria" w:hAnsi="Cambria"/>
          <w:b/>
          <w:bCs/>
          <w:color w:val="15304F"/>
          <w:sz w:val="34"/>
          <w:szCs w:val="34"/>
        </w:rPr>
        <w:t xml:space="preserve">Appendix A — The Thirty-Eight Scenarios, Tiered</w:t>
      </w:r>
    </w:p>
    <w:p>
      <w:pPr>
        <w:spacing w:after="130" w:before="0"/>
      </w:pPr>
      <w:r>
        <w:rPr>
          <w:rFonts w:ascii="Calibri" w:cs="Calibri" w:eastAsia="Calibri" w:hAnsi="Calibri"/>
          <w:b w:val="false"/>
          <w:bCs w:val="false"/>
          <w:i w:val="false"/>
          <w:iCs w:val="false"/>
          <w:color w:val="1B2432"/>
          <w:sz w:val="21"/>
          <w:szCs w:val="21"/>
        </w:rPr>
        <w:t xml:space="preserve">Scenario wording is reproduced from the ECM onboarding scenario list so that rows are directly recognisable. The determinant column shows the dimensions that drove the assessment, using the scoring defined in Part 4.2. The condition column states what would move the scenario to a different tier — in both directions.</w:t>
      </w:r>
    </w:p>
    <w:p>
      <w:pPr>
        <w:spacing w:after="100"/>
      </w:pPr>
      <w:r>
        <w:t xml:space="preserve"/>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480"/>
        <w:gridCol w:w="2850"/>
        <w:gridCol w:w="1780"/>
        <w:gridCol w:w="1180"/>
        <w:gridCol w:w="3070"/>
      </w:tblGrid>
      <w:tr>
        <w:trPr>
          <w:tblHeader/>
        </w:trPr>
        <w:tc>
          <w:tcPr>
            <w:tcW w:type="dxa" w:w="48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t>
            </w:r>
          </w:p>
        </w:tc>
        <w:tc>
          <w:tcPr>
            <w:tcW w:type="dxa" w:w="285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Scenario</w:t>
            </w:r>
          </w:p>
        </w:tc>
        <w:tc>
          <w:tcPr>
            <w:tcW w:type="dxa" w:w="178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Driving determinants</w:t>
            </w:r>
          </w:p>
        </w:tc>
        <w:tc>
          <w:tcPr>
            <w:tcW w:type="dxa" w:w="118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Entry tier</w:t>
            </w:r>
          </w:p>
        </w:tc>
        <w:tc>
          <w:tcPr>
            <w:tcW w:type="dxa" w:w="307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Condition / escalation</w:t>
            </w:r>
          </w:p>
        </w:tc>
      </w:tr>
      <w:tr>
        <w:tc>
          <w:tcPr>
            <w:tcW w:type="dxa" w:w="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w:t>
            </w:r>
          </w:p>
        </w:tc>
        <w:tc>
          <w:tcPr>
            <w:tcW w:type="dxa" w:w="28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New Apigee subscription to call services</w:t>
            </w:r>
          </w:p>
        </w:tc>
        <w:tc>
          <w:tcPr>
            <w:tcW w:type="dxa" w:w="17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D1:0 · no posture, retention or model change</w:t>
            </w:r>
          </w:p>
        </w:tc>
        <w:tc>
          <w:tcPr>
            <w:tcW w:type="dxa" w:w="1180"/>
            <w:shd w:fill="E6F2F1"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0B6E6E"/>
                <w:sz w:val="18"/>
                <w:szCs w:val="18"/>
              </w:rPr>
              <w:t xml:space="preserve">Lean</w:t>
            </w:r>
          </w:p>
        </w:tc>
        <w:tc>
          <w:tcPr>
            <w:tcW w:type="dxa" w:w="307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Escalates if the partner is not yet certified — a first intake is never Lean</w:t>
            </w:r>
          </w:p>
        </w:tc>
      </w:tr>
      <w:tr>
        <w:tc>
          <w:tcPr>
            <w:tcW w:type="dxa" w:w="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w:t>
            </w:r>
          </w:p>
        </w:tc>
        <w:tc>
          <w:tcPr>
            <w:tcW w:type="dxa" w:w="28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New subscriptions for an existing client — source or intermediary system moves, or a new system is added with nothing else changing</w:t>
            </w:r>
          </w:p>
        </w:tc>
        <w:tc>
          <w:tcPr>
            <w:tcW w:type="dxa" w:w="17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D1:0 · D7:1</w:t>
            </w:r>
          </w:p>
        </w:tc>
        <w:tc>
          <w:tcPr>
            <w:tcW w:type="dxa" w:w="1180"/>
            <w:shd w:fill="E6F2F1"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0B6E6E"/>
                <w:sz w:val="18"/>
                <w:szCs w:val="18"/>
              </w:rPr>
              <w:t xml:space="preserve">Lean</w:t>
            </w:r>
          </w:p>
        </w:tc>
        <w:tc>
          <w:tcPr>
            <w:tcW w:type="dxa" w:w="307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Escalates if the new system sits in a different network zone</w:t>
            </w:r>
          </w:p>
        </w:tc>
      </w:tr>
      <w:tr>
        <w:tc>
          <w:tcPr>
            <w:tcW w:type="dxa" w:w="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w:t>
            </w:r>
          </w:p>
        </w:tc>
        <w:tc>
          <w:tcPr>
            <w:tcW w:type="dxa" w:w="28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Existing partner calls services they do not call today — scope update, new subscriptions, implementation</w:t>
            </w:r>
          </w:p>
        </w:tc>
        <w:tc>
          <w:tcPr>
            <w:tcW w:type="dxa" w:w="17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D1:1 · D7:1</w:t>
            </w:r>
          </w:p>
        </w:tc>
        <w:tc>
          <w:tcPr>
            <w:tcW w:type="dxa" w:w="1180"/>
            <w:shd w:fill="FAF1DF"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9A6410"/>
                <w:sz w:val="18"/>
                <w:szCs w:val="18"/>
              </w:rPr>
              <w:t xml:space="preserve">Lean+</w:t>
            </w:r>
          </w:p>
        </w:tc>
        <w:tc>
          <w:tcPr>
            <w:tcW w:type="dxa" w:w="307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Moves to Lean once the service-extension pattern reaches M3</w:t>
            </w:r>
          </w:p>
        </w:tc>
      </w:tr>
      <w:tr>
        <w:tc>
          <w:tcPr>
            <w:tcW w:type="dxa" w:w="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4</w:t>
            </w:r>
          </w:p>
        </w:tc>
        <w:tc>
          <w:tcPr>
            <w:tcW w:type="dxa" w:w="28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Upgrading subscription tier</w:t>
            </w:r>
          </w:p>
        </w:tc>
        <w:tc>
          <w:tcPr>
            <w:tcW w:type="dxa" w:w="17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D1:0 · D6:1</w:t>
            </w:r>
          </w:p>
        </w:tc>
        <w:tc>
          <w:tcPr>
            <w:tcW w:type="dxa" w:w="1180"/>
            <w:shd w:fill="E6F2F1"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0B6E6E"/>
                <w:sz w:val="18"/>
                <w:szCs w:val="18"/>
              </w:rPr>
              <w:t xml:space="preserve">Lean</w:t>
            </w:r>
          </w:p>
        </w:tc>
        <w:tc>
          <w:tcPr>
            <w:tcW w:type="dxa" w:w="307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Escalates to Lean+ if the tier change crosses a load-testing threshold</w:t>
            </w:r>
          </w:p>
        </w:tc>
      </w:tr>
      <w:tr>
        <w:tc>
          <w:tcPr>
            <w:tcW w:type="dxa" w:w="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5</w:t>
            </w:r>
          </w:p>
        </w:tc>
        <w:tc>
          <w:tcPr>
            <w:tcW w:type="dxa" w:w="28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Move from APIGEE-based ingestion to KAFKA-based ingestion</w:t>
            </w:r>
          </w:p>
        </w:tc>
        <w:tc>
          <w:tcPr>
            <w:tcW w:type="dxa" w:w="17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D1:1 · D6:1</w:t>
            </w:r>
          </w:p>
        </w:tc>
        <w:tc>
          <w:tcPr>
            <w:tcW w:type="dxa" w:w="1180"/>
            <w:shd w:fill="FAF1DF"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9A6410"/>
                <w:sz w:val="18"/>
                <w:szCs w:val="18"/>
              </w:rPr>
              <w:t xml:space="preserve">Lean+</w:t>
            </w:r>
          </w:p>
        </w:tc>
        <w:tc>
          <w:tcPr>
            <w:tcW w:type="dxa" w:w="307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Dedicated if reconciliation semantics change materially</w:t>
            </w:r>
          </w:p>
        </w:tc>
      </w:tr>
      <w:tr>
        <w:tc>
          <w:tcPr>
            <w:tcW w:type="dxa" w:w="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6</w:t>
            </w:r>
          </w:p>
        </w:tc>
        <w:tc>
          <w:tcPr>
            <w:tcW w:type="dxa" w:w="28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Move from NAS-based ingestion to APIGEE or KAFKA, using S3 as a staging area</w:t>
            </w:r>
          </w:p>
        </w:tc>
        <w:tc>
          <w:tcPr>
            <w:tcW w:type="dxa" w:w="17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D1:2 · D5:1 · D6:2</w:t>
            </w:r>
          </w:p>
        </w:tc>
        <w:tc>
          <w:tcPr>
            <w:tcW w:type="dxa" w:w="1180"/>
            <w:shd w:fill="E8EDF4"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15304F"/>
                <w:sz w:val="18"/>
                <w:szCs w:val="18"/>
              </w:rPr>
              <w:t xml:space="preserve">Dedicated</w:t>
            </w:r>
          </w:p>
        </w:tc>
        <w:tc>
          <w:tcPr>
            <w:tcW w:type="dxa" w:w="307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Lean+ once the staged-migration pattern is harvested to M2</w:t>
            </w:r>
          </w:p>
        </w:tc>
      </w:tr>
      <w:tr>
        <w:tc>
          <w:tcPr>
            <w:tcW w:type="dxa" w:w="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7</w:t>
            </w:r>
          </w:p>
        </w:tc>
        <w:tc>
          <w:tcPr>
            <w:tcW w:type="dxa" w:w="28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Move from UI-based ingestion to APIGEE or KAFKA ingestion</w:t>
            </w:r>
          </w:p>
        </w:tc>
        <w:tc>
          <w:tcPr>
            <w:tcW w:type="dxa" w:w="17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D1:1 · D6:1</w:t>
            </w:r>
          </w:p>
        </w:tc>
        <w:tc>
          <w:tcPr>
            <w:tcW w:type="dxa" w:w="1180"/>
            <w:shd w:fill="FAF1DF"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9A6410"/>
                <w:sz w:val="18"/>
                <w:szCs w:val="18"/>
              </w:rPr>
              <w:t xml:space="preserve">Lean+</w:t>
            </w:r>
          </w:p>
        </w:tc>
        <w:tc>
          <w:tcPr>
            <w:tcW w:type="dxa" w:w="307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Dedicated if the content was never API-classified; Lean once pattern is M3</w:t>
            </w:r>
          </w:p>
        </w:tc>
      </w:tr>
      <w:tr>
        <w:tc>
          <w:tcPr>
            <w:tcW w:type="dxa" w:w="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8</w:t>
            </w:r>
          </w:p>
        </w:tc>
        <w:tc>
          <w:tcPr>
            <w:tcW w:type="dxa" w:w="28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Notification only — consume topics, no ingestion</w:t>
            </w:r>
          </w:p>
        </w:tc>
        <w:tc>
          <w:tcPr>
            <w:tcW w:type="dxa" w:w="17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D1:0</w:t>
            </w:r>
          </w:p>
        </w:tc>
        <w:tc>
          <w:tcPr>
            <w:tcW w:type="dxa" w:w="1180"/>
            <w:shd w:fill="E6F2F1"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0B6E6E"/>
                <w:sz w:val="18"/>
                <w:szCs w:val="18"/>
              </w:rPr>
              <w:t xml:space="preserve">Lean</w:t>
            </w:r>
          </w:p>
        </w:tc>
        <w:tc>
          <w:tcPr>
            <w:tcW w:type="dxa" w:w="307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t>
            </w:r>
          </w:p>
        </w:tc>
      </w:tr>
      <w:tr>
        <w:tc>
          <w:tcPr>
            <w:tcW w:type="dxa" w:w="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9</w:t>
            </w:r>
          </w:p>
        </w:tc>
        <w:tc>
          <w:tcPr>
            <w:tcW w:type="dxa" w:w="28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Existing patterns, new content, same flows</w:t>
            </w:r>
          </w:p>
        </w:tc>
        <w:tc>
          <w:tcPr>
            <w:tcW w:type="dxa" w:w="17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D1:0 · D2:1</w:t>
            </w:r>
          </w:p>
        </w:tc>
        <w:tc>
          <w:tcPr>
            <w:tcW w:type="dxa" w:w="1180"/>
            <w:shd w:fill="E6F2F1"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0B6E6E"/>
                <w:sz w:val="18"/>
                <w:szCs w:val="18"/>
              </w:rPr>
              <w:t xml:space="preserve">Lean</w:t>
            </w:r>
          </w:p>
        </w:tc>
        <w:tc>
          <w:tcPr>
            <w:tcW w:type="dxa" w:w="307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Escalates if any new document type has no determination</w:t>
            </w:r>
          </w:p>
        </w:tc>
      </w:tr>
      <w:tr>
        <w:tc>
          <w:tcPr>
            <w:tcW w:type="dxa" w:w="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10</w:t>
            </w:r>
          </w:p>
        </w:tc>
        <w:tc>
          <w:tcPr>
            <w:tcW w:type="dxa" w:w="28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Existing patterns, new content, new flows</w:t>
            </w:r>
          </w:p>
        </w:tc>
        <w:tc>
          <w:tcPr>
            <w:tcW w:type="dxa" w:w="17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D1:1 · D2:1</w:t>
            </w:r>
          </w:p>
        </w:tc>
        <w:tc>
          <w:tcPr>
            <w:tcW w:type="dxa" w:w="1180"/>
            <w:shd w:fill="FAF1DF"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9A6410"/>
                <w:sz w:val="18"/>
                <w:szCs w:val="18"/>
              </w:rPr>
              <w:t xml:space="preserve">Lean+</w:t>
            </w:r>
          </w:p>
        </w:tc>
        <w:tc>
          <w:tcPr>
            <w:tcW w:type="dxa" w:w="307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Dedicated if the new flow crosses trust postures</w:t>
            </w:r>
          </w:p>
        </w:tc>
      </w:tr>
      <w:tr>
        <w:tc>
          <w:tcPr>
            <w:tcW w:type="dxa" w:w="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11</w:t>
            </w:r>
          </w:p>
        </w:tc>
        <w:tc>
          <w:tcPr>
            <w:tcW w:type="dxa" w:w="28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Existing patterns, content and flows — volume increase only</w:t>
            </w:r>
          </w:p>
        </w:tc>
        <w:tc>
          <w:tcPr>
            <w:tcW w:type="dxa" w:w="17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D6:2</w:t>
            </w:r>
          </w:p>
        </w:tc>
        <w:tc>
          <w:tcPr>
            <w:tcW w:type="dxa" w:w="1180"/>
            <w:shd w:fill="FAF1DF"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9A6410"/>
                <w:sz w:val="18"/>
                <w:szCs w:val="18"/>
              </w:rPr>
              <w:t xml:space="preserve">Lean+</w:t>
            </w:r>
          </w:p>
        </w:tc>
        <w:tc>
          <w:tcPr>
            <w:tcW w:type="dxa" w:w="307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Dedicated if migration-scale or peak redesign is required</w:t>
            </w:r>
          </w:p>
        </w:tc>
      </w:tr>
      <w:tr>
        <w:tc>
          <w:tcPr>
            <w:tcW w:type="dxa" w:w="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12</w:t>
            </w:r>
          </w:p>
        </w:tc>
        <w:tc>
          <w:tcPr>
            <w:tcW w:type="dxa" w:w="28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Existing partner, content and flows — updates to the data model</w:t>
            </w:r>
          </w:p>
        </w:tc>
        <w:tc>
          <w:tcPr>
            <w:tcW w:type="dxa" w:w="17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D5:1–3</w:t>
            </w:r>
          </w:p>
        </w:tc>
        <w:tc>
          <w:tcPr>
            <w:tcW w:type="dxa" w:w="1180"/>
            <w:shd w:fill="FAF1DF"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9A6410"/>
                <w:sz w:val="18"/>
                <w:szCs w:val="18"/>
              </w:rPr>
              <w:t xml:space="preserve">Lean+</w:t>
            </w:r>
          </w:p>
        </w:tc>
        <w:tc>
          <w:tcPr>
            <w:tcW w:type="dxa" w:w="307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Dedicated if historical content is affected — hard override</w:t>
            </w:r>
          </w:p>
        </w:tc>
      </w:tr>
      <w:tr>
        <w:tc>
          <w:tcPr>
            <w:tcW w:type="dxa" w:w="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13</w:t>
            </w:r>
          </w:p>
        </w:tc>
        <w:tc>
          <w:tcPr>
            <w:tcW w:type="dxa" w:w="28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Untrusted content: move from legacy KOFAX to IRM</w:t>
            </w:r>
          </w:p>
        </w:tc>
        <w:tc>
          <w:tcPr>
            <w:tcW w:type="dxa" w:w="17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D4:2</w:t>
            </w:r>
          </w:p>
        </w:tc>
        <w:tc>
          <w:tcPr>
            <w:tcW w:type="dxa" w:w="1180"/>
            <w:shd w:fill="FAF1DF"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9A6410"/>
                <w:sz w:val="18"/>
                <w:szCs w:val="18"/>
              </w:rPr>
              <w:t xml:space="preserve">Lean+</w:t>
            </w:r>
          </w:p>
        </w:tc>
        <w:tc>
          <w:tcPr>
            <w:tcW w:type="dxa" w:w="307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Dedicated if new document types accompany the move</w:t>
            </w:r>
          </w:p>
        </w:tc>
      </w:tr>
      <w:tr>
        <w:tc>
          <w:tcPr>
            <w:tcW w:type="dxa" w:w="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14</w:t>
            </w:r>
          </w:p>
        </w:tc>
        <w:tc>
          <w:tcPr>
            <w:tcW w:type="dxa" w:w="28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Untrusted content: move from legacy KOFAX to iDocs AI classification</w:t>
            </w:r>
          </w:p>
        </w:tc>
        <w:tc>
          <w:tcPr>
            <w:tcW w:type="dxa" w:w="17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D4:3 · D2:2</w:t>
            </w:r>
          </w:p>
        </w:tc>
        <w:tc>
          <w:tcPr>
            <w:tcW w:type="dxa" w:w="1180"/>
            <w:shd w:fill="E8EDF4"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15304F"/>
                <w:sz w:val="18"/>
                <w:szCs w:val="18"/>
              </w:rPr>
              <w:t xml:space="preserve">Dedicated</w:t>
            </w:r>
          </w:p>
        </w:tc>
        <w:tc>
          <w:tcPr>
            <w:tcW w:type="dxa" w:w="307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DKE coverage must be assessed before scoping; extension sits on the critical path</w:t>
            </w:r>
          </w:p>
        </w:tc>
      </w:tr>
      <w:tr>
        <w:tc>
          <w:tcPr>
            <w:tcW w:type="dxa" w:w="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15</w:t>
            </w:r>
          </w:p>
        </w:tc>
        <w:tc>
          <w:tcPr>
            <w:tcW w:type="dxa" w:w="28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Untrusted content: move from IRM to iDocs AI classification</w:t>
            </w:r>
          </w:p>
        </w:tc>
        <w:tc>
          <w:tcPr>
            <w:tcW w:type="dxa" w:w="17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D4:3 · D2:2</w:t>
            </w:r>
          </w:p>
        </w:tc>
        <w:tc>
          <w:tcPr>
            <w:tcW w:type="dxa" w:w="1180"/>
            <w:shd w:fill="E8EDF4"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15304F"/>
                <w:sz w:val="18"/>
                <w:szCs w:val="18"/>
              </w:rPr>
              <w:t xml:space="preserve">Dedicated</w:t>
            </w:r>
          </w:p>
        </w:tc>
        <w:tc>
          <w:tcPr>
            <w:tcW w:type="dxa" w:w="307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As above</w:t>
            </w:r>
          </w:p>
        </w:tc>
      </w:tr>
      <w:tr>
        <w:tc>
          <w:tcPr>
            <w:tcW w:type="dxa" w:w="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16</w:t>
            </w:r>
          </w:p>
        </w:tc>
        <w:tc>
          <w:tcPr>
            <w:tcW w:type="dxa" w:w="28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Untrusted content on KOFAX or IRM — enable offline dry run through iDocs</w:t>
            </w:r>
          </w:p>
        </w:tc>
        <w:tc>
          <w:tcPr>
            <w:tcW w:type="dxa" w:w="17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D4:1</w:t>
            </w:r>
          </w:p>
        </w:tc>
        <w:tc>
          <w:tcPr>
            <w:tcW w:type="dxa" w:w="1180"/>
            <w:shd w:fill="FAF1DF"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9A6410"/>
                <w:sz w:val="18"/>
                <w:szCs w:val="18"/>
              </w:rPr>
              <w:t xml:space="preserve">Lean+</w:t>
            </w:r>
          </w:p>
        </w:tc>
        <w:tc>
          <w:tcPr>
            <w:tcW w:type="dxa" w:w="307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Moves to Lean once the dry-run pattern reaches M3</w:t>
            </w:r>
          </w:p>
        </w:tc>
      </w:tr>
      <w:tr>
        <w:tc>
          <w:tcPr>
            <w:tcW w:type="dxa" w:w="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17</w:t>
            </w:r>
          </w:p>
        </w:tc>
        <w:tc>
          <w:tcPr>
            <w:tcW w:type="dxa" w:w="28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Untrusted content on KOFAX or IRM — enable online dry run through iDocs</w:t>
            </w:r>
          </w:p>
        </w:tc>
        <w:tc>
          <w:tcPr>
            <w:tcW w:type="dxa" w:w="17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D4:1 · D7:1</w:t>
            </w:r>
          </w:p>
        </w:tc>
        <w:tc>
          <w:tcPr>
            <w:tcW w:type="dxa" w:w="1180"/>
            <w:shd w:fill="FAF1DF"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9A6410"/>
                <w:sz w:val="18"/>
                <w:szCs w:val="18"/>
              </w:rPr>
              <w:t xml:space="preserve">Lean+</w:t>
            </w:r>
          </w:p>
        </w:tc>
        <w:tc>
          <w:tcPr>
            <w:tcW w:type="dxa" w:w="307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Dedicated if shadow traffic materially affects live throughput</w:t>
            </w:r>
          </w:p>
        </w:tc>
      </w:tr>
      <w:tr>
        <w:tc>
          <w:tcPr>
            <w:tcW w:type="dxa" w:w="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18</w:t>
            </w:r>
          </w:p>
        </w:tc>
        <w:tc>
          <w:tcPr>
            <w:tcW w:type="dxa" w:w="28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Change offline or online dry run to live iDocs classification</w:t>
            </w:r>
          </w:p>
        </w:tc>
        <w:tc>
          <w:tcPr>
            <w:tcW w:type="dxa" w:w="17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D4:3 · D2:3</w:t>
            </w:r>
          </w:p>
        </w:tc>
        <w:tc>
          <w:tcPr>
            <w:tcW w:type="dxa" w:w="1180"/>
            <w:shd w:fill="E8EDF4"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15304F"/>
                <w:sz w:val="18"/>
                <w:szCs w:val="18"/>
              </w:rPr>
              <w:t xml:space="preserve">Dedicated</w:t>
            </w:r>
          </w:p>
        </w:tc>
        <w:tc>
          <w:tcPr>
            <w:tcW w:type="dxa" w:w="307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Hard override — trust posture changes on live content</w:t>
            </w:r>
          </w:p>
        </w:tc>
      </w:tr>
      <w:tr>
        <w:tc>
          <w:tcPr>
            <w:tcW w:type="dxa" w:w="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19</w:t>
            </w:r>
          </w:p>
        </w:tc>
        <w:tc>
          <w:tcPr>
            <w:tcW w:type="dxa" w:w="28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New ingestions — trusted and regulated</w:t>
            </w:r>
          </w:p>
        </w:tc>
        <w:tc>
          <w:tcPr>
            <w:tcW w:type="dxa" w:w="17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D3:3</w:t>
            </w:r>
          </w:p>
        </w:tc>
        <w:tc>
          <w:tcPr>
            <w:tcW w:type="dxa" w:w="1180"/>
            <w:shd w:fill="E8EDF4"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15304F"/>
                <w:sz w:val="18"/>
                <w:szCs w:val="18"/>
              </w:rPr>
              <w:t xml:space="preserve">Dedicated</w:t>
            </w:r>
          </w:p>
        </w:tc>
        <w:tc>
          <w:tcPr>
            <w:tcW w:type="dxa" w:w="307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Hard override — new regulated retention position</w:t>
            </w:r>
          </w:p>
        </w:tc>
      </w:tr>
      <w:tr>
        <w:tc>
          <w:tcPr>
            <w:tcW w:type="dxa" w:w="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20</w:t>
            </w:r>
          </w:p>
        </w:tc>
        <w:tc>
          <w:tcPr>
            <w:tcW w:type="dxa" w:w="28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New ingestions — trusted and non-regulated</w:t>
            </w:r>
          </w:p>
        </w:tc>
        <w:tc>
          <w:tcPr>
            <w:tcW w:type="dxa" w:w="17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D1:1 · D3:2</w:t>
            </w:r>
          </w:p>
        </w:tc>
        <w:tc>
          <w:tcPr>
            <w:tcW w:type="dxa" w:w="1180"/>
            <w:shd w:fill="FAF1DF"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9A6410"/>
                <w:sz w:val="18"/>
                <w:szCs w:val="18"/>
              </w:rPr>
              <w:t xml:space="preserve">Lean+</w:t>
            </w:r>
          </w:p>
        </w:tc>
        <w:tc>
          <w:tcPr>
            <w:tcW w:type="dxa" w:w="307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Moves to Lean once the trusted non-regulated pattern reaches M3</w:t>
            </w:r>
          </w:p>
        </w:tc>
      </w:tr>
      <w:tr>
        <w:tc>
          <w:tcPr>
            <w:tcW w:type="dxa" w:w="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21</w:t>
            </w:r>
          </w:p>
        </w:tc>
        <w:tc>
          <w:tcPr>
            <w:tcW w:type="dxa" w:w="28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New ingestions — untrusted and regulated</w:t>
            </w:r>
          </w:p>
        </w:tc>
        <w:tc>
          <w:tcPr>
            <w:tcW w:type="dxa" w:w="17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D2:2 · D3:3 · D4:2</w:t>
            </w:r>
          </w:p>
        </w:tc>
        <w:tc>
          <w:tcPr>
            <w:tcW w:type="dxa" w:w="1180"/>
            <w:shd w:fill="E8EDF4"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15304F"/>
                <w:sz w:val="18"/>
                <w:szCs w:val="18"/>
              </w:rPr>
              <w:t xml:space="preserve">Dedicated</w:t>
            </w:r>
          </w:p>
        </w:tc>
        <w:tc>
          <w:tcPr>
            <w:tcW w:type="dxa" w:w="307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Hard override</w:t>
            </w:r>
          </w:p>
        </w:tc>
      </w:tr>
      <w:tr>
        <w:tc>
          <w:tcPr>
            <w:tcW w:type="dxa" w:w="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22</w:t>
            </w:r>
          </w:p>
        </w:tc>
        <w:tc>
          <w:tcPr>
            <w:tcW w:type="dxa" w:w="28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New ingestions — untrusted and non-regulated</w:t>
            </w:r>
          </w:p>
        </w:tc>
        <w:tc>
          <w:tcPr>
            <w:tcW w:type="dxa" w:w="17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D2:2 · D4:2</w:t>
            </w:r>
          </w:p>
        </w:tc>
        <w:tc>
          <w:tcPr>
            <w:tcW w:type="dxa" w:w="1180"/>
            <w:shd w:fill="FAF1DF"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9A6410"/>
                <w:sz w:val="18"/>
                <w:szCs w:val="18"/>
              </w:rPr>
              <w:t xml:space="preserve">Lean+</w:t>
            </w:r>
          </w:p>
        </w:tc>
        <w:tc>
          <w:tcPr>
            <w:tcW w:type="dxa" w:w="307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Dedicated if DKE coverage is thin for the document types in scope</w:t>
            </w:r>
          </w:p>
        </w:tc>
      </w:tr>
      <w:tr>
        <w:tc>
          <w:tcPr>
            <w:tcW w:type="dxa" w:w="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23</w:t>
            </w:r>
          </w:p>
        </w:tc>
        <w:tc>
          <w:tcPr>
            <w:tcW w:type="dxa" w:w="28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New ingestions — trusted and untrusted, regulated</w:t>
            </w:r>
          </w:p>
        </w:tc>
        <w:tc>
          <w:tcPr>
            <w:tcW w:type="dxa" w:w="17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D2:2 · D3:3 · D7:1</w:t>
            </w:r>
          </w:p>
        </w:tc>
        <w:tc>
          <w:tcPr>
            <w:tcW w:type="dxa" w:w="1180"/>
            <w:shd w:fill="E8EDF4"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15304F"/>
                <w:sz w:val="18"/>
                <w:szCs w:val="18"/>
              </w:rPr>
              <w:t xml:space="preserve">Dedicated</w:t>
            </w:r>
          </w:p>
        </w:tc>
        <w:tc>
          <w:tcPr>
            <w:tcW w:type="dxa" w:w="307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Hard override</w:t>
            </w:r>
          </w:p>
        </w:tc>
      </w:tr>
      <w:tr>
        <w:tc>
          <w:tcPr>
            <w:tcW w:type="dxa" w:w="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24</w:t>
            </w:r>
          </w:p>
        </w:tc>
        <w:tc>
          <w:tcPr>
            <w:tcW w:type="dxa" w:w="28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New ingestions — trusted and untrusted, non-regulated</w:t>
            </w:r>
          </w:p>
        </w:tc>
        <w:tc>
          <w:tcPr>
            <w:tcW w:type="dxa" w:w="17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D2:2 · D7:1</w:t>
            </w:r>
          </w:p>
        </w:tc>
        <w:tc>
          <w:tcPr>
            <w:tcW w:type="dxa" w:w="1180"/>
            <w:shd w:fill="E8EDF4"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15304F"/>
                <w:sz w:val="18"/>
                <w:szCs w:val="18"/>
              </w:rPr>
              <w:t xml:space="preserve">Dedicated</w:t>
            </w:r>
          </w:p>
        </w:tc>
        <w:tc>
          <w:tcPr>
            <w:tcW w:type="dxa" w:w="307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Lean+ once both single-posture patterns reach M3</w:t>
            </w:r>
          </w:p>
        </w:tc>
      </w:tr>
      <w:tr>
        <w:tc>
          <w:tcPr>
            <w:tcW w:type="dxa" w:w="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25</w:t>
            </w:r>
          </w:p>
        </w:tc>
        <w:tc>
          <w:tcPr>
            <w:tcW w:type="dxa" w:w="28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New ingestions spanning multiple business units</w:t>
            </w:r>
          </w:p>
        </w:tc>
        <w:tc>
          <w:tcPr>
            <w:tcW w:type="dxa" w:w="17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D7:2</w:t>
            </w:r>
          </w:p>
        </w:tc>
        <w:tc>
          <w:tcPr>
            <w:tcW w:type="dxa" w:w="1180"/>
            <w:shd w:fill="E8EDF4"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15304F"/>
                <w:sz w:val="18"/>
                <w:szCs w:val="18"/>
              </w:rPr>
              <w:t xml:space="preserve">Dedicated</w:t>
            </w:r>
          </w:p>
        </w:tc>
        <w:tc>
          <w:tcPr>
            <w:tcW w:type="dxa" w:w="307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Hard override — multi-LOB coordination cannot be delegated</w:t>
            </w:r>
          </w:p>
        </w:tc>
      </w:tr>
      <w:tr>
        <w:tc>
          <w:tcPr>
            <w:tcW w:type="dxa" w:w="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26</w:t>
            </w:r>
          </w:p>
        </w:tc>
        <w:tc>
          <w:tcPr>
            <w:tcW w:type="dxa" w:w="28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New partners arriving through Doc-Gen or EAAS — trusted; regulated, non-regulated or both</w:t>
            </w:r>
          </w:p>
        </w:tc>
        <w:tc>
          <w:tcPr>
            <w:tcW w:type="dxa" w:w="17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D1:1 · D3:0–3</w:t>
            </w:r>
          </w:p>
        </w:tc>
        <w:tc>
          <w:tcPr>
            <w:tcW w:type="dxa" w:w="1180"/>
            <w:shd w:fill="FAF1DF"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9A6410"/>
                <w:sz w:val="18"/>
                <w:szCs w:val="18"/>
              </w:rPr>
              <w:t xml:space="preserve">Lean+</w:t>
            </w:r>
          </w:p>
        </w:tc>
        <w:tc>
          <w:tcPr>
            <w:tcW w:type="dxa" w:w="307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Lean if non-regulated on an M3 pattern; Dedicated if regulated</w:t>
            </w:r>
          </w:p>
        </w:tc>
      </w:tr>
      <w:tr>
        <w:tc>
          <w:tcPr>
            <w:tcW w:type="dxa" w:w="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27</w:t>
            </w:r>
          </w:p>
        </w:tc>
        <w:tc>
          <w:tcPr>
            <w:tcW w:type="dxa" w:w="28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New partner using UI ingestion with a new UI profile</w:t>
            </w:r>
          </w:p>
        </w:tc>
        <w:tc>
          <w:tcPr>
            <w:tcW w:type="dxa" w:w="17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D1:1 · D5:1</w:t>
            </w:r>
          </w:p>
        </w:tc>
        <w:tc>
          <w:tcPr>
            <w:tcW w:type="dxa" w:w="1180"/>
            <w:shd w:fill="FAF1DF"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9A6410"/>
                <w:sz w:val="18"/>
                <w:szCs w:val="18"/>
              </w:rPr>
              <w:t xml:space="preserve">Lean+</w:t>
            </w:r>
          </w:p>
        </w:tc>
        <w:tc>
          <w:tcPr>
            <w:tcW w:type="dxa" w:w="307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Moves to Lean once the UI profile pattern reaches M3</w:t>
            </w:r>
          </w:p>
        </w:tc>
      </w:tr>
      <w:tr>
        <w:tc>
          <w:tcPr>
            <w:tcW w:type="dxa" w:w="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28</w:t>
            </w:r>
          </w:p>
        </w:tc>
        <w:tc>
          <w:tcPr>
            <w:tcW w:type="dxa" w:w="28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New partner using UI ingestion on an existing UI profile</w:t>
            </w:r>
          </w:p>
        </w:tc>
        <w:tc>
          <w:tcPr>
            <w:tcW w:type="dxa" w:w="17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D1:0</w:t>
            </w:r>
          </w:p>
        </w:tc>
        <w:tc>
          <w:tcPr>
            <w:tcW w:type="dxa" w:w="1180"/>
            <w:shd w:fill="E6F2F1"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0B6E6E"/>
                <w:sz w:val="18"/>
                <w:szCs w:val="18"/>
              </w:rPr>
              <w:t xml:space="preserve">Lean</w:t>
            </w:r>
          </w:p>
        </w:tc>
        <w:tc>
          <w:tcPr>
            <w:tcW w:type="dxa" w:w="307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t>
            </w:r>
          </w:p>
        </w:tc>
      </w:tr>
      <w:tr>
        <w:tc>
          <w:tcPr>
            <w:tcW w:type="dxa" w:w="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29</w:t>
            </w:r>
          </w:p>
        </w:tc>
        <w:tc>
          <w:tcPr>
            <w:tcW w:type="dxa" w:w="28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Test-only support, including retention verification and production support requirements</w:t>
            </w:r>
          </w:p>
        </w:tc>
        <w:tc>
          <w:tcPr>
            <w:tcW w:type="dxa" w:w="17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D1:0</w:t>
            </w:r>
          </w:p>
        </w:tc>
        <w:tc>
          <w:tcPr>
            <w:tcW w:type="dxa" w:w="1180"/>
            <w:shd w:fill="E6F2F1"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0B6E6E"/>
                <w:sz w:val="18"/>
                <w:szCs w:val="18"/>
              </w:rPr>
              <w:t xml:space="preserve">Lean</w:t>
            </w:r>
          </w:p>
        </w:tc>
        <w:tc>
          <w:tcPr>
            <w:tcW w:type="dxa" w:w="307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Escalates if retention verification finds a discrepancy</w:t>
            </w:r>
          </w:p>
        </w:tc>
      </w:tr>
      <w:tr>
        <w:tc>
          <w:tcPr>
            <w:tcW w:type="dxa" w:w="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30</w:t>
            </w:r>
          </w:p>
        </w:tc>
        <w:tc>
          <w:tcPr>
            <w:tcW w:type="dxa" w:w="28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RM remediation</w:t>
            </w:r>
          </w:p>
        </w:tc>
        <w:tc>
          <w:tcPr>
            <w:tcW w:type="dxa" w:w="17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D5:3</w:t>
            </w:r>
          </w:p>
        </w:tc>
        <w:tc>
          <w:tcPr>
            <w:tcW w:type="dxa" w:w="1180"/>
            <w:shd w:fill="F1EEF6"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5B4A72"/>
                <w:sz w:val="18"/>
                <w:szCs w:val="18"/>
              </w:rPr>
              <w:t xml:space="preserve">Factory</w:t>
            </w:r>
          </w:p>
        </w:tc>
        <w:tc>
          <w:tcPr>
            <w:tcW w:type="dxa" w:w="307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Dedicated if confined to one partner with novel scope</w:t>
            </w:r>
          </w:p>
        </w:tc>
      </w:tr>
      <w:tr>
        <w:tc>
          <w:tcPr>
            <w:tcW w:type="dxa" w:w="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31</w:t>
            </w:r>
          </w:p>
        </w:tc>
        <w:tc>
          <w:tcPr>
            <w:tcW w:type="dxa" w:w="28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RM changes spanning multiple LOBs or partners</w:t>
            </w:r>
          </w:p>
        </w:tc>
        <w:tc>
          <w:tcPr>
            <w:tcW w:type="dxa" w:w="17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D5:3 · D7:3</w:t>
            </w:r>
          </w:p>
        </w:tc>
        <w:tc>
          <w:tcPr>
            <w:tcW w:type="dxa" w:w="1180"/>
            <w:shd w:fill="E8EDF4"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15304F"/>
                <w:sz w:val="18"/>
                <w:szCs w:val="18"/>
              </w:rPr>
              <w:t xml:space="preserve">Dedicated</w:t>
            </w:r>
          </w:p>
        </w:tc>
        <w:tc>
          <w:tcPr>
            <w:tcW w:type="dxa" w:w="307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Factory if the change is uniform and campaign-shaped across partners</w:t>
            </w:r>
          </w:p>
        </w:tc>
      </w:tr>
      <w:tr>
        <w:tc>
          <w:tcPr>
            <w:tcW w:type="dxa" w:w="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32</w:t>
            </w:r>
          </w:p>
        </w:tc>
        <w:tc>
          <w:tcPr>
            <w:tcW w:type="dxa" w:w="28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Historical data model or metadata updates</w:t>
            </w:r>
          </w:p>
        </w:tc>
        <w:tc>
          <w:tcPr>
            <w:tcW w:type="dxa" w:w="17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D5:3</w:t>
            </w:r>
          </w:p>
        </w:tc>
        <w:tc>
          <w:tcPr>
            <w:tcW w:type="dxa" w:w="1180"/>
            <w:shd w:fill="F1EEF6"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5B4A72"/>
                <w:sz w:val="18"/>
                <w:szCs w:val="18"/>
              </w:rPr>
              <w:t xml:space="preserve">Factory</w:t>
            </w:r>
          </w:p>
        </w:tc>
        <w:tc>
          <w:tcPr>
            <w:tcW w:type="dxa" w:w="307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Dedicated if the mapping logic itself is novel</w:t>
            </w:r>
          </w:p>
        </w:tc>
      </w:tr>
      <w:tr>
        <w:tc>
          <w:tcPr>
            <w:tcW w:type="dxa" w:w="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33</w:t>
            </w:r>
          </w:p>
        </w:tc>
        <w:tc>
          <w:tcPr>
            <w:tcW w:type="dxa" w:w="28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Granting security or access for BAU and historical documents to application systems or users</w:t>
            </w:r>
          </w:p>
        </w:tc>
        <w:tc>
          <w:tcPr>
            <w:tcW w:type="dxa" w:w="17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D1:0</w:t>
            </w:r>
          </w:p>
        </w:tc>
        <w:tc>
          <w:tcPr>
            <w:tcW w:type="dxa" w:w="1180"/>
            <w:shd w:fill="E6F2F1"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0B6E6E"/>
                <w:sz w:val="18"/>
                <w:szCs w:val="18"/>
              </w:rPr>
              <w:t xml:space="preserve">Lean</w:t>
            </w:r>
          </w:p>
        </w:tc>
        <w:tc>
          <w:tcPr>
            <w:tcW w:type="dxa" w:w="307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Escalates if access crosses legal entity or security key boundaries</w:t>
            </w:r>
          </w:p>
        </w:tc>
      </w:tr>
      <w:tr>
        <w:tc>
          <w:tcPr>
            <w:tcW w:type="dxa" w:w="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34</w:t>
            </w:r>
          </w:p>
        </w:tc>
        <w:tc>
          <w:tcPr>
            <w:tcW w:type="dxa" w:w="28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Making non-compliant systems, approaches or documents compliant — untrusted arriving as trusted, missing key metadata, multi-context sent as single, wrongly classified trusted</w:t>
            </w:r>
          </w:p>
        </w:tc>
        <w:tc>
          <w:tcPr>
            <w:tcW w:type="dxa" w:w="17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D2:3 · D5:3</w:t>
            </w:r>
          </w:p>
        </w:tc>
        <w:tc>
          <w:tcPr>
            <w:tcW w:type="dxa" w:w="1180"/>
            <w:shd w:fill="E8EDF4"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15304F"/>
                <w:sz w:val="18"/>
                <w:szCs w:val="18"/>
              </w:rPr>
              <w:t xml:space="preserve">Dedicated</w:t>
            </w:r>
          </w:p>
        </w:tc>
        <w:tc>
          <w:tcPr>
            <w:tcW w:type="dxa" w:w="307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Hard override — remediation of content already under retention</w:t>
            </w:r>
          </w:p>
        </w:tc>
      </w:tr>
      <w:tr>
        <w:tc>
          <w:tcPr>
            <w:tcW w:type="dxa" w:w="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35</w:t>
            </w:r>
          </w:p>
        </w:tc>
        <w:tc>
          <w:tcPr>
            <w:tcW w:type="dxa" w:w="28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Documents requiring dual ingestion — ICMP and MARS, or ICMP and IEDM</w:t>
            </w:r>
          </w:p>
        </w:tc>
        <w:tc>
          <w:tcPr>
            <w:tcW w:type="dxa" w:w="17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D7:3</w:t>
            </w:r>
          </w:p>
        </w:tc>
        <w:tc>
          <w:tcPr>
            <w:tcW w:type="dxa" w:w="1180"/>
            <w:shd w:fill="E8EDF4"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15304F"/>
                <w:sz w:val="18"/>
                <w:szCs w:val="18"/>
              </w:rPr>
              <w:t xml:space="preserve">Dedicated</w:t>
            </w:r>
          </w:p>
        </w:tc>
        <w:tc>
          <w:tcPr>
            <w:tcW w:type="dxa" w:w="307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Lean+ once a dual-target pattern is harvested to M2</w:t>
            </w:r>
          </w:p>
        </w:tc>
      </w:tr>
      <w:tr>
        <w:tc>
          <w:tcPr>
            <w:tcW w:type="dxa" w:w="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36</w:t>
            </w:r>
          </w:p>
        </w:tc>
        <w:tc>
          <w:tcPr>
            <w:tcW w:type="dxa" w:w="28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Documents stored first in temporary storage such as FXS or Documentum, then moved to the target repository after verification</w:t>
            </w:r>
          </w:p>
        </w:tc>
        <w:tc>
          <w:tcPr>
            <w:tcW w:type="dxa" w:w="17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D1:3 · D5:2</w:t>
            </w:r>
          </w:p>
        </w:tc>
        <w:tc>
          <w:tcPr>
            <w:tcW w:type="dxa" w:w="1180"/>
            <w:shd w:fill="E8EDF4"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15304F"/>
                <w:sz w:val="18"/>
                <w:szCs w:val="18"/>
              </w:rPr>
              <w:t xml:space="preserve">Dedicated</w:t>
            </w:r>
          </w:p>
        </w:tc>
        <w:tc>
          <w:tcPr>
            <w:tcW w:type="dxa" w:w="307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 pattern exists today; first delivery must produce one</w:t>
            </w:r>
          </w:p>
        </w:tc>
      </w:tr>
      <w:tr>
        <w:tc>
          <w:tcPr>
            <w:tcW w:type="dxa" w:w="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37</w:t>
            </w:r>
          </w:p>
        </w:tc>
        <w:tc>
          <w:tcPr>
            <w:tcW w:type="dxa" w:w="28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Documents requiring an extraction process after archival</w:t>
            </w:r>
          </w:p>
        </w:tc>
        <w:tc>
          <w:tcPr>
            <w:tcW w:type="dxa" w:w="17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D1:1 · D5:1</w:t>
            </w:r>
          </w:p>
        </w:tc>
        <w:tc>
          <w:tcPr>
            <w:tcW w:type="dxa" w:w="1180"/>
            <w:shd w:fill="FAF1DF"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9A6410"/>
                <w:sz w:val="18"/>
                <w:szCs w:val="18"/>
              </w:rPr>
              <w:t xml:space="preserve">Lean+</w:t>
            </w:r>
          </w:p>
        </w:tc>
        <w:tc>
          <w:tcPr>
            <w:tcW w:type="dxa" w:w="307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Dedicated if extraction output feeds a downstream regulated process</w:t>
            </w:r>
          </w:p>
        </w:tc>
      </w:tr>
      <w:tr>
        <w:tc>
          <w:tcPr>
            <w:tcW w:type="dxa" w:w="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38</w:t>
            </w:r>
          </w:p>
        </w:tc>
        <w:tc>
          <w:tcPr>
            <w:tcW w:type="dxa" w:w="28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Trusted or untrusted documents requiring multi-context processing through iDocs</w:t>
            </w:r>
          </w:p>
        </w:tc>
        <w:tc>
          <w:tcPr>
            <w:tcW w:type="dxa" w:w="17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D4:3 · D2:2</w:t>
            </w:r>
          </w:p>
        </w:tc>
        <w:tc>
          <w:tcPr>
            <w:tcW w:type="dxa" w:w="1180"/>
            <w:shd w:fill="E8EDF4"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15304F"/>
                <w:sz w:val="18"/>
                <w:szCs w:val="18"/>
              </w:rPr>
              <w:t xml:space="preserve">Dedicated</w:t>
            </w:r>
          </w:p>
        </w:tc>
        <w:tc>
          <w:tcPr>
            <w:tcW w:type="dxa" w:w="307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DKE coverage and context-splitting design both required</w:t>
            </w:r>
          </w:p>
        </w:tc>
      </w:tr>
    </w:tbl>
    <w:p>
      <w:pPr>
        <w:spacing w:after="140"/>
      </w:pPr>
      <w:r>
        <w:t xml:space="preserve"/>
      </w:r>
    </w:p>
    <w:p>
      <w:pPr>
        <w:pStyle w:val="Heading2"/>
        <w:spacing w:after="170" w:before="320"/>
      </w:pPr>
      <w:r>
        <w:rPr>
          <w:rFonts w:ascii="Cambria" w:cs="Cambria" w:eastAsia="Cambria" w:hAnsi="Cambria"/>
          <w:b/>
          <w:bCs/>
          <w:color w:val="15304F"/>
          <w:sz w:val="27"/>
          <w:szCs w:val="27"/>
        </w:rPr>
        <w:t xml:space="preserve">Distribution and trajectory</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100"/>
        <w:gridCol w:w="1500"/>
        <w:gridCol w:w="1500"/>
        <w:gridCol w:w="4260"/>
      </w:tblGrid>
      <w:tr>
        <w:trPr>
          <w:tblHeader/>
        </w:trPr>
        <w:tc>
          <w:tcPr>
            <w:tcW w:type="dxa" w:w="21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Tier</w:t>
            </w:r>
          </w:p>
        </w:tc>
        <w:tc>
          <w:tcPr>
            <w:tcW w:type="dxa" w:w="1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At entry</w:t>
            </w:r>
          </w:p>
        </w:tc>
        <w:tc>
          <w:tcPr>
            <w:tcW w:type="dxa" w:w="1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Steady state</w:t>
            </w:r>
          </w:p>
        </w:tc>
        <w:tc>
          <w:tcPr>
            <w:tcW w:type="dxa" w:w="42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What moves between them</w:t>
            </w:r>
          </w:p>
        </w:tc>
      </w:tr>
      <w:tr>
        <w:tc>
          <w:tcPr>
            <w:tcW w:type="dxa" w:w="2100"/>
            <w:shd w:fill="E6F2F1"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0B6E6E"/>
                <w:sz w:val="18"/>
                <w:szCs w:val="18"/>
              </w:rPr>
              <w:t xml:space="preserve">Lean</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8  (21%)</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15–17  (40–45%)</w:t>
            </w:r>
          </w:p>
        </w:tc>
        <w:tc>
          <w:tcPr>
            <w:tcW w:type="dxa" w:w="42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Nine Lean+ scenarios migrate as their patterns reach M3: 3, 7, 16, 20, 26, 27 and others</w:t>
            </w:r>
          </w:p>
        </w:tc>
      </w:tr>
      <w:tr>
        <w:tc>
          <w:tcPr>
            <w:tcW w:type="dxa" w:w="2100"/>
            <w:shd w:fill="FAF1DF"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9A6410"/>
                <w:sz w:val="18"/>
                <w:szCs w:val="18"/>
              </w:rPr>
              <w:t xml:space="preserve">Lean+</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14  (37%)</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12–13  (32–34%)</w:t>
            </w:r>
          </w:p>
        </w:tc>
        <w:tc>
          <w:tcPr>
            <w:tcW w:type="dxa" w:w="42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Receives four Dedicated scenarios once harvested (6, 24, 35 and conditionally 13), loses nine to Lean</w:t>
            </w:r>
          </w:p>
        </w:tc>
      </w:tr>
      <w:tr>
        <w:tc>
          <w:tcPr>
            <w:tcW w:type="dxa" w:w="2100"/>
            <w:shd w:fill="E8EDF4"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15304F"/>
                <w:sz w:val="18"/>
                <w:szCs w:val="18"/>
              </w:rPr>
              <w:t xml:space="preserve">Dedicated</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14  (37%)</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7–8  (18–21%)</w:t>
            </w:r>
          </w:p>
        </w:tc>
        <w:tc>
          <w:tcPr>
            <w:tcW w:type="dxa" w:w="42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Retains only genuine novelty, regulated first-positions, live posture changes and multi-LOB work</w:t>
            </w:r>
          </w:p>
        </w:tc>
      </w:tr>
      <w:tr>
        <w:tc>
          <w:tcPr>
            <w:tcW w:type="dxa" w:w="2100"/>
            <w:shd w:fill="F1EEF6"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5B4A72"/>
                <w:sz w:val="18"/>
                <w:szCs w:val="18"/>
              </w:rPr>
              <w:t xml:space="preserve">Factory</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  (5%)</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  (5%)</w:t>
            </w:r>
          </w:p>
        </w:tc>
        <w:tc>
          <w:tcPr>
            <w:tcW w:type="dxa" w:w="42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Stable — campaign work does not migrate tiers</w:t>
            </w:r>
          </w:p>
        </w:tc>
      </w:tr>
    </w:tbl>
    <w:p>
      <w:pPr>
        <w:spacing w:after="140"/>
      </w:pPr>
      <w:r>
        <w:t xml:space="preserve"/>
      </w:r>
    </w:p>
    <w:tbl>
      <w:tblPr>
        <w:tblW w:type="dxa" w:w="9360"/>
        <w:tblBorders>
          <w:top w:val="single" w:color="15304F" w:sz="6"/>
          <w:left w:val="single" w:color="15304F" w:sz="6"/>
          <w:bottom w:val="single" w:color="15304F" w:sz="6"/>
          <w:right w:val="single" w:color="15304F" w:sz="6"/>
          <w:insideH w:val="none"/>
          <w:insideV w:val="none"/>
        </w:tblBorders>
      </w:tblPr>
      <w:tblGrid>
        <w:gridCol w:w="9360"/>
      </w:tblGrid>
      <w:tr>
        <w:tc>
          <w:tcPr>
            <w:tcW w:type="dxa" w:w="9360"/>
            <w:shd w:fill="EEF2F7" w:color="auto" w:val="clear"/>
            <w:tcMar>
              <w:top w:type="dxa" w:w="140"/>
              <w:left w:type="dxa" w:w="165"/>
              <w:bottom w:type="dxa" w:w="140"/>
              <w:right w:type="dxa" w:w="165"/>
            </w:tcMar>
          </w:tcPr>
          <w:p>
            <w:pPr>
              <w:spacing w:after="85"/>
            </w:pPr>
            <w:r>
              <w:rPr>
                <w:rFonts w:ascii="Calibri" w:cs="Calibri" w:eastAsia="Calibri" w:hAnsi="Calibri"/>
                <w:b/>
                <w:bCs/>
                <w:color w:val="15304F"/>
                <w:sz w:val="20"/>
                <w:szCs w:val="20"/>
              </w:rPr>
              <w:t xml:space="preserve">HOW TO READ THE TRAJECTORY</w:t>
            </w:r>
          </w:p>
          <w:p>
            <w:pPr>
              <w:spacing w:after="65"/>
            </w:pPr>
            <w:r>
              <w:rPr>
                <w:rFonts w:ascii="Calibri" w:cs="Calibri" w:eastAsia="Calibri" w:hAnsi="Calibri"/>
                <w:color w:val="1B2432"/>
                <w:sz w:val="20"/>
                <w:szCs w:val="20"/>
              </w:rPr>
              <w:t xml:space="preserve">The entry distribution is what ECM gets on day one with no pattern investment. The steady-state distribution is what deliberate pattern harvesting produces over roughly two years.</w:t>
            </w:r>
          </w:p>
          <w:p>
            <w:pPr>
              <w:spacing w:after="65"/>
            </w:pPr>
            <w:r>
              <w:rPr>
                <w:rFonts w:ascii="Calibri" w:cs="Calibri" w:eastAsia="Calibri" w:hAnsi="Calibri"/>
                <w:color w:val="1B2432"/>
                <w:sz w:val="20"/>
                <w:szCs w:val="20"/>
              </w:rPr>
              <w:t xml:space="preserve">Every scenario that migrates leftward does so because a Dedicated pod delivered it once and left behind a pattern that platform engineering hardened. Nothing migrates on its own.</w:t>
            </w:r>
          </w:p>
          <w:p>
            <w:pPr>
              <w:spacing w:after="65"/>
            </w:pPr>
            <w:r>
              <w:rPr>
                <w:rFonts w:ascii="Calibri" w:cs="Calibri" w:eastAsia="Calibri" w:hAnsi="Calibri"/>
                <w:color w:val="1B2432"/>
                <w:sz w:val="20"/>
                <w:szCs w:val="20"/>
              </w:rPr>
              <w:t xml:space="preserve">This table is therefore also the platform backlog, prioritised. The patterns to build first are the ones serving the highest-frequency scenarios currently sitting one tier too heavy.</w:t>
            </w:r>
          </w:p>
        </w:tc>
      </w:tr>
    </w:tbl>
    <w:p>
      <w:r>
        <w:br w:type="page"/>
      </w:r>
    </w:p>
    <w:p>
      <w:pPr>
        <w:pStyle w:val="Heading1"/>
        <w:spacing w:after="220" w:before="400"/>
      </w:pPr>
      <w:r>
        <w:rPr>
          <w:rFonts w:ascii="Cambria" w:cs="Cambria" w:eastAsia="Cambria" w:hAnsi="Cambria"/>
          <w:b/>
          <w:bCs/>
          <w:color w:val="15304F"/>
          <w:sz w:val="34"/>
          <w:szCs w:val="34"/>
        </w:rPr>
        <w:t xml:space="preserve">Appendix B — RACI by Phase</w:t>
      </w:r>
    </w:p>
    <w:p>
      <w:pPr>
        <w:spacing w:after="130" w:before="0"/>
      </w:pPr>
      <w:r>
        <w:rPr>
          <w:rFonts w:ascii="Calibri" w:cs="Calibri" w:eastAsia="Calibri" w:hAnsi="Calibri"/>
          <w:b w:val="false"/>
          <w:bCs w:val="false"/>
          <w:i w:val="false"/>
          <w:iCs w:val="false"/>
          <w:color w:val="1B2432"/>
          <w:sz w:val="21"/>
          <w:szCs w:val="21"/>
        </w:rPr>
        <w:t xml:space="preserve">R responsible · A accountable · C consulted · I informed. Where a cell shows two values separated by a slash, the first applies in Lean and Lean+, the second in Dedicated.</w:t>
      </w:r>
    </w:p>
    <w:p>
      <w:pPr>
        <w:spacing w:after="100"/>
      </w:pPr>
      <w:r>
        <w:t xml:space="preserve"/>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1500"/>
        <w:gridCol w:w="2800"/>
        <w:gridCol w:w="1100"/>
        <w:gridCol w:w="1250"/>
        <w:gridCol w:w="1250"/>
        <w:gridCol w:w="700"/>
        <w:gridCol w:w="760"/>
      </w:tblGrid>
      <w:tr>
        <w:trPr>
          <w:tblHeader/>
        </w:trPr>
        <w:tc>
          <w:tcPr>
            <w:tcW w:type="dxa" w:w="1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Phase</w:t>
            </w:r>
          </w:p>
        </w:tc>
        <w:tc>
          <w:tcPr>
            <w:tcW w:type="dxa" w:w="28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Activity</w:t>
            </w:r>
          </w:p>
        </w:tc>
        <w:tc>
          <w:tcPr>
            <w:tcW w:type="dxa" w:w="11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Partner</w:t>
            </w:r>
          </w:p>
        </w:tc>
        <w:tc>
          <w:tcPr>
            <w:tcW w:type="dxa" w:w="125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Clinic / Guide</w:t>
            </w:r>
          </w:p>
        </w:tc>
        <w:tc>
          <w:tcPr>
            <w:tcW w:type="dxa" w:w="125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Pod</w:t>
            </w:r>
          </w:p>
        </w:tc>
        <w:tc>
          <w:tcPr>
            <w:tcW w:type="dxa" w:w="7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Factory</w:t>
            </w:r>
          </w:p>
        </w:tc>
        <w:tc>
          <w:tcPr>
            <w:tcW w:type="dxa" w:w="7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Desk</w:t>
            </w:r>
          </w:p>
        </w:tc>
      </w:tr>
      <w:tr>
        <w:tc>
          <w:tcPr>
            <w:tcW w:type="dxa" w:w="1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P0  Qualify</w:t>
            </w:r>
          </w:p>
        </w:tc>
        <w:tc>
          <w:tcPr>
            <w:tcW w:type="dxa" w:w="28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 raises intake</w:t>
            </w:r>
          </w:p>
        </w:tc>
        <w:tc>
          <w:tcPr>
            <w:tcW w:type="dxa" w:w="11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w:t>
            </w:r>
          </w:p>
        </w:tc>
        <w:tc>
          <w:tcPr>
            <w:tcW w:type="dxa" w:w="1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1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t>
            </w:r>
          </w:p>
        </w:tc>
        <w:tc>
          <w:tcPr>
            <w:tcW w:type="dxa" w:w="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w:t>
            </w:r>
          </w:p>
        </w:tc>
      </w:tr>
      <w:tr>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P0  Qualify</w:t>
            </w:r>
          </w:p>
        </w:tc>
        <w:tc>
          <w:tcPr>
            <w:tcW w:type="dxa" w:w="28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Pattern match and tier assignment</w:t>
            </w:r>
          </w:p>
        </w:tc>
        <w:tc>
          <w:tcPr>
            <w:tcW w:type="dxa" w:w="11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12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w:t>
            </w:r>
          </w:p>
        </w:tc>
        <w:tc>
          <w:tcPr>
            <w:tcW w:type="dxa" w:w="12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w:t>
            </w:r>
          </w:p>
        </w:tc>
        <w:tc>
          <w:tcPr>
            <w:tcW w:type="dxa" w:w="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t>
            </w:r>
          </w:p>
        </w:tc>
        <w:tc>
          <w:tcPr>
            <w:tcW w:type="dxa" w:w="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r>
      <w:tr>
        <w:tc>
          <w:tcPr>
            <w:tcW w:type="dxa" w:w="1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P1  Design</w:t>
            </w:r>
          </w:p>
        </w:tc>
        <w:tc>
          <w:tcPr>
            <w:tcW w:type="dxa" w:w="28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Trust determination and classification</w:t>
            </w:r>
          </w:p>
        </w:tc>
        <w:tc>
          <w:tcPr>
            <w:tcW w:type="dxa" w:w="11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1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1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t>
            </w:r>
          </w:p>
        </w:tc>
        <w:tc>
          <w:tcPr>
            <w:tcW w:type="dxa" w:w="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w:t>
            </w:r>
          </w:p>
        </w:tc>
      </w:tr>
      <w:tr>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P1  Design</w:t>
            </w:r>
          </w:p>
        </w:tc>
        <w:tc>
          <w:tcPr>
            <w:tcW w:type="dxa" w:w="28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Retention position</w:t>
            </w:r>
          </w:p>
        </w:tc>
        <w:tc>
          <w:tcPr>
            <w:tcW w:type="dxa" w:w="11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12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12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t>
            </w:r>
          </w:p>
        </w:tc>
        <w:tc>
          <w:tcPr>
            <w:tcW w:type="dxa" w:w="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w:t>
            </w:r>
          </w:p>
        </w:tc>
      </w:tr>
      <w:tr>
        <w:tc>
          <w:tcPr>
            <w:tcW w:type="dxa" w:w="1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P1  Design</w:t>
            </w:r>
          </w:p>
        </w:tc>
        <w:tc>
          <w:tcPr>
            <w:tcW w:type="dxa" w:w="28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Metadata model</w:t>
            </w:r>
          </w:p>
        </w:tc>
        <w:tc>
          <w:tcPr>
            <w:tcW w:type="dxa" w:w="11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 / C</w:t>
            </w:r>
          </w:p>
        </w:tc>
        <w:tc>
          <w:tcPr>
            <w:tcW w:type="dxa" w:w="1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 / C</w:t>
            </w:r>
          </w:p>
        </w:tc>
        <w:tc>
          <w:tcPr>
            <w:tcW w:type="dxa" w:w="1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w:t>
            </w:r>
          </w:p>
        </w:tc>
        <w:tc>
          <w:tcPr>
            <w:tcW w:type="dxa" w:w="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t>
            </w:r>
          </w:p>
        </w:tc>
        <w:tc>
          <w:tcPr>
            <w:tcW w:type="dxa" w:w="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r>
      <w:tr>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P1  Design</w:t>
            </w:r>
          </w:p>
        </w:tc>
        <w:tc>
          <w:tcPr>
            <w:tcW w:type="dxa" w:w="28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Volume profile and load-test applicability</w:t>
            </w:r>
          </w:p>
        </w:tc>
        <w:tc>
          <w:tcPr>
            <w:tcW w:type="dxa" w:w="11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12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w:t>
            </w:r>
          </w:p>
        </w:tc>
        <w:tc>
          <w:tcPr>
            <w:tcW w:type="dxa" w:w="12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t>
            </w:r>
          </w:p>
        </w:tc>
        <w:tc>
          <w:tcPr>
            <w:tcW w:type="dxa" w:w="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w:t>
            </w:r>
          </w:p>
        </w:tc>
      </w:tr>
      <w:tr>
        <w:tc>
          <w:tcPr>
            <w:tcW w:type="dxa" w:w="1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P2  Provision</w:t>
            </w:r>
          </w:p>
        </w:tc>
        <w:tc>
          <w:tcPr>
            <w:tcW w:type="dxa" w:w="28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Identity, certificates, accounts, access</w:t>
            </w:r>
          </w:p>
        </w:tc>
        <w:tc>
          <w:tcPr>
            <w:tcW w:type="dxa" w:w="11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w:t>
            </w:r>
          </w:p>
        </w:tc>
        <w:tc>
          <w:tcPr>
            <w:tcW w:type="dxa" w:w="1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w:t>
            </w:r>
          </w:p>
        </w:tc>
        <w:tc>
          <w:tcPr>
            <w:tcW w:type="dxa" w:w="1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w:t>
            </w:r>
          </w:p>
        </w:tc>
        <w:tc>
          <w:tcPr>
            <w:tcW w:type="dxa" w:w="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t>
            </w:r>
          </w:p>
        </w:tc>
        <w:tc>
          <w:tcPr>
            <w:tcW w:type="dxa" w:w="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r>
      <w:tr>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P2  Provision</w:t>
            </w:r>
          </w:p>
        </w:tc>
        <w:tc>
          <w:tcPr>
            <w:tcW w:type="dxa" w:w="28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Subscriptions, topics, consumer groups</w:t>
            </w:r>
          </w:p>
        </w:tc>
        <w:tc>
          <w:tcPr>
            <w:tcW w:type="dxa" w:w="11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w:t>
            </w:r>
          </w:p>
        </w:tc>
        <w:tc>
          <w:tcPr>
            <w:tcW w:type="dxa" w:w="12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w:t>
            </w:r>
          </w:p>
        </w:tc>
        <w:tc>
          <w:tcPr>
            <w:tcW w:type="dxa" w:w="12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w:t>
            </w:r>
          </w:p>
        </w:tc>
        <w:tc>
          <w:tcPr>
            <w:tcW w:type="dxa" w:w="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t>
            </w:r>
          </w:p>
        </w:tc>
        <w:tc>
          <w:tcPr>
            <w:tcW w:type="dxa" w:w="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w:t>
            </w:r>
          </w:p>
        </w:tc>
      </w:tr>
      <w:tr>
        <w:tc>
          <w:tcPr>
            <w:tcW w:type="dxa" w:w="1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P2  Provision</w:t>
            </w:r>
          </w:p>
        </w:tc>
        <w:tc>
          <w:tcPr>
            <w:tcW w:type="dxa" w:w="28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Profile instantiation and retention config</w:t>
            </w:r>
          </w:p>
        </w:tc>
        <w:tc>
          <w:tcPr>
            <w:tcW w:type="dxa" w:w="11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1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1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w:t>
            </w:r>
          </w:p>
        </w:tc>
        <w:tc>
          <w:tcPr>
            <w:tcW w:type="dxa" w:w="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t>
            </w:r>
          </w:p>
        </w:tc>
        <w:tc>
          <w:tcPr>
            <w:tcW w:type="dxa" w:w="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w:t>
            </w:r>
          </w:p>
        </w:tc>
      </w:tr>
      <w:tr>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P3  Build</w:t>
            </w:r>
          </w:p>
        </w:tc>
        <w:tc>
          <w:tcPr>
            <w:tcW w:type="dxa" w:w="28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 integration</w:t>
            </w:r>
          </w:p>
        </w:tc>
        <w:tc>
          <w:tcPr>
            <w:tcW w:type="dxa" w:w="11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w:t>
            </w:r>
          </w:p>
        </w:tc>
        <w:tc>
          <w:tcPr>
            <w:tcW w:type="dxa" w:w="12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12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t>
            </w:r>
          </w:p>
        </w:tc>
        <w:tc>
          <w:tcPr>
            <w:tcW w:type="dxa" w:w="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w:t>
            </w:r>
          </w:p>
        </w:tc>
      </w:tr>
      <w:tr>
        <w:tc>
          <w:tcPr>
            <w:tcW w:type="dxa" w:w="1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P3  Build</w:t>
            </w:r>
          </w:p>
        </w:tc>
        <w:tc>
          <w:tcPr>
            <w:tcW w:type="dxa" w:w="28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Conflict detection and defect routing</w:t>
            </w:r>
          </w:p>
        </w:tc>
        <w:tc>
          <w:tcPr>
            <w:tcW w:type="dxa" w:w="11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w:t>
            </w:r>
          </w:p>
        </w:tc>
        <w:tc>
          <w:tcPr>
            <w:tcW w:type="dxa" w:w="1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1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w:t>
            </w:r>
          </w:p>
        </w:tc>
        <w:tc>
          <w:tcPr>
            <w:tcW w:type="dxa" w:w="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t>
            </w:r>
          </w:p>
        </w:tc>
        <w:tc>
          <w:tcPr>
            <w:tcW w:type="dxa" w:w="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w:t>
            </w:r>
          </w:p>
        </w:tc>
      </w:tr>
      <w:tr>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P4  Validate</w:t>
            </w:r>
          </w:p>
        </w:tc>
        <w:tc>
          <w:tcPr>
            <w:tcW w:type="dxa" w:w="28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Test planning and execution</w:t>
            </w:r>
          </w:p>
        </w:tc>
        <w:tc>
          <w:tcPr>
            <w:tcW w:type="dxa" w:w="11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w:t>
            </w:r>
          </w:p>
        </w:tc>
        <w:tc>
          <w:tcPr>
            <w:tcW w:type="dxa" w:w="12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12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t>
            </w:r>
          </w:p>
        </w:tc>
        <w:tc>
          <w:tcPr>
            <w:tcW w:type="dxa" w:w="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w:t>
            </w:r>
          </w:p>
        </w:tc>
      </w:tr>
      <w:tr>
        <w:tc>
          <w:tcPr>
            <w:tcW w:type="dxa" w:w="1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P4  Validate</w:t>
            </w:r>
          </w:p>
        </w:tc>
        <w:tc>
          <w:tcPr>
            <w:tcW w:type="dxa" w:w="28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Load testing</w:t>
            </w:r>
          </w:p>
        </w:tc>
        <w:tc>
          <w:tcPr>
            <w:tcW w:type="dxa" w:w="11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1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1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t>
            </w:r>
          </w:p>
        </w:tc>
        <w:tc>
          <w:tcPr>
            <w:tcW w:type="dxa" w:w="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w:t>
            </w:r>
          </w:p>
        </w:tc>
      </w:tr>
      <w:tr>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P4  Validate</w:t>
            </w:r>
          </w:p>
        </w:tc>
        <w:tc>
          <w:tcPr>
            <w:tcW w:type="dxa" w:w="28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Promotion gate evaluation</w:t>
            </w:r>
          </w:p>
        </w:tc>
        <w:tc>
          <w:tcPr>
            <w:tcW w:type="dxa" w:w="11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w:t>
            </w:r>
          </w:p>
        </w:tc>
        <w:tc>
          <w:tcPr>
            <w:tcW w:type="dxa" w:w="12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w:t>
            </w:r>
          </w:p>
        </w:tc>
        <w:tc>
          <w:tcPr>
            <w:tcW w:type="dxa" w:w="12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w:t>
            </w:r>
          </w:p>
        </w:tc>
        <w:tc>
          <w:tcPr>
            <w:tcW w:type="dxa" w:w="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t>
            </w:r>
          </w:p>
        </w:tc>
        <w:tc>
          <w:tcPr>
            <w:tcW w:type="dxa" w:w="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r>
      <w:tr>
        <w:tc>
          <w:tcPr>
            <w:tcW w:type="dxa" w:w="1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P5  Release</w:t>
            </w:r>
          </w:p>
        </w:tc>
        <w:tc>
          <w:tcPr>
            <w:tcW w:type="dxa" w:w="28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Transition documentation and sign-offs</w:t>
            </w:r>
          </w:p>
        </w:tc>
        <w:tc>
          <w:tcPr>
            <w:tcW w:type="dxa" w:w="11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1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1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w:t>
            </w:r>
          </w:p>
        </w:tc>
        <w:tc>
          <w:tcPr>
            <w:tcW w:type="dxa" w:w="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t>
            </w:r>
          </w:p>
        </w:tc>
        <w:tc>
          <w:tcPr>
            <w:tcW w:type="dxa" w:w="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r>
      <w:tr>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P5  Release</w:t>
            </w:r>
          </w:p>
        </w:tc>
        <w:tc>
          <w:tcPr>
            <w:tcW w:type="dxa" w:w="28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Production deployment and handover</w:t>
            </w:r>
          </w:p>
        </w:tc>
        <w:tc>
          <w:tcPr>
            <w:tcW w:type="dxa" w:w="11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12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12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w:t>
            </w:r>
          </w:p>
        </w:tc>
        <w:tc>
          <w:tcPr>
            <w:tcW w:type="dxa" w:w="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t>
            </w:r>
          </w:p>
        </w:tc>
        <w:tc>
          <w:tcPr>
            <w:tcW w:type="dxa" w:w="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w:t>
            </w:r>
          </w:p>
        </w:tc>
      </w:tr>
      <w:tr>
        <w:tc>
          <w:tcPr>
            <w:tcW w:type="dxa" w:w="1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P5  Release</w:t>
            </w:r>
          </w:p>
        </w:tc>
        <w:tc>
          <w:tcPr>
            <w:tcW w:type="dxa" w:w="28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Pattern candidate harvest</w:t>
            </w:r>
          </w:p>
        </w:tc>
        <w:tc>
          <w:tcPr>
            <w:tcW w:type="dxa" w:w="11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w:t>
            </w:r>
          </w:p>
        </w:tc>
        <w:tc>
          <w:tcPr>
            <w:tcW w:type="dxa" w:w="1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w:t>
            </w:r>
          </w:p>
        </w:tc>
        <w:tc>
          <w:tcPr>
            <w:tcW w:type="dxa" w:w="1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w:t>
            </w:r>
          </w:p>
        </w:tc>
        <w:tc>
          <w:tcPr>
            <w:tcW w:type="dxa" w:w="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w:t>
            </w:r>
          </w:p>
        </w:tc>
      </w:tr>
      <w:tr>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All</w:t>
            </w:r>
          </w:p>
        </w:tc>
        <w:tc>
          <w:tcPr>
            <w:tcW w:type="dxa" w:w="28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Campaign execution and remediation</w:t>
            </w:r>
          </w:p>
        </w:tc>
        <w:tc>
          <w:tcPr>
            <w:tcW w:type="dxa" w:w="11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12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w:t>
            </w:r>
          </w:p>
        </w:tc>
        <w:tc>
          <w:tcPr>
            <w:tcW w:type="dxa" w:w="12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w:t>
            </w:r>
          </w:p>
        </w:tc>
        <w:tc>
          <w:tcPr>
            <w:tcW w:type="dxa" w:w="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w:t>
            </w:r>
          </w:p>
        </w:tc>
        <w:tc>
          <w:tcPr>
            <w:tcW w:type="dxa" w:w="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Two things are worth drawing out of this table. The Governance and Compliance Desk is accountable at four points across P1 and P2, and those four points gate every tier — which is why its turnaround is treated as a system constraint rather than a departmental metric. And the partner is accountable, not merely responsible, for their own integration and testing in every tier; the difference between tiers is how much help they get reaching that accountability, never whether they hold it.</w:t>
      </w:r>
    </w:p>
    <w:p>
      <w:r>
        <w:br w:type="page"/>
      </w:r>
    </w:p>
    <w:p>
      <w:pPr>
        <w:pStyle w:val="Heading1"/>
        <w:spacing w:after="220" w:before="400"/>
      </w:pPr>
      <w:r>
        <w:rPr>
          <w:rFonts w:ascii="Cambria" w:cs="Cambria" w:eastAsia="Cambria" w:hAnsi="Cambria"/>
          <w:b/>
          <w:bCs/>
          <w:color w:val="15304F"/>
          <w:sz w:val="34"/>
          <w:szCs w:val="34"/>
        </w:rPr>
        <w:t xml:space="preserve">Appendix C — Glossary</w:t>
      </w:r>
    </w:p>
    <w:p>
      <w:pPr>
        <w:spacing w:after="100"/>
      </w:pPr>
      <w:r>
        <w:t xml:space="preserve"/>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400"/>
        <w:gridCol w:w="6960"/>
      </w:tblGrid>
      <w:tr>
        <w:trPr>
          <w:tblHeader/>
        </w:trPr>
        <w:tc>
          <w:tcPr>
            <w:tcW w:type="dxa" w:w="24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Term</w:t>
            </w:r>
          </w:p>
        </w:tc>
        <w:tc>
          <w:tcPr>
            <w:tcW w:type="dxa" w:w="69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Meaning</w:t>
            </w:r>
          </w:p>
        </w:tc>
      </w:tr>
      <w:tr>
        <w:tc>
          <w:tcPr>
            <w:tcW w:type="dxa" w:w="24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Clinic</w:t>
            </w:r>
          </w:p>
        </w:tc>
        <w:tc>
          <w:tcPr>
            <w:tcW w:type="dxa" w:w="6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shared pool function serving Lean and Lean+ intakes through booked checkpoints, open slots and escalation duty.</w:t>
            </w:r>
          </w:p>
        </w:tc>
      </w:tr>
      <w:tr>
        <w:tc>
          <w:tcPr>
            <w:tcW w:type="dxa" w:w="24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Dedicated</w:t>
            </w:r>
          </w:p>
        </w:tc>
        <w:tc>
          <w:tcPr>
            <w:tcW w:type="dxa" w:w="69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enablement model in which an allocated cross-functional pod delivers an intake end to end.</w:t>
            </w:r>
          </w:p>
        </w:tc>
      </w:tr>
      <w:tr>
        <w:tc>
          <w:tcPr>
            <w:tcW w:type="dxa" w:w="24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Determinant (D1–D7)</w:t>
            </w:r>
          </w:p>
        </w:tc>
        <w:tc>
          <w:tcPr>
            <w:tcW w:type="dxa" w:w="6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One of the seven scored dimensions used to assign an enablement tier to an intake.</w:t>
            </w:r>
          </w:p>
        </w:tc>
      </w:tr>
      <w:tr>
        <w:tc>
          <w:tcPr>
            <w:tcW w:type="dxa" w:w="24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DKE</w:t>
            </w:r>
          </w:p>
        </w:tc>
        <w:tc>
          <w:tcPr>
            <w:tcW w:type="dxa" w:w="69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Document Knowledge Engine — the knowledge base maintained by imaging governance that trains the model used to classify untrusted content.</w:t>
            </w:r>
          </w:p>
        </w:tc>
      </w:tr>
      <w:tr>
        <w:tc>
          <w:tcPr>
            <w:tcW w:type="dxa" w:w="24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Drift trigger</w:t>
            </w:r>
          </w:p>
        </w:tc>
        <w:tc>
          <w:tcPr>
            <w:tcW w:type="dxa" w:w="6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condition detected mid-flight that automatically re-tiers an intake upward.</w:t>
            </w:r>
          </w:p>
        </w:tc>
      </w:tr>
      <w:tr>
        <w:tc>
          <w:tcPr>
            <w:tcW w:type="dxa" w:w="24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Enablement record</w:t>
            </w:r>
          </w:p>
        </w:tc>
        <w:tc>
          <w:tcPr>
            <w:tcW w:type="dxa" w:w="69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durable platform record of an intake: scope, tier, determinations, artefacts, state and audit trail.</w:t>
            </w:r>
          </w:p>
        </w:tc>
      </w:tr>
      <w:tr>
        <w:tc>
          <w:tcPr>
            <w:tcW w:type="dxa" w:w="24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Factory</w:t>
            </w:r>
          </w:p>
        </w:tc>
        <w:tc>
          <w:tcPr>
            <w:tcW w:type="dxa" w:w="6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Migration Factory — the function executing legacy and non-compliant repository remediation as campaigns.</w:t>
            </w:r>
          </w:p>
        </w:tc>
      </w:tr>
      <w:tr>
        <w:tc>
          <w:tcPr>
            <w:tcW w:type="dxa" w:w="24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Gate</w:t>
            </w:r>
          </w:p>
        </w:tc>
        <w:tc>
          <w:tcPr>
            <w:tcW w:type="dxa" w:w="69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named checkpoint at which the platform evaluates whether an intake may advance. Identical across tiers.</w:t>
            </w:r>
          </w:p>
        </w:tc>
      </w:tr>
      <w:tr>
        <w:tc>
          <w:tcPr>
            <w:tcW w:type="dxa" w:w="24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Guide</w:t>
            </w:r>
          </w:p>
        </w:tc>
        <w:tc>
          <w:tcPr>
            <w:tcW w:type="dxa" w:w="6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named enablement contact assigned to a Lean+ intake for its duration.</w:t>
            </w:r>
          </w:p>
        </w:tc>
      </w:tr>
      <w:tr>
        <w:tc>
          <w:tcPr>
            <w:tcW w:type="dxa" w:w="24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Harvest</w:t>
            </w:r>
          </w:p>
        </w:tc>
        <w:tc>
          <w:tcPr>
            <w:tcW w:type="dxa" w:w="69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Producing a reusable pattern candidate from a completed Dedicated intake. A closure condition, not an option.</w:t>
            </w:r>
          </w:p>
        </w:tc>
      </w:tr>
      <w:tr>
        <w:tc>
          <w:tcPr>
            <w:tcW w:type="dxa" w:w="24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Invariant</w:t>
            </w:r>
          </w:p>
        </w:tc>
        <w:tc>
          <w:tcPr>
            <w:tcW w:type="dxa" w:w="6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control that applies identically in every tier and is not waivable.</w:t>
            </w:r>
          </w:p>
        </w:tc>
      </w:tr>
      <w:tr>
        <w:tc>
          <w:tcPr>
            <w:tcW w:type="dxa" w:w="24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Lean</w:t>
            </w:r>
          </w:p>
        </w:tc>
        <w:tc>
          <w:tcPr>
            <w:tcW w:type="dxa" w:w="69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self-service enablement model with no allocated ECM capacity, available only on M3 patterns to certified partners.</w:t>
            </w:r>
          </w:p>
        </w:tc>
      </w:tr>
      <w:tr>
        <w:tc>
          <w:tcPr>
            <w:tcW w:type="dxa" w:w="24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Lean+</w:t>
            </w:r>
          </w:p>
        </w:tc>
        <w:tc>
          <w:tcPr>
            <w:tcW w:type="dxa" w:w="6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shared-pool enablement model with two mandatory design checkpoints and a named guide.</w:t>
            </w:r>
          </w:p>
        </w:tc>
      </w:tr>
      <w:tr>
        <w:tc>
          <w:tcPr>
            <w:tcW w:type="dxa" w:w="24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M0 – M3</w:t>
            </w:r>
          </w:p>
        </w:tc>
        <w:tc>
          <w:tcPr>
            <w:tcW w:type="dxa" w:w="69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Pattern maturity levels: observed, described, validated, self-service. M1 enables Lean+; M3 enables Lean.</w:t>
            </w:r>
          </w:p>
        </w:tc>
      </w:tr>
      <w:tr>
        <w:tc>
          <w:tcPr>
            <w:tcW w:type="dxa" w:w="24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Pattern</w:t>
            </w:r>
          </w:p>
        </w:tc>
        <w:tc>
          <w:tcPr>
            <w:tcW w:type="dxa" w:w="6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versioned, executable description of a known onboarding shape — steps, configuration, validations and tolerated variation.</w:t>
            </w:r>
          </w:p>
        </w:tc>
      </w:tr>
      <w:tr>
        <w:tc>
          <w:tcPr>
            <w:tcW w:type="dxa" w:w="24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Pattern catalogue</w:t>
            </w:r>
          </w:p>
        </w:tc>
        <w:tc>
          <w:tcPr>
            <w:tcW w:type="dxa" w:w="69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versioned collection of patterns; the core asset on which the lighter tiers depend.</w:t>
            </w:r>
          </w:p>
        </w:tc>
      </w:tr>
      <w:tr>
        <w:tc>
          <w:tcPr>
            <w:tcW w:type="dxa" w:w="24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Pattern debt</w:t>
            </w:r>
          </w:p>
        </w:tc>
        <w:tc>
          <w:tcPr>
            <w:tcW w:type="dxa" w:w="6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Dedicated intakes closing without producing a pattern candidate. Monitored as a model guardrail.</w:t>
            </w:r>
          </w:p>
        </w:tc>
      </w:tr>
      <w:tr>
        <w:tc>
          <w:tcPr>
            <w:tcW w:type="dxa" w:w="24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Pod</w:t>
            </w:r>
          </w:p>
        </w:tc>
        <w:tc>
          <w:tcPr>
            <w:tcW w:type="dxa" w:w="69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An allocated cross-functional team serving a single Dedicated intake.</w:t>
            </w:r>
          </w:p>
        </w:tc>
      </w:tr>
      <w:tr>
        <w:tc>
          <w:tcPr>
            <w:tcW w:type="dxa" w:w="24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Tolerated variation</w:t>
            </w:r>
          </w:p>
        </w:tc>
        <w:tc>
          <w:tcPr>
            <w:tcW w:type="dxa" w:w="6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parameters a pattern permits to differ between instances without the intake becoming novel.</w:t>
            </w:r>
          </w:p>
        </w:tc>
      </w:tr>
    </w:tbl>
    <w:p>
      <w:r>
        <w:br w:type="page"/>
      </w:r>
    </w:p>
    <w:p>
      <w:pPr>
        <w:pStyle w:val="Heading1"/>
        <w:spacing w:after="220" w:before="400"/>
      </w:pPr>
      <w:r>
        <w:rPr>
          <w:rFonts w:ascii="Cambria" w:cs="Cambria" w:eastAsia="Cambria" w:hAnsi="Cambria"/>
          <w:b/>
          <w:bCs/>
          <w:color w:val="15304F"/>
          <w:sz w:val="34"/>
          <w:szCs w:val="34"/>
        </w:rPr>
        <w:t xml:space="preserve">Appendix D — The Intake Data Catalogue</w:t>
      </w:r>
    </w:p>
    <w:p>
      <w:pPr>
        <w:spacing w:after="130" w:before="0"/>
      </w:pPr>
      <w:r>
        <w:rPr>
          <w:rFonts w:ascii="Calibri" w:cs="Calibri" w:eastAsia="Calibri" w:hAnsi="Calibri"/>
          <w:b w:val="false"/>
          <w:bCs w:val="false"/>
          <w:i w:val="false"/>
          <w:iCs w:val="false"/>
          <w:color w:val="1B2432"/>
          <w:sz w:val="21"/>
          <w:szCs w:val="21"/>
        </w:rPr>
        <w:t xml:space="preserve">Fifty-four data points across ten categories. Each is a question the onboarding lifecycle will eventually require an answer to; the purpose of capturing them at intake is that none of them is discovered later. The why column is the content that makes the intake copilot work, and it is also what a new squad member needs in order to explain a requirement to a partner.</w:t>
      </w:r>
    </w:p>
    <w:p>
      <w:pPr>
        <w:spacing w:after="130" w:before="0"/>
      </w:pPr>
      <w:r>
        <w:rPr>
          <w:rFonts w:ascii="Calibri" w:cs="Calibri" w:eastAsia="Calibri" w:hAnsi="Calibri"/>
          <w:b w:val="false"/>
          <w:bCs w:val="false"/>
          <w:i w:val="false"/>
          <w:iCs w:val="false"/>
          <w:color w:val="1B2432"/>
          <w:sz w:val="21"/>
          <w:szCs w:val="21"/>
        </w:rPr>
        <w:t xml:space="preserve">The band column maps each point to the gate it blocks: Accept means the intake is not taken into the queue without it; Design, Provision and Certify mean it may be registered as a dated gap at intake but must be closed before that gate. Applicability is pattern-dependent — a partner consuming notifications only is never asked about retention codes.</w:t>
      </w:r>
    </w:p>
    <w:p>
      <w:pPr>
        <w:spacing w:after="100"/>
      </w:pPr>
      <w:r>
        <w:t xml:space="preserve"/>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420"/>
        <w:gridCol w:w="2250"/>
        <w:gridCol w:w="3550"/>
        <w:gridCol w:w="1700"/>
        <w:gridCol w:w="1440"/>
      </w:tblGrid>
      <w:tr>
        <w:trPr>
          <w:tblHeader/>
        </w:trPr>
        <w:tc>
          <w:tcPr>
            <w:tcW w:type="dxa" w:w="42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t>
            </w:r>
          </w:p>
        </w:tc>
        <w:tc>
          <w:tcPr>
            <w:tcW w:type="dxa" w:w="225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Data point</w:t>
            </w:r>
          </w:p>
        </w:tc>
        <w:tc>
          <w:tcPr>
            <w:tcW w:type="dxa" w:w="355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Why it is required</w:t>
            </w:r>
          </w:p>
        </w:tc>
        <w:tc>
          <w:tcPr>
            <w:tcW w:type="dxa" w:w="17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Blocks if missing</w:t>
            </w:r>
          </w:p>
        </w:tc>
        <w:tc>
          <w:tcPr>
            <w:tcW w:type="dxa" w:w="144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Band</w:t>
            </w:r>
          </w:p>
        </w:tc>
      </w:tr>
      <w:tr>
        <w:tc>
          <w:tcPr>
            <w:tcW w:type="dxa" w:w="42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A</w:t>
            </w:r>
          </w:p>
        </w:tc>
        <w:tc>
          <w:tcPr>
            <w:tcW w:type="dxa" w:w="225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Business context and outcome</w:t>
            </w:r>
          </w:p>
        </w:tc>
        <w:tc>
          <w:tcPr>
            <w:tcW w:type="dxa" w:w="355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c>
          <w:tcPr>
            <w:tcW w:type="dxa" w:w="170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c>
          <w:tcPr>
            <w:tcW w:type="dxa" w:w="144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Business outcome, in business terms</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Defines what success means and becomes the basis of user acceptance testing</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UAT scope; go-live acceptance</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Accept</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Driver and deadline — regulatory, customer commitment or programme</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Feeds the LOB priority ranking and the capacity argument</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LOB prioritisation</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Accept</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Consequence of not proceeding</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risk of inaction is frequently the deciding factor in ranking</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LOB prioritisation</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Accept</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4</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Named business owner</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Retention obligations must be stated by an accountable business owner, not inferred</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RM questionnaire; retention approval</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Accept</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5</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Business units or lines of business affected</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Multi-LOB scope forces a tier and changes coordination cost</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Tier assignment; planning</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Accept</w:t>
            </w:r>
          </w:p>
        </w:tc>
      </w:tr>
      <w:tr>
        <w:tc>
          <w:tcPr>
            <w:tcW w:type="dxa" w:w="42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B</w:t>
            </w:r>
          </w:p>
        </w:tc>
        <w:tc>
          <w:tcPr>
            <w:tcW w:type="dxa" w:w="225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Application and zone identity</w:t>
            </w:r>
          </w:p>
        </w:tc>
        <w:tc>
          <w:tcPr>
            <w:tcW w:type="dxa" w:w="355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c>
          <w:tcPr>
            <w:tcW w:type="dxa" w:w="170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c>
          <w:tcPr>
            <w:tcW w:type="dxa" w:w="144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6</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Business application identity</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Anchors every downstream request — certificates, access, subscriptions — to one identity</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All provisioning</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Accept</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7</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Network zone of the partner application</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Determines the connectivity path and the firewall request, which is long lead-time</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Connectivity request</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Accept</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8</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Upstream systems producing the content</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Primary input to the trust posture determination</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Governance determination</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Accept</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9</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Downstream systems consuming the content</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Determines search, view and notification scope</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Retrieval design</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10</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Existing ECM footprint for this application</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Determines whether this reuses an existing profile or needs a new one</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Pattern match; profile design</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Accept</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11</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Named technical owner</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single accountable contact rather than a distribution list</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Every subsequent exchange</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Accept</w:t>
            </w:r>
          </w:p>
        </w:tc>
      </w:tr>
      <w:tr>
        <w:tc>
          <w:tcPr>
            <w:tcW w:type="dxa" w:w="42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C</w:t>
            </w:r>
          </w:p>
        </w:tc>
        <w:tc>
          <w:tcPr>
            <w:tcW w:type="dxa" w:w="225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Document inventory</w:t>
            </w:r>
          </w:p>
        </w:tc>
        <w:tc>
          <w:tcPr>
            <w:tcW w:type="dxa" w:w="355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c>
          <w:tcPr>
            <w:tcW w:type="dxa" w:w="170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c>
          <w:tcPr>
            <w:tcW w:type="dxa" w:w="144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12</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Document types, enumerated individually</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Each type requires its own classification decision</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Governance determination</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Accept</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13</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Source of each type — customer-uploaded or system-generated</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primary input to the trusted or untrusted determination</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Content processing design</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Accept</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14</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Representative samples: available, and when</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Governance determines posture by viewing documents on the flow, not from a description</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 baseline gate entirely</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Accept</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15</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Document sizes — typical and maximum</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Drives profile design and the ingestion approach</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Channel design</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16</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Document traits — signatures, handwriting, annotations, embedded content</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Decides whether human review sits behind AI classification, which adds weeks and a separate engagement</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Classification design; review sizing</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17</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Multi-context documents present</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Triggers context-splitting design, which is a distinct workstream</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Classification design</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18</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Migration volume — one-time initial load</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one-time peak that capacity sizing must absorb</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Capacity planning</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19</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Business-as-usual and peak volumes</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Determines whether formal load testing is triggered, and the ingestion design</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Load test determination</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w:t>
            </w:r>
          </w:p>
        </w:tc>
      </w:tr>
      <w:tr>
        <w:tc>
          <w:tcPr>
            <w:tcW w:type="dxa" w:w="42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D</w:t>
            </w:r>
          </w:p>
        </w:tc>
        <w:tc>
          <w:tcPr>
            <w:tcW w:type="dxa" w:w="225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Trust and classification inputs</w:t>
            </w:r>
          </w:p>
        </w:tc>
        <w:tc>
          <w:tcPr>
            <w:tcW w:type="dxa" w:w="355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c>
          <w:tcPr>
            <w:tcW w:type="dxa" w:w="170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c>
          <w:tcPr>
            <w:tcW w:type="dxa" w:w="144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20</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 view of trust posture</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Provisional only — shapes the governance submission, never the determination</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Governance submission quality</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21</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Existing classification for these types elsewhere</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Precedent and taxonomy reuse rather than re-derivation</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Taxonomy alignment</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22</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Current classification engine, if migrating</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Determines which migration pattern applies</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Pattern match</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Accept</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23</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Document types likely absent from the current taxonomy</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Knowledge base extension is governance work with its own lead time, on the critical path</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Untrusted workstream</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24</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Tolerance for human review volume</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Sizes the human-in-the-loop engagement rather than discovering the load in production</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Review engagement sizing</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w:t>
            </w:r>
          </w:p>
        </w:tc>
      </w:tr>
      <w:tr>
        <w:tc>
          <w:tcPr>
            <w:tcW w:type="dxa" w:w="42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E</w:t>
            </w:r>
          </w:p>
        </w:tc>
        <w:tc>
          <w:tcPr>
            <w:tcW w:type="dxa" w:w="225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Retention and regulatory</w:t>
            </w:r>
          </w:p>
        </w:tc>
        <w:tc>
          <w:tcPr>
            <w:tcW w:type="dxa" w:w="355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c>
          <w:tcPr>
            <w:tcW w:type="dxa" w:w="170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c>
          <w:tcPr>
            <w:tcW w:type="dxa" w:w="144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25</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Retention period and the basis for it</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Determines the retention code applied on arrival</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RM questionnaire; repository selection</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Accept</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26</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Regulatory regime applicable</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Determines regulated versus non-regulated repository and forces the tier</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Tier assignment; repository selection</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Accept</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27</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Immutability or write-once requirement</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Repository selection, and not reversible later without migration</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Provisioning</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Accept</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28</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Legal hold requirement</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Affects configuration and access provisioning</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RM configuration</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29</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Destruction policy expectation</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Configured alongside retention; RM approval depends on it</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RM approval</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30</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Audit and governance access population</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Determines who must be provisioned for review and retrieval</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Access provisioning</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Provision</w:t>
            </w:r>
          </w:p>
        </w:tc>
      </w:tr>
      <w:tr>
        <w:tc>
          <w:tcPr>
            <w:tcW w:type="dxa" w:w="42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F</w:t>
            </w:r>
          </w:p>
        </w:tc>
        <w:tc>
          <w:tcPr>
            <w:tcW w:type="dxa" w:w="225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Channel and integration</w:t>
            </w:r>
          </w:p>
        </w:tc>
        <w:tc>
          <w:tcPr>
            <w:tcW w:type="dxa" w:w="355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c>
          <w:tcPr>
            <w:tcW w:type="dxa" w:w="170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c>
          <w:tcPr>
            <w:tcW w:type="dxa" w:w="144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31</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Target ingestion channel</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Determines the entire integration workstream</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All of provisioning and build</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Accept</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32</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Current channel, if migrating</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Determines the cutover design and the migration pattern</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Migration pattern</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Accept</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33</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Reconciliation requirement</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Drives notification and consumer group design</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Event enablement design</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34</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Retry and exception handling expectations</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Defines design scope and the failure-path test cases</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Reconciliation test design</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35</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Synchronous or asynchronous expectation</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Decides API versus event-driven design</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Channel design</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36</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Throughput profile — steady or bursty</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Sizes the ingestion approach independently of total volume</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Capacity design</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37</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Dual-target requirement — more than one repository</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Forces the tier and substantially changes the design</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Tier assignment</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Accept</w:t>
            </w:r>
          </w:p>
        </w:tc>
      </w:tr>
      <w:tr>
        <w:tc>
          <w:tcPr>
            <w:tcW w:type="dxa" w:w="42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G</w:t>
            </w:r>
          </w:p>
        </w:tc>
        <w:tc>
          <w:tcPr>
            <w:tcW w:type="dxa" w:w="225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Metadata and retrieval</w:t>
            </w:r>
          </w:p>
        </w:tc>
        <w:tc>
          <w:tcPr>
            <w:tcW w:type="dxa" w:w="355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c>
          <w:tcPr>
            <w:tcW w:type="dxa" w:w="170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c>
          <w:tcPr>
            <w:tcW w:type="dxa" w:w="144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38</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Metadata attributes to be stored</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Cannot be retrofitted without reprocessing content already stored</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Repository onboarding</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39</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Search criteria users will realistically use</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What someone will actually know about a document years later</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Search enablement</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40</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Security key, legal entity and organisational mappings</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security control as much as a data design</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Profile configuration</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Provision</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41</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Viewer integration requirement</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Determines whether the viewer workstream is in scope</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Viewer workstream</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42</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Retrieval expectations</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Shapes design, though rarely a hard constraint</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Retrieval design</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w:t>
            </w:r>
          </w:p>
        </w:tc>
      </w:tr>
      <w:tr>
        <w:tc>
          <w:tcPr>
            <w:tcW w:type="dxa" w:w="42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H</w:t>
            </w:r>
          </w:p>
        </w:tc>
        <w:tc>
          <w:tcPr>
            <w:tcW w:type="dxa" w:w="225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Security, access and users</w:t>
            </w:r>
          </w:p>
        </w:tc>
        <w:tc>
          <w:tcPr>
            <w:tcW w:type="dxa" w:w="355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c>
          <w:tcPr>
            <w:tcW w:type="dxa" w:w="170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c>
          <w:tcPr>
            <w:tcW w:type="dxa" w:w="144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43</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User populations requiring access</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Determines provisioning scope and which routing path applies</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Access provisioning</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Provision</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44</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Non-production and production user counts</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Determines provisioning volume and timing</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Access provisioning</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Provision</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45</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Service account requirements</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Service accounts route differently from human access; the wrong path simply waits</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Provisioning</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Provision</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46</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Certificate requirements and any existing certificates</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Long lead-time, and blocks integration testing if late</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Integration testing</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Provision</w:t>
            </w:r>
          </w:p>
        </w:tc>
      </w:tr>
      <w:tr>
        <w:tc>
          <w:tcPr>
            <w:tcW w:type="dxa" w:w="42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I</w:t>
            </w:r>
          </w:p>
        </w:tc>
        <w:tc>
          <w:tcPr>
            <w:tcW w:type="dxa" w:w="225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Environments, testing and cutover</w:t>
            </w:r>
          </w:p>
        </w:tc>
        <w:tc>
          <w:tcPr>
            <w:tcW w:type="dxa" w:w="355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c>
          <w:tcPr>
            <w:tcW w:type="dxa" w:w="170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c>
          <w:tcPr>
            <w:tcW w:type="dxa" w:w="144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47</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 environments and their readiness dates</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Determines promotion ladder planning</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Environment progression</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Provision</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48</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UAT participants and their availability</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UAT cannot be scheduled without them, and it gates promotion</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UAT scheduling</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Certify</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49</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Cutover constraints — freezes, blackouts, business calendar</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Release planning fails late when a calendar constraint surfaces at the end</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Release scheduling</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Certify</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50</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Parallel run requirement</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Changes both design and duration materially</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Cutover design</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w:t>
            </w:r>
          </w:p>
        </w:tc>
      </w:tr>
      <w:tr>
        <w:tc>
          <w:tcPr>
            <w:tcW w:type="dxa" w:w="42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J</w:t>
            </w:r>
          </w:p>
        </w:tc>
        <w:tc>
          <w:tcPr>
            <w:tcW w:type="dxa" w:w="225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Support and ownership</w:t>
            </w:r>
          </w:p>
        </w:tc>
        <w:tc>
          <w:tcPr>
            <w:tcW w:type="dxa" w:w="355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c>
          <w:tcPr>
            <w:tcW w:type="dxa" w:w="170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c>
          <w:tcPr>
            <w:tcW w:type="dxa" w:w="144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51</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Partner-side production support model</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Determines what the handover must contain</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Support handover</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Certify</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52</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Escalation contacts</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Operational necessity; support will not accept without them</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Handover acceptance</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Certify</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53</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Monitoring and alerting expectations</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Feeds the operational runbook</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Runbook generation</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Certify</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54</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Post-go-live ownership</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Defines the business-as-usual transition</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Handover acceptance</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Certify</w:t>
            </w:r>
          </w:p>
        </w:tc>
      </w:tr>
    </w:tbl>
    <w:p>
      <w:pPr>
        <w:spacing w:after="140"/>
      </w:pPr>
      <w:r>
        <w:t xml:space="preserve"/>
      </w:r>
    </w:p>
    <w:tbl>
      <w:tblPr>
        <w:tblW w:type="dxa" w:w="9360"/>
        <w:tblBorders>
          <w:top w:val="single" w:color="15304F" w:sz="6"/>
          <w:left w:val="single" w:color="15304F" w:sz="6"/>
          <w:bottom w:val="single" w:color="15304F" w:sz="6"/>
          <w:right w:val="single" w:color="15304F" w:sz="6"/>
          <w:insideH w:val="none"/>
          <w:insideV w:val="none"/>
        </w:tblBorders>
      </w:tblPr>
      <w:tblGrid>
        <w:gridCol w:w="9360"/>
      </w:tblGrid>
      <w:tr>
        <w:tc>
          <w:tcPr>
            <w:tcW w:type="dxa" w:w="9360"/>
            <w:shd w:fill="EEF2F7" w:color="auto" w:val="clear"/>
            <w:tcMar>
              <w:top w:type="dxa" w:w="140"/>
              <w:left w:type="dxa" w:w="165"/>
              <w:bottom w:type="dxa" w:w="140"/>
              <w:right w:type="dxa" w:w="165"/>
            </w:tcMar>
          </w:tcPr>
          <w:p>
            <w:pPr>
              <w:spacing w:after="85"/>
            </w:pPr>
            <w:r>
              <w:rPr>
                <w:rFonts w:ascii="Calibri" w:cs="Calibri" w:eastAsia="Calibri" w:hAnsi="Calibri"/>
                <w:b/>
                <w:bCs/>
                <w:color w:val="15304F"/>
                <w:sz w:val="20"/>
                <w:szCs w:val="20"/>
              </w:rPr>
              <w:t xml:space="preserve">HOW TO USE THIS APPENDIX</w:t>
            </w:r>
          </w:p>
          <w:p>
            <w:pPr>
              <w:spacing w:after="65"/>
            </w:pPr>
            <w:r>
              <w:rPr>
                <w:rFonts w:ascii="Calibri" w:cs="Calibri" w:eastAsia="Calibri" w:hAnsi="Calibri"/>
                <w:color w:val="1B2432"/>
                <w:sz w:val="20"/>
                <w:szCs w:val="20"/>
              </w:rPr>
              <w:t xml:space="preserve">It is three things at once. It is the specification for building the intake copilot. It is the source content for the why-register. And it is the induction material for a new enabling squad member, because it is the knowledge currently held unevenly in experienced engineers' heads.</w:t>
            </w:r>
          </w:p>
          <w:p>
            <w:pPr>
              <w:spacing w:after="65"/>
            </w:pPr>
            <w:r>
              <w:rPr>
                <w:rFonts w:ascii="Calibri" w:cs="Calibri" w:eastAsia="Calibri" w:hAnsi="Calibri"/>
                <w:color w:val="1B2432"/>
                <w:sz w:val="20"/>
                <w:szCs w:val="20"/>
              </w:rPr>
              <w:t xml:space="preserve">It is deliberately not final. Entries are added and sharpened continuously from clinic questions and gate failures — a question that partners repeatedly misunderstand is a why-register defect, not a partner defect.</w:t>
            </w:r>
          </w:p>
          <w:p>
            <w:pPr>
              <w:spacing w:after="65"/>
            </w:pPr>
            <w:r>
              <w:rPr>
                <w:rFonts w:ascii="Calibri" w:cs="Calibri" w:eastAsia="Calibri" w:hAnsi="Calibri"/>
                <w:color w:val="1B2432"/>
                <w:sz w:val="20"/>
                <w:szCs w:val="20"/>
              </w:rPr>
              <w:t xml:space="preserve">Writing the first version is roughly two weeks of two experienced engineers and a governance analyst. It is the highest-leverage fortnight in the whole programme.</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606E"/>
        <w:sz w:val="16"/>
        <w:szCs w:val="16"/>
      </w:rPr>
      <w:t xml:space="preserve">ECM Partner Enablement — A Tiered Enablement Model   ·   </w:t>
    </w:r>
    <w:r>
      <w:rPr>
        <w:rFonts w:ascii="Calibri" w:cs="Calibri" w:eastAsia="Calibri" w:hAnsi="Calibri"/>
        <w:color w:val="55606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780" w:hanging="200"/>
      </w:pPr>
    </w:lvl>
  </w:abstractNum>
  <w:abstractNum w:abstractNumId="3" w15:restartNumberingAfterBreak="0">
    <w:multiLevelType w:val="hybridMultilevel"/>
    <w:lvl w:ilvl="0" w15:tentative="1">
      <w:start w:val="1"/>
      <w:numFmt w:val="decimal"/>
      <w:lvlText w:val="%1."/>
      <w:lvlJc w:val="left"/>
      <w:pPr>
        <w:ind w:left="420" w:hanging="23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3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ECM Partner Enablement — A Tiered Enablement Model</dc:title>
  <dc:creator>ECM Partner Enablement</dc:creator>
  <dc:description>Lean, Lean+ and Dedicated enablement models: design and architecture</dc:description>
  <cp:lastModifiedBy>Un-named</cp:lastModifiedBy>
  <cp:revision>1</cp:revision>
  <dcterms:created xsi:type="dcterms:W3CDTF">2026-10-16T12:04:36.261Z</dcterms:created>
  <dcterms:modified xsi:type="dcterms:W3CDTF">2026-10-16T12:04:36.266Z</dcterms:modified>
</cp:coreProperties>
</file>

<file path=docProps/custom.xml><?xml version="1.0" encoding="utf-8"?>
<Properties xmlns="http://schemas.openxmlformats.org/officeDocument/2006/custom-properties" xmlns:vt="http://schemas.openxmlformats.org/officeDocument/2006/docPropsVTypes"/>
</file>