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Calibri" w:cs="Calibri" w:eastAsia="Calibri" w:hAnsi="Calibri"/>
          <w:b/>
          <w:bCs/>
          <w:color w:val="C05621"/>
          <w:spacing w:val="40"/>
          <w:sz w:val="22"/>
          <w:szCs w:val="22"/>
        </w:rPr>
        <w:t xml:space="preserve">ECM / ICMP</w:t>
      </w:r>
    </w:p>
    <w:p>
      <w:pPr>
        <w:spacing w:after="0" w:before="200"/>
      </w:pPr>
      <w:r>
        <w:rPr>
          <w:rFonts w:ascii="Cambria" w:cs="Cambria" w:eastAsia="Cambria" w:hAnsi="Cambria"/>
          <w:b/>
          <w:bCs/>
          <w:color w:val="1E2761"/>
          <w:sz w:val="56"/>
          <w:szCs w:val="56"/>
        </w:rPr>
        <w:t xml:space="preserve">Partner Onboarding</w:t>
      </w:r>
    </w:p>
    <w:p>
      <w:pPr>
        <w:spacing w:after="240" w:before="60"/>
      </w:pPr>
      <w:r>
        <w:rPr>
          <w:rFonts w:ascii="Cambria" w:cs="Cambria" w:eastAsia="Cambria" w:hAnsi="Cambria"/>
          <w:color w:val="1B2432"/>
          <w:sz w:val="28"/>
          <w:szCs w:val="28"/>
        </w:rPr>
        <w:t xml:space="preserve">Current State, Worked Use Case, and Target State with Onboard360AI</w:t>
      </w:r>
    </w:p>
    <w:p>
      <w:pPr>
        <w:pBdr>
          <w:top w:val="single" w:color="1E2761" w:sz="8"/>
        </w:pBdr>
        <w:spacing w:after="400" w:before="200"/>
      </w:pPr>
      <w:r>
        <w:t xml:space="preserve"/>
      </w:r>
    </w:p>
    <w:p>
      <w:pPr>
        <w:spacing w:after="120"/>
      </w:pPr>
      <w:r>
        <w:rPr>
          <w:rFonts w:ascii="Calibri" w:cs="Calibri" w:eastAsia="Calibri" w:hAnsi="Calibri"/>
          <w:b/>
          <w:bCs/>
          <w:color w:val="1B2432"/>
          <w:sz w:val="22"/>
          <w:szCs w:val="22"/>
        </w:rPr>
        <w:t xml:space="preserve">This document has three parts. </w:t>
      </w:r>
      <w:r>
        <w:rPr>
          <w:rFonts w:ascii="Calibri" w:cs="Calibri" w:eastAsia="Calibri" w:hAnsi="Calibri"/>
          <w:color w:val="1B2432"/>
          <w:sz w:val="22"/>
          <w:szCs w:val="22"/>
        </w:rPr>
        <w:t xml:space="preserve">Part 1 describes how partner onboarding operates today, stage by stage, from intake through to production go-live. Part 2 runs a real onboarding through the same nine stages, showing what is done, who owns it, and why each activity belongs where it sits. Part 3 sets out the target state — Onboard360AI as an orchestrating sub-agent on iDocs Canvas — with the full sub-agent roster, the complete skills catalogue, and the skills exposed to each type of user.</w:t>
      </w:r>
    </w:p>
    <w:p>
      <w:pPr>
        <w:spacing w:after="400"/>
      </w:pPr>
      <w:r>
        <w:t xml:space="preserve"/>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600"/>
        <w:gridCol w:w="6760"/>
      </w:tblGrid>
      <w:tr>
        <w:trPr>
          <w:tblHeader/>
        </w:trPr>
        <w:tc>
          <w:tcPr>
            <w:tcW w:type="dxa" w:w="2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Field</w:t>
            </w:r>
          </w:p>
        </w:tc>
        <w:tc>
          <w:tcPr>
            <w:tcW w:type="dxa" w:w="67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Value</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Document title</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 Current State, Worked Use Case, and Target State</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Scope</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ECM / ICMP partner onboarding, intake to production go-live</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Parts</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 Current-state process   </w:t>
            </w:r>
          </w:p>
          <w:p>
            <w:pPr>
              <w:spacing w:after="0"/>
            </w:pPr>
            <w:r>
              <w:rPr>
                <w:rFonts w:ascii="Calibri" w:cs="Calibri" w:eastAsia="Calibri" w:hAnsi="Calibri"/>
                <w:b w:val="false"/>
                <w:bCs w:val="false"/>
                <w:color w:val="1B2432"/>
                <w:sz w:val="19"/>
                <w:szCs w:val="19"/>
              </w:rPr>
              <w:t xml:space="preserve">2. Worked use case   </w:t>
            </w:r>
          </w:p>
          <w:p>
            <w:pPr>
              <w:spacing w:after="0"/>
            </w:pPr>
            <w:r>
              <w:rPr>
                <w:rFonts w:ascii="Calibri" w:cs="Calibri" w:eastAsia="Calibri" w:hAnsi="Calibri"/>
                <w:b w:val="false"/>
                <w:bCs w:val="false"/>
                <w:color w:val="1B2432"/>
                <w:sz w:val="19"/>
                <w:szCs w:val="19"/>
              </w:rPr>
              <w:t xml:space="preserve">3. Target state with Onboard360AI</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Revision</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Updated to reflect Imaging Governance decision rights over the trusted/untrusted determination and document classification allocation</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Target platform</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iDocs Canvas (Tachyon SDK)</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Agent</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Onboard360AI — Master Onboarding Agent, sub-agent of the Platform Specialist Agent</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Status</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Draft for review</w:t>
            </w:r>
          </w:p>
        </w:tc>
      </w:tr>
    </w:tbl>
    <w:p>
      <w:r>
        <w:br w:type="page"/>
      </w:r>
    </w:p>
    <w:p>
      <w:pPr>
        <w:spacing w:after="240"/>
      </w:pPr>
      <w:r>
        <w:rPr>
          <w:rFonts w:ascii="Cambria" w:cs="Cambria" w:eastAsia="Cambria" w:hAnsi="Cambria"/>
          <w:b/>
          <w:bCs/>
          <w:color w:val="1E2761"/>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mbria" w:cs="Cambria" w:eastAsia="Cambria" w:hAnsi="Cambria"/>
          <w:b/>
          <w:bCs/>
          <w:color w:val="1E2761"/>
          <w:sz w:val="32"/>
          <w:szCs w:val="32"/>
        </w:rPr>
        <w:t xml:space="preserve">Part 1 — Current-State Process: Intake to Production Go-Live</w:t>
      </w:r>
    </w:p>
    <w:p>
      <w:pPr>
        <w:spacing w:after="120" w:before="0"/>
      </w:pPr>
      <w:r>
        <w:rPr>
          <w:rFonts w:ascii="Calibri" w:cs="Calibri" w:eastAsia="Calibri" w:hAnsi="Calibri"/>
          <w:b w:val="false"/>
          <w:bCs w:val="false"/>
          <w:i w:val="false"/>
          <w:iCs w:val="false"/>
          <w:color w:val="1B2432"/>
          <w:sz w:val="21"/>
          <w:szCs w:val="21"/>
        </w:rPr>
        <w:t xml:space="preserve">This part describes how partner onboarding to ECM/ICMP operates today, stage by stage. It is written as a process narrative rather than a checklist, because the value of the description lies in understanding why each stage exists, what it consumes, what it produces, and what has to be true before the next stage can start. Everything described here is executed or coordinated by people. No part of the flow described in this section is automated.</w:t>
      </w:r>
    </w:p>
    <w:p>
      <w:pPr>
        <w:pStyle w:val="Heading2"/>
        <w:spacing w:after="160" w:before="300"/>
      </w:pPr>
      <w:r>
        <w:rPr>
          <w:rFonts w:ascii="Cambria" w:cs="Cambria" w:eastAsia="Cambria" w:hAnsi="Cambria"/>
          <w:b/>
          <w:bCs/>
          <w:color w:val="1E2761"/>
          <w:sz w:val="26"/>
          <w:szCs w:val="26"/>
        </w:rPr>
        <w:t xml:space="preserve">1.1 Structure of the Flow</w:t>
      </w:r>
    </w:p>
    <w:p>
      <w:pPr>
        <w:spacing w:after="120" w:before="0"/>
      </w:pPr>
      <w:r>
        <w:rPr>
          <w:rFonts w:ascii="Calibri" w:cs="Calibri" w:eastAsia="Calibri" w:hAnsi="Calibri"/>
          <w:b w:val="false"/>
          <w:bCs w:val="false"/>
          <w:i w:val="false"/>
          <w:iCs w:val="false"/>
          <w:color w:val="1B2432"/>
          <w:sz w:val="21"/>
          <w:szCs w:val="21"/>
        </w:rPr>
        <w:t xml:space="preserve">The onboarding journey is a fixed sequence of nine stages. No stage is skipped, and the sequence does not vary by partner type or by the size of the request. What varies is how long each stage takes and how many teams are drawn into it.</w:t>
      </w:r>
    </w:p>
    <w:p>
      <w:pPr>
        <w:spacing w:after="120" w:before="0"/>
      </w:pPr>
      <w:r>
        <w:rPr>
          <w:rFonts w:ascii="Calibri" w:cs="Calibri" w:eastAsia="Calibri" w:hAnsi="Calibri"/>
          <w:b w:val="false"/>
          <w:bCs w:val="false"/>
          <w:i w:val="false"/>
          <w:iCs w:val="false"/>
          <w:color w:val="1B2432"/>
          <w:sz w:val="21"/>
          <w:szCs w:val="21"/>
        </w:rPr>
        <w:t xml:space="preserve">The nine stages group naturally into three phases: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200"/>
        <w:gridCol w:w="2400"/>
        <w:gridCol w:w="4760"/>
      </w:tblGrid>
      <w:tr>
        <w:trPr>
          <w:tblHeader/>
        </w:trPr>
        <w:tc>
          <w:tcPr>
            <w:tcW w:type="dxa" w:w="2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c>
          <w:tcPr>
            <w:tcW w:type="dxa" w:w="2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Stages</w:t>
            </w:r>
          </w:p>
        </w:tc>
        <w:tc>
          <w:tcPr>
            <w:tcW w:type="dxa" w:w="47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the phase establishes</w:t>
            </w:r>
          </w:p>
        </w:tc>
      </w:tr>
      <w:tr>
        <w:tc>
          <w:tcPr>
            <w:tcW w:type="dxa" w:w="22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Intake &amp; Prioritisation</w:t>
            </w:r>
          </w:p>
        </w:tc>
        <w:tc>
          <w:tcPr>
            <w:tcW w:type="dxa" w:w="2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 Partner Request</w:t>
            </w:r>
          </w:p>
          <w:p>
            <w:pPr>
              <w:spacing w:after="0"/>
            </w:pPr>
            <w:r>
              <w:rPr>
                <w:rFonts w:ascii="Calibri" w:cs="Calibri" w:eastAsia="Calibri" w:hAnsi="Calibri"/>
                <w:b w:val="false"/>
                <w:bCs w:val="false"/>
                <w:color w:val="1B2432"/>
                <w:sz w:val="19"/>
                <w:szCs w:val="19"/>
              </w:rPr>
              <w:t xml:space="preserve">2 Intake Review</w:t>
            </w:r>
          </w:p>
          <w:p>
            <w:pPr>
              <w:spacing w:after="0"/>
            </w:pPr>
            <w:r>
              <w:rPr>
                <w:rFonts w:ascii="Calibri" w:cs="Calibri" w:eastAsia="Calibri" w:hAnsi="Calibri"/>
                <w:b w:val="false"/>
                <w:bCs w:val="false"/>
                <w:color w:val="1B2432"/>
                <w:sz w:val="19"/>
                <w:szCs w:val="19"/>
              </w:rPr>
              <w:t xml:space="preserve">3 LOB Priority</w:t>
            </w:r>
          </w:p>
          <w:p>
            <w:pPr>
              <w:spacing w:after="0"/>
            </w:pPr>
            <w:r>
              <w:rPr>
                <w:rFonts w:ascii="Calibri" w:cs="Calibri" w:eastAsia="Calibri" w:hAnsi="Calibri"/>
                <w:b w:val="false"/>
                <w:bCs w:val="false"/>
                <w:color w:val="1B2432"/>
                <w:sz w:val="19"/>
                <w:szCs w:val="19"/>
              </w:rPr>
              <w:t xml:space="preserve">4 Discovery &amp; Triage</w:t>
            </w:r>
          </w:p>
        </w:tc>
        <w:tc>
          <w:tcPr>
            <w:tcW w:type="dxa" w:w="4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Whether the demand is real, complete, understood, and worth doing relative to everything else the Line of Business wants.</w:t>
            </w:r>
          </w:p>
        </w:tc>
      </w:tr>
      <w:tr>
        <w:tc>
          <w:tcPr>
            <w:tcW w:type="dxa" w:w="22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Planning &amp; Commitment</w:t>
            </w:r>
          </w:p>
        </w:tc>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5 Product Epic Creation</w:t>
            </w:r>
          </w:p>
          <w:p>
            <w:pPr>
              <w:spacing w:after="0"/>
            </w:pPr>
            <w:r>
              <w:rPr>
                <w:rFonts w:ascii="Calibri" w:cs="Calibri" w:eastAsia="Calibri" w:hAnsi="Calibri"/>
                <w:b w:val="false"/>
                <w:bCs w:val="false"/>
                <w:color w:val="1B2432"/>
                <w:sz w:val="19"/>
                <w:szCs w:val="19"/>
              </w:rPr>
              <w:t xml:space="preserve">6 Quarterly Big Room Planning</w:t>
            </w:r>
          </w:p>
          <w:p>
            <w:pPr>
              <w:spacing w:after="0"/>
            </w:pPr>
            <w:r>
              <w:rPr>
                <w:rFonts w:ascii="Calibri" w:cs="Calibri" w:eastAsia="Calibri" w:hAnsi="Calibri"/>
                <w:b w:val="false"/>
                <w:bCs w:val="false"/>
                <w:color w:val="1B2432"/>
                <w:sz w:val="19"/>
                <w:szCs w:val="19"/>
              </w:rPr>
              <w:t xml:space="preserve">7 Capacity Assessment</w:t>
            </w:r>
          </w:p>
        </w:tc>
        <w:tc>
          <w:tcPr>
            <w:tcW w:type="dxa" w:w="4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Whether the delivery organisation can and will take the work, expressed as a formal commitment against a planning increment.</w:t>
            </w:r>
          </w:p>
        </w:tc>
      </w:tr>
      <w:tr>
        <w:tc>
          <w:tcPr>
            <w:tcW w:type="dxa" w:w="22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Build &amp; Go-Live</w:t>
            </w:r>
          </w:p>
        </w:tc>
        <w:tc>
          <w:tcPr>
            <w:tcW w:type="dxa" w:w="2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8 Development &amp; Delivery</w:t>
            </w:r>
          </w:p>
          <w:p>
            <w:pPr>
              <w:spacing w:after="0"/>
            </w:pPr>
            <w:r>
              <w:rPr>
                <w:rFonts w:ascii="Calibri" w:cs="Calibri" w:eastAsia="Calibri" w:hAnsi="Calibri"/>
                <w:b w:val="false"/>
                <w:bCs w:val="false"/>
                <w:color w:val="1B2432"/>
                <w:sz w:val="19"/>
                <w:szCs w:val="19"/>
              </w:rPr>
              <w:t xml:space="preserve">9 Partner Live</w:t>
            </w:r>
          </w:p>
        </w:tc>
        <w:tc>
          <w:tcPr>
            <w:tcW w:type="dxa" w:w="4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Whether the solution actually works, is compliant, is supportable, and can be operated in production by teams other than the ones that built it.</w:t>
            </w:r>
          </w:p>
        </w:tc>
      </w:tr>
    </w:tbl>
    <w:p>
      <w:pPr>
        <w:spacing w:after="120"/>
      </w:pPr>
      <w:r>
        <w:t xml:space="preserve"/>
      </w:r>
    </w:p>
    <w:p>
      <w:pPr>
        <w:spacing w:after="120" w:before="0"/>
      </w:pPr>
      <w:r>
        <w:rPr>
          <w:rFonts w:ascii="Calibri" w:cs="Calibri" w:eastAsia="Calibri" w:hAnsi="Calibri"/>
          <w:b w:val="false"/>
          <w:bCs w:val="false"/>
          <w:i w:val="false"/>
          <w:iCs w:val="false"/>
          <w:color w:val="1B2432"/>
          <w:sz w:val="21"/>
          <w:szCs w:val="21"/>
        </w:rPr>
        <w:t xml:space="preserve">The distinction between the phases matters when reading the effort profile. The first phase is dominated by information gathering and judgement. The second is dominated by negotiation and sequencing. The third is dominated by engineering execution and validation. They fail in different ways and for different reasons, and the interventions that improve one do very little for the others.</w:t>
      </w:r>
    </w:p>
    <w:p>
      <w:pPr>
        <w:pStyle w:val="Heading2"/>
        <w:spacing w:after="160" w:before="300"/>
      </w:pPr>
      <w:r>
        <w:rPr>
          <w:rFonts w:ascii="Cambria" w:cs="Cambria" w:eastAsia="Cambria" w:hAnsi="Cambria"/>
          <w:b/>
          <w:bCs/>
          <w:color w:val="1E2761"/>
          <w:sz w:val="26"/>
          <w:szCs w:val="26"/>
        </w:rPr>
        <w:t xml:space="preserve">1.2 The Partner Onboarding Resource</w:t>
      </w:r>
    </w:p>
    <w:p>
      <w:pPr>
        <w:spacing w:after="120" w:before="0"/>
      </w:pPr>
      <w:r>
        <w:rPr>
          <w:rFonts w:ascii="Calibri" w:cs="Calibri" w:eastAsia="Calibri" w:hAnsi="Calibri"/>
          <w:b w:val="false"/>
          <w:bCs w:val="false"/>
          <w:i w:val="false"/>
          <w:iCs w:val="false"/>
          <w:color w:val="1B2432"/>
          <w:sz w:val="21"/>
          <w:szCs w:val="21"/>
        </w:rPr>
        <w:t xml:space="preserve">Before walking the stages it is necessary to describe the role that runs through all of them, because the process cannot be understood without it.</w:t>
      </w:r>
    </w:p>
    <w:p>
      <w:pPr>
        <w:spacing w:after="120" w:before="0"/>
      </w:pPr>
      <w:r>
        <w:rPr>
          <w:rFonts w:ascii="Calibri" w:cs="Calibri" w:eastAsia="Calibri" w:hAnsi="Calibri"/>
          <w:b w:val="false"/>
          <w:bCs w:val="false"/>
          <w:i w:val="false"/>
          <w:iCs w:val="false"/>
          <w:color w:val="1B2432"/>
          <w:sz w:val="21"/>
          <w:szCs w:val="21"/>
        </w:rPr>
        <w:t xml:space="preserve">A partner onboarding resource acts as an ICMP ambassador. The role exists to help a partner integrate their system with ICMP in a way that lets the business accomplish its goals, while ensuring the content that lands in ICMP remains valuable to the enterprise as a whole. Those two objectives are not automatically aligned — a partner optimising for their own delivery timeline will not naturally optimise for enterprise metadata quality, retention correctness, or downstream searchability — and reconciling them is a large part of what the role does.</w:t>
      </w:r>
    </w:p>
    <w:p>
      <w:pPr>
        <w:spacing w:after="120" w:before="0"/>
      </w:pPr>
      <w:r>
        <w:rPr>
          <w:rFonts w:ascii="Calibri" w:cs="Calibri" w:eastAsia="Calibri" w:hAnsi="Calibri"/>
          <w:b w:val="false"/>
          <w:bCs w:val="false"/>
          <w:i w:val="false"/>
          <w:iCs w:val="false"/>
          <w:color w:val="1B2432"/>
          <w:sz w:val="21"/>
          <w:szCs w:val="21"/>
        </w:rPr>
        <w:t xml:space="preserve">The role is defined by three characteristics:</w:t>
      </w:r>
    </w:p>
    <w:p>
      <w:pPr>
        <w:pStyle w:val="ListParagraph"/>
        <w:numPr>
          <w:ilvl w:val="0"/>
          <w:numId w:val="2"/>
        </w:numPr>
        <w:spacing w:after="70"/>
      </w:pPr>
      <w:r>
        <w:rPr>
          <w:rFonts w:ascii="Calibri" w:cs="Calibri" w:eastAsia="Calibri" w:hAnsi="Calibri"/>
          <w:color w:val="1B2432"/>
          <w:sz w:val="21"/>
          <w:szCs w:val="21"/>
        </w:rPr>
        <w:t xml:space="preserve">It is accountable for the onboarding completing successfully and on time, which means it owns the expectations set with the partner and the follow-up needed to hold them.</w:t>
      </w:r>
    </w:p>
    <w:p>
      <w:pPr>
        <w:pStyle w:val="ListParagraph"/>
        <w:numPr>
          <w:ilvl w:val="0"/>
          <w:numId w:val="2"/>
        </w:numPr>
        <w:spacing w:after="70"/>
      </w:pPr>
      <w:r>
        <w:rPr>
          <w:rFonts w:ascii="Calibri" w:cs="Calibri" w:eastAsia="Calibri" w:hAnsi="Calibri"/>
          <w:color w:val="1B2432"/>
          <w:sz w:val="21"/>
          <w:szCs w:val="21"/>
        </w:rPr>
        <w:t xml:space="preserve">It is a subject-matter expert engaged from start to finish, not a coordinator who hands off. The same person who takes the first call attends the deployment validation call.</w:t>
      </w:r>
    </w:p>
    <w:p>
      <w:pPr>
        <w:pStyle w:val="ListParagraph"/>
        <w:numPr>
          <w:ilvl w:val="0"/>
          <w:numId w:val="2"/>
        </w:numPr>
        <w:spacing w:after="70"/>
      </w:pPr>
      <w:r>
        <w:rPr>
          <w:rFonts w:ascii="Calibri" w:cs="Calibri" w:eastAsia="Calibri" w:hAnsi="Calibri"/>
          <w:color w:val="1B2432"/>
          <w:sz w:val="21"/>
          <w:szCs w:val="21"/>
        </w:rPr>
        <w:t xml:space="preserve">It adapts as required and holds a vested interest in each effort it leads, meaning it absorbs the variability that the standard process does not anticipate.</w:t>
      </w:r>
    </w:p>
    <w:p>
      <w:pPr>
        <w:spacing w:after="120" w:before="120"/>
      </w:pPr>
      <w:r>
        <w:rPr>
          <w:rFonts w:ascii="Calibri" w:cs="Calibri" w:eastAsia="Calibri" w:hAnsi="Calibri"/>
          <w:b w:val="false"/>
          <w:bCs w:val="false"/>
          <w:i w:val="false"/>
          <w:iCs w:val="false"/>
          <w:color w:val="1B2432"/>
          <w:sz w:val="21"/>
          <w:szCs w:val="21"/>
        </w:rPr>
        <w:t xml:space="preserve">The responsibilities carried by the role across the lifecycle are as follows.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600"/>
        <w:gridCol w:w="6760"/>
      </w:tblGrid>
      <w:tr>
        <w:trPr>
          <w:tblHeader/>
        </w:trPr>
        <w:tc>
          <w:tcPr>
            <w:tcW w:type="dxa" w:w="2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Responsibility area</w:t>
            </w:r>
          </w:p>
        </w:tc>
        <w:tc>
          <w:tcPr>
            <w:tcW w:type="dxa" w:w="67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covers</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Project engagement</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Initial meeting with the partner team; understanding partner and documentation requirements; understanding document types, document sizes and document traits.</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Agreement</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Reviewing the ICMP Partner System Agreement and securing partner sign-off.</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Capacity planning</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Collecting the volume picture and driving the capacity planning conversation.</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SPLI engagement</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System Performance Load Ingestion Testing engagement where volumes warrant it.</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Security analysis</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System security analysis and user security analysis.</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Apigee</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Apigee-related onboarding and engagement, including obtaining approvals.</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Technology notes</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Technical specification and technology notes.</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KEES</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Kafka Enablement Engagement Services onboarding activities.</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Records Management</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Retention requirement gathering and the RM onboarding questionnaire.</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Readiness</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Confirming UAT sign-off and production-support readiness.</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Release transition</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Creating and finalising the Release Transition page and documentation.</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Go-live</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Verifying the final production call.</w:t>
            </w:r>
          </w:p>
        </w:tc>
      </w:tr>
    </w:tbl>
    <w:p>
      <w:pPr>
        <w:spacing w:after="120"/>
      </w:pPr>
      <w:r>
        <w:t xml:space="preserve"/>
      </w:r>
    </w:p>
    <w:p>
      <w:pPr>
        <w:spacing w:after="120" w:before="0"/>
      </w:pPr>
      <w:r>
        <w:rPr>
          <w:rFonts w:ascii="Calibri" w:cs="Calibri" w:eastAsia="Calibri" w:hAnsi="Calibri"/>
          <w:b w:val="false"/>
          <w:bCs w:val="false"/>
          <w:i w:val="false"/>
          <w:iCs w:val="false"/>
          <w:color w:val="1B2432"/>
          <w:sz w:val="21"/>
          <w:szCs w:val="21"/>
        </w:rPr>
        <w:t xml:space="preserve">Alongside those responsibilities the role carries a set of expected behaviours that shape how the process feels to a partner: providing timely information when requested, explaining the onboarding process, following up on tasks the partner must perform so deadlines are met, providing Apigee and KEES approvals to obtain clearances, supporting SDLC and release management questions, identifying issues by working across the partner and engineering teams and communicating resolutions, updating partner-facing tracking tools, ensuring deployed changes are included in the production-support handoff and Release Transition call, supporting post-production deployment and release-night activities, attending deployment validation calls, and acting as SME for partner questions.</w:t>
      </w:r>
    </w:p>
    <w:tbl>
      <w:tblPr>
        <w:tblW w:type="dxa" w:w="9360"/>
        <w:tblBorders>
          <w:top w:val="single" w:color="C05621" w:sz="6"/>
          <w:left w:val="single" w:color="C05621" w:sz="6"/>
          <w:bottom w:val="single" w:color="C05621" w:sz="6"/>
          <w:right w:val="single" w:color="C05621" w:sz="6"/>
          <w:insideH w:val="none"/>
          <w:insideV w:val="none"/>
        </w:tblBorders>
      </w:tblPr>
      <w:tblGrid>
        <w:gridCol w:w="9360"/>
      </w:tblGrid>
      <w:tr>
        <w:tc>
          <w:tcPr>
            <w:tcW w:type="dxa" w:w="9360"/>
            <w:shd w:fill="FDF6F1" w:color="auto" w:val="clear"/>
            <w:tcMar>
              <w:top w:type="dxa" w:w="140"/>
              <w:left w:type="dxa" w:w="160"/>
              <w:bottom w:type="dxa" w:w="140"/>
              <w:right w:type="dxa" w:w="160"/>
            </w:tcMar>
          </w:tcPr>
          <w:p>
            <w:pPr>
              <w:spacing w:after="80"/>
            </w:pPr>
            <w:r>
              <w:rPr>
                <w:rFonts w:ascii="Calibri" w:cs="Calibri" w:eastAsia="Calibri" w:hAnsi="Calibri"/>
                <w:b/>
                <w:bCs/>
                <w:color w:val="C05621"/>
                <w:sz w:val="20"/>
                <w:szCs w:val="20"/>
              </w:rPr>
              <w:t xml:space="preserve">WHY THIS MATTERS FOR THE REST OF THE DOCUMENT</w:t>
            </w:r>
          </w:p>
          <w:p>
            <w:pPr>
              <w:spacing w:after="60"/>
            </w:pPr>
            <w:r>
              <w:rPr>
                <w:rFonts w:ascii="Calibri" w:cs="Calibri" w:eastAsia="Calibri" w:hAnsi="Calibri"/>
                <w:color w:val="1B2432"/>
                <w:sz w:val="20"/>
                <w:szCs w:val="20"/>
              </w:rPr>
              <w:t xml:space="preserve">The role is engaged in eight of the nine stages. It is the only role in the process that is. Every other participant enters, contributes, and leaves.</w:t>
            </w:r>
          </w:p>
          <w:p>
            <w:pPr>
              <w:spacing w:after="60"/>
            </w:pPr>
            <w:r>
              <w:rPr>
                <w:rFonts w:ascii="Calibri" w:cs="Calibri" w:eastAsia="Calibri" w:hAnsi="Calibri"/>
                <w:color w:val="1B2432"/>
                <w:sz w:val="20"/>
                <w:szCs w:val="20"/>
              </w:rPr>
              <w:t xml:space="preserve">That means the connective tissue of the entire onboarding — what was agreed, what is outstanding, who owes what, which approval is blocking which activity — lives in one person's working memory and follow-up discipline rather than in a system.</w:t>
            </w:r>
          </w:p>
          <w:p>
            <w:pPr>
              <w:spacing w:after="60"/>
            </w:pPr>
            <w:r>
              <w:rPr>
                <w:rFonts w:ascii="Calibri" w:cs="Calibri" w:eastAsia="Calibri" w:hAnsi="Calibri"/>
                <w:color w:val="1B2432"/>
                <w:sz w:val="20"/>
                <w:szCs w:val="20"/>
              </w:rPr>
              <w:t xml:space="preserve">This is not a criticism of how the role is performed. It is a structural observation, and it is the specific constraint that Part 3 addresses.</w:t>
            </w:r>
          </w:p>
        </w:tc>
      </w:tr>
    </w:tbl>
    <w:p>
      <w:pPr>
        <w:pStyle w:val="Heading2"/>
        <w:spacing w:after="160" w:before="300"/>
      </w:pPr>
      <w:r>
        <w:rPr>
          <w:rFonts w:ascii="Cambria" w:cs="Cambria" w:eastAsia="Cambria" w:hAnsi="Cambria"/>
          <w:b/>
          <w:bCs/>
          <w:color w:val="1E2761"/>
          <w:sz w:val="26"/>
          <w:szCs w:val="26"/>
        </w:rPr>
        <w:t xml:space="preserve">1.3 The Imaging Governance Team</w:t>
      </w:r>
    </w:p>
    <w:p>
      <w:pPr>
        <w:spacing w:after="120" w:before="0"/>
      </w:pPr>
      <w:r>
        <w:rPr>
          <w:rFonts w:ascii="Calibri" w:cs="Calibri" w:eastAsia="Calibri" w:hAnsi="Calibri"/>
          <w:b w:val="false"/>
          <w:bCs w:val="false"/>
          <w:i w:val="false"/>
          <w:iCs w:val="false"/>
          <w:color w:val="1B2432"/>
          <w:sz w:val="21"/>
          <w:szCs w:val="21"/>
        </w:rPr>
        <w:t xml:space="preserve">A second role holds decision rights that shape the entire content-processing design, and it sits outside the delivery chain described above.</w:t>
      </w:r>
    </w:p>
    <w:p>
      <w:pPr>
        <w:spacing w:after="120" w:before="0"/>
      </w:pPr>
      <w:r>
        <w:rPr>
          <w:rFonts w:ascii="Calibri" w:cs="Calibri" w:eastAsia="Calibri" w:hAnsi="Calibri"/>
          <w:b w:val="false"/>
          <w:bCs w:val="false"/>
          <w:i w:val="false"/>
          <w:iCs w:val="false"/>
          <w:color w:val="1B2432"/>
          <w:sz w:val="21"/>
          <w:szCs w:val="21"/>
        </w:rPr>
        <w:t xml:space="preserve">The Imaging Governance team decides whether documents are trusted or untrusted. The determination is not made from a description of the document on paper — it is made by viewing the documents themselves as they appear on the flow. That distinction matters, because a document type described in a workbook and the same document type seen in the actual ingestion flow frequently differ in ways that change the determination.</w:t>
      </w:r>
    </w:p>
    <w:p>
      <w:pPr>
        <w:spacing w:after="120" w:before="0"/>
      </w:pPr>
      <w:r>
        <w:rPr>
          <w:rFonts w:ascii="Calibri" w:cs="Calibri" w:eastAsia="Calibri" w:hAnsi="Calibri"/>
          <w:b w:val="false"/>
          <w:bCs w:val="false"/>
          <w:i w:val="false"/>
          <w:iCs w:val="false"/>
          <w:color w:val="1B2432"/>
          <w:sz w:val="21"/>
          <w:szCs w:val="21"/>
        </w:rPr>
        <w:t xml:space="preserve">For documents determined to be trusted, the same team allocates the document classification: the document category, the document type, and the document subtype. That allocation is what the platform applies when the document arrives, and it is what retention, retrieval and audit are subsequently keyed to.</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800"/>
        <w:gridCol w:w="6560"/>
      </w:tblGrid>
      <w:tr>
        <w:trPr>
          <w:tblHeader/>
        </w:trPr>
        <w:tc>
          <w:tcPr>
            <w:tcW w:type="dxa" w:w="28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Decision</w:t>
            </w:r>
          </w:p>
        </w:tc>
        <w:tc>
          <w:tcPr>
            <w:tcW w:type="dxa" w:w="65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governs</w:t>
            </w:r>
          </w:p>
        </w:tc>
      </w:tr>
      <w:tr>
        <w:tc>
          <w:tcPr>
            <w:tcW w:type="dxa" w:w="28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Trusted versus untrusted determination</w:t>
            </w:r>
          </w:p>
        </w:tc>
        <w:tc>
          <w:tcPr>
            <w:tcW w:type="dxa" w:w="65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Whether a document path requires the full untrusted chain — virus scanning, AI classification, human-in-the-loop validation — or bypasses classification as trusted content. This single determination sets the scope of an entire delivery workstream.</w:t>
            </w:r>
          </w:p>
        </w:tc>
      </w:tr>
      <w:tr>
        <w:tc>
          <w:tcPr>
            <w:tcW w:type="dxa" w:w="28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Document classification allocation</w:t>
            </w:r>
          </w:p>
        </w:tc>
        <w:tc>
          <w:tcPr>
            <w:tcW w:type="dxa" w:w="65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For trusted documents, the document category, type and subtype. This is the classification the platform applies on arrival, and the key that retention schedules, search filters and audit retrieval are built against.</w:t>
            </w:r>
          </w:p>
        </w:tc>
      </w:tr>
    </w:tbl>
    <w:p>
      <w:pPr>
        <w:spacing w:after="120"/>
      </w:pPr>
      <w:r>
        <w:t xml:space="preserve"/>
      </w:r>
    </w:p>
    <w:p>
      <w:pPr>
        <w:spacing w:after="120" w:before="0"/>
      </w:pPr>
      <w:r>
        <w:rPr>
          <w:rFonts w:ascii="Calibri" w:cs="Calibri" w:eastAsia="Calibri" w:hAnsi="Calibri"/>
          <w:b w:val="false"/>
          <w:bCs w:val="false"/>
          <w:i w:val="false"/>
          <w:iCs w:val="false"/>
          <w:color w:val="1B2432"/>
          <w:sz w:val="21"/>
          <w:szCs w:val="21"/>
        </w:rPr>
        <w:t xml:space="preserve">Two consequences follow, and both affect sequencing.</w:t>
      </w:r>
    </w:p>
    <w:p>
      <w:pPr>
        <w:pStyle w:val="ListParagraph"/>
        <w:numPr>
          <w:ilvl w:val="0"/>
          <w:numId w:val="2"/>
        </w:numPr>
        <w:spacing w:after="70"/>
      </w:pPr>
      <w:r>
        <w:rPr>
          <w:rFonts w:ascii="Calibri" w:cs="Calibri" w:eastAsia="Calibri" w:hAnsi="Calibri"/>
          <w:b/>
          <w:bCs/>
          <w:i w:val="false"/>
          <w:iCs w:val="false"/>
          <w:color w:val="1B2432"/>
          <w:sz w:val="21"/>
          <w:szCs w:val="21"/>
        </w:rPr>
        <w:t xml:space="preserve">Document samples are needed earlier than delivery. </w:t>
      </w:r>
      <w:r>
        <w:rPr>
          <w:rFonts w:ascii="Calibri" w:cs="Calibri" w:eastAsia="Calibri" w:hAnsi="Calibri"/>
          <w:b w:val="false"/>
          <w:bCs w:val="false"/>
          <w:i w:val="false"/>
          <w:iCs w:val="false"/>
          <w:color w:val="1B2432"/>
          <w:sz w:val="21"/>
          <w:szCs w:val="21"/>
        </w:rPr>
        <w:t xml:space="preserve">The determination requires the team to see the documents on the flow, which means representative samples must be available at discovery rather than during build. An onboarding that defers sample collection to stage 8 cannot have its content-processing scope confirmed at stage 4, and will carry that uncertainty into capacity assessment.</w:t>
      </w:r>
    </w:p>
    <w:p>
      <w:pPr>
        <w:pStyle w:val="ListParagraph"/>
        <w:numPr>
          <w:ilvl w:val="0"/>
          <w:numId w:val="2"/>
        </w:numPr>
        <w:spacing w:after="70"/>
      </w:pPr>
      <w:r>
        <w:rPr>
          <w:rFonts w:ascii="Calibri" w:cs="Calibri" w:eastAsia="Calibri" w:hAnsi="Calibri"/>
          <w:b/>
          <w:bCs/>
          <w:i w:val="false"/>
          <w:iCs w:val="false"/>
          <w:color w:val="1B2432"/>
          <w:sz w:val="21"/>
          <w:szCs w:val="21"/>
        </w:rPr>
        <w:t xml:space="preserve">The determination is a decision, not a recommendation. </w:t>
      </w:r>
      <w:r>
        <w:rPr>
          <w:rFonts w:ascii="Calibri" w:cs="Calibri" w:eastAsia="Calibri" w:hAnsi="Calibri"/>
          <w:b w:val="false"/>
          <w:bCs w:val="false"/>
          <w:i w:val="false"/>
          <w:iCs w:val="false"/>
          <w:color w:val="1B2432"/>
          <w:sz w:val="21"/>
          <w:szCs w:val="21"/>
        </w:rPr>
        <w:t xml:space="preserve">Product owners, architects and the onboarding resource may form a view on whether content is trusted, and that view is useful for early scoping. It is not the determination. Designing against an assumed classification and discovering the governance position differs means reworking profile design, classification configuration and potentially the retention keying.</w:t>
      </w:r>
    </w:p>
    <w:tbl>
      <w:tblPr>
        <w:tblW w:type="dxa" w:w="9360"/>
        <w:tblBorders>
          <w:top w:val="single" w:color="C05621" w:sz="6"/>
          <w:left w:val="single" w:color="C05621" w:sz="6"/>
          <w:bottom w:val="single" w:color="C05621" w:sz="6"/>
          <w:right w:val="single" w:color="C05621" w:sz="6"/>
          <w:insideH w:val="none"/>
          <w:insideV w:val="none"/>
        </w:tblBorders>
      </w:tblPr>
      <w:tblGrid>
        <w:gridCol w:w="9360"/>
      </w:tblGrid>
      <w:tr>
        <w:tc>
          <w:tcPr>
            <w:tcW w:type="dxa" w:w="9360"/>
            <w:shd w:fill="FDF6F1" w:color="auto" w:val="clear"/>
            <w:tcMar>
              <w:top w:type="dxa" w:w="140"/>
              <w:left w:type="dxa" w:w="160"/>
              <w:bottom w:type="dxa" w:w="140"/>
              <w:right w:type="dxa" w:w="160"/>
            </w:tcMar>
          </w:tcPr>
          <w:p>
            <w:pPr>
              <w:spacing w:after="80"/>
            </w:pPr>
            <w:r>
              <w:rPr>
                <w:rFonts w:ascii="Calibri" w:cs="Calibri" w:eastAsia="Calibri" w:hAnsi="Calibri"/>
                <w:b/>
                <w:bCs/>
                <w:color w:val="C05621"/>
                <w:sz w:val="20"/>
                <w:szCs w:val="20"/>
              </w:rPr>
              <w:t xml:space="preserve">WHY THIS IS DISTINCT FROM THE OTHER SPECIALIST TEAMS</w:t>
            </w:r>
          </w:p>
          <w:p>
            <w:pPr>
              <w:spacing w:after="60"/>
            </w:pPr>
            <w:r>
              <w:rPr>
                <w:rFonts w:ascii="Calibri" w:cs="Calibri" w:eastAsia="Calibri" w:hAnsi="Calibri"/>
                <w:color w:val="1B2432"/>
                <w:sz w:val="20"/>
                <w:szCs w:val="20"/>
              </w:rPr>
              <w:t xml:space="preserve">The classification, human-in-the-loop, records management, gateway and Kafka teams provide services. They configure what they are asked to configure.</w:t>
            </w:r>
          </w:p>
          <w:p>
            <w:pPr>
              <w:spacing w:after="60"/>
            </w:pPr>
            <w:r>
              <w:rPr>
                <w:rFonts w:ascii="Calibri" w:cs="Calibri" w:eastAsia="Calibri" w:hAnsi="Calibri"/>
                <w:color w:val="1B2432"/>
                <w:sz w:val="20"/>
                <w:szCs w:val="20"/>
              </w:rPr>
              <w:t xml:space="preserve">Imaging Governance holds a decision right. It determines what the rest of the content-processing workstream is required to build, and for trusted content it determines the classification the platform applies.</w:t>
            </w:r>
          </w:p>
          <w:p>
            <w:pPr>
              <w:spacing w:after="60"/>
            </w:pPr>
            <w:r>
              <w:rPr>
                <w:rFonts w:ascii="Calibri" w:cs="Calibri" w:eastAsia="Calibri" w:hAnsi="Calibri"/>
                <w:color w:val="1B2432"/>
                <w:sz w:val="20"/>
                <w:szCs w:val="20"/>
              </w:rPr>
              <w:t xml:space="preserve">That distinction matters for Part 3: a service can be automated or accelerated. A decision right can be prepared for, tracked and carried forward — but it cannot be taken over by an agent.</w:t>
            </w:r>
          </w:p>
        </w:tc>
      </w:tr>
    </w:tbl>
    <w:p>
      <w:pPr>
        <w:pStyle w:val="Heading2"/>
        <w:spacing w:after="160" w:before="300"/>
      </w:pPr>
      <w:r>
        <w:rPr>
          <w:rFonts w:ascii="Cambria" w:cs="Cambria" w:eastAsia="Cambria" w:hAnsi="Cambria"/>
          <w:b/>
          <w:bCs/>
          <w:color w:val="1E2761"/>
          <w:sz w:val="26"/>
          <w:szCs w:val="26"/>
        </w:rPr>
        <w:t xml:space="preserve">1.4 Deliverables Produced Across the Lifecycle</w:t>
      </w:r>
    </w:p>
    <w:p>
      <w:pPr>
        <w:spacing w:after="120" w:before="0"/>
      </w:pPr>
      <w:r>
        <w:rPr>
          <w:rFonts w:ascii="Calibri" w:cs="Calibri" w:eastAsia="Calibri" w:hAnsi="Calibri"/>
          <w:b w:val="false"/>
          <w:bCs w:val="false"/>
          <w:i w:val="false"/>
          <w:iCs w:val="false"/>
          <w:color w:val="1B2432"/>
          <w:sz w:val="21"/>
          <w:szCs w:val="21"/>
        </w:rPr>
        <w:t xml:space="preserve">Four named deliverables are authored during onboarding. Each is assembled by hand, and each is assembled largely from information that already exists elsewhere in the process.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600"/>
        <w:gridCol w:w="6760"/>
      </w:tblGrid>
      <w:tr>
        <w:trPr>
          <w:tblHeader/>
        </w:trPr>
        <w:tc>
          <w:tcPr>
            <w:tcW w:type="dxa" w:w="2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Deliverable</w:t>
            </w:r>
          </w:p>
        </w:tc>
        <w:tc>
          <w:tcPr>
            <w:tcW w:type="dxa" w:w="67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Purpose and content</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Production Release Transition Page</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Group-specific application information supporting the ICMP support teams — the ICMP Platform Support team, the Delivery Management team, and the Cloud/Hosting Engineering team. It is the artefact that makes the solution supportable by people who did not build it.</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Partner System Agreement</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Describes the details of the partner's use of ICMP for document storage and other ICMP capabilities. Typically carries the wording of the agreement, evidence of partner sign-off, the attached email, and the copied support and management teams.</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RM Onboarding Questionnaire</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Used by Records Management to document and configure the retention required for documents ingested into ICMP. It is the input that turns a business retention requirement into an enforced retention schedule.</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TS Profile Updates &amp; Configuration Changes</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technical specification profile updates and the configuration changes needed for the partner application to operate against ICMP.</w:t>
            </w:r>
          </w:p>
        </w:tc>
      </w:tr>
    </w:tbl>
    <w:p>
      <w:r>
        <w:br w:type="page"/>
      </w:r>
    </w:p>
    <w:p>
      <w:pPr>
        <w:pStyle w:val="Heading2"/>
        <w:spacing w:after="160" w:before="300"/>
      </w:pPr>
      <w:r>
        <w:rPr>
          <w:rFonts w:ascii="Cambria" w:cs="Cambria" w:eastAsia="Cambria" w:hAnsi="Cambria"/>
          <w:b/>
          <w:bCs/>
          <w:color w:val="1E2761"/>
          <w:sz w:val="26"/>
          <w:szCs w:val="26"/>
        </w:rPr>
        <w:t xml:space="preserve">1.5 Stage 1 — Partner Request</w:t>
      </w:r>
    </w:p>
    <w:p>
      <w:pPr>
        <w:pStyle w:val="Heading3"/>
        <w:spacing w:after="120" w:before="240"/>
      </w:pPr>
      <w:r>
        <w:rPr>
          <w:rFonts w:ascii="Calibri" w:cs="Calibri" w:eastAsia="Calibri" w:hAnsi="Calibri"/>
          <w:b/>
          <w:bCs/>
          <w:color w:val="1B2432"/>
          <w:sz w:val="23"/>
          <w:szCs w:val="23"/>
        </w:rPr>
        <w:t xml:space="preserve">What happens</w:t>
      </w:r>
    </w:p>
    <w:p>
      <w:pPr>
        <w:spacing w:after="120" w:before="0"/>
      </w:pPr>
      <w:r>
        <w:rPr>
          <w:rFonts w:ascii="Calibri" w:cs="Calibri" w:eastAsia="Calibri" w:hAnsi="Calibri"/>
          <w:b w:val="false"/>
          <w:bCs w:val="false"/>
          <w:i w:val="false"/>
          <w:iCs w:val="false"/>
          <w:color w:val="1B2432"/>
          <w:sz w:val="21"/>
          <w:szCs w:val="21"/>
        </w:rPr>
        <w:t xml:space="preserve">The onboarding journey begins when a partner or application team identifies a business need and submits a request for ECM/CMP services. The requestor downloads the Definition of Ready workbook and completes it.</w:t>
      </w:r>
    </w:p>
    <w:p>
      <w:pPr>
        <w:pStyle w:val="Heading3"/>
        <w:spacing w:after="120" w:before="240"/>
      </w:pPr>
      <w:r>
        <w:rPr>
          <w:rFonts w:ascii="Calibri" w:cs="Calibri" w:eastAsia="Calibri" w:hAnsi="Calibri"/>
          <w:b/>
          <w:bCs/>
          <w:color w:val="1B2432"/>
          <w:sz w:val="23"/>
          <w:szCs w:val="23"/>
        </w:rPr>
        <w:t xml:space="preserve">Activities performed</w:t>
      </w:r>
    </w:p>
    <w:p>
      <w:pPr>
        <w:pStyle w:val="ListParagraph"/>
        <w:numPr>
          <w:ilvl w:val="0"/>
          <w:numId w:val="2"/>
        </w:numPr>
        <w:spacing w:after="70"/>
      </w:pPr>
      <w:r>
        <w:rPr>
          <w:rFonts w:ascii="Calibri" w:cs="Calibri" w:eastAsia="Calibri" w:hAnsi="Calibri"/>
          <w:color w:val="1B2432"/>
          <w:sz w:val="21"/>
          <w:szCs w:val="21"/>
        </w:rPr>
        <w:t xml:space="preserve">The business need is articulated — what the partner is trying to achieve, for which users, and why ICMP is the right destination for the content.</w:t>
      </w:r>
    </w:p>
    <w:p>
      <w:pPr>
        <w:pStyle w:val="ListParagraph"/>
        <w:numPr>
          <w:ilvl w:val="0"/>
          <w:numId w:val="2"/>
        </w:numPr>
        <w:spacing w:after="70"/>
      </w:pPr>
      <w:r>
        <w:rPr>
          <w:rFonts w:ascii="Calibri" w:cs="Calibri" w:eastAsia="Calibri" w:hAnsi="Calibri"/>
          <w:color w:val="1B2432"/>
          <w:sz w:val="21"/>
          <w:szCs w:val="21"/>
        </w:rPr>
        <w:t xml:space="preserve">The Definition of Ready workbook is downloaded and completed.</w:t>
      </w:r>
    </w:p>
    <w:p>
      <w:pPr>
        <w:pStyle w:val="ListParagraph"/>
        <w:numPr>
          <w:ilvl w:val="0"/>
          <w:numId w:val="2"/>
        </w:numPr>
        <w:spacing w:after="70"/>
      </w:pPr>
      <w:r>
        <w:rPr>
          <w:rFonts w:ascii="Calibri" w:cs="Calibri" w:eastAsia="Calibri" w:hAnsi="Calibri"/>
          <w:color w:val="1B2432"/>
          <w:sz w:val="21"/>
          <w:szCs w:val="21"/>
        </w:rPr>
        <w:t xml:space="preserve">Business objectives are stated in terms that a product team can evaluate.</w:t>
      </w:r>
    </w:p>
    <w:p>
      <w:pPr>
        <w:pStyle w:val="ListParagraph"/>
        <w:numPr>
          <w:ilvl w:val="0"/>
          <w:numId w:val="2"/>
        </w:numPr>
        <w:spacing w:after="70"/>
      </w:pPr>
      <w:r>
        <w:rPr>
          <w:rFonts w:ascii="Calibri" w:cs="Calibri" w:eastAsia="Calibri" w:hAnsi="Calibri"/>
          <w:color w:val="1B2432"/>
          <w:sz w:val="21"/>
          <w:szCs w:val="21"/>
        </w:rPr>
        <w:t xml:space="preserve">Onboarding requirements are captured — the specific ICMP capabilities the partner needs, such as archival, retention, search, retrieval, viewing, or notification.</w:t>
      </w:r>
    </w:p>
    <w:p>
      <w:pPr>
        <w:pStyle w:val="ListParagraph"/>
        <w:numPr>
          <w:ilvl w:val="0"/>
          <w:numId w:val="2"/>
        </w:numPr>
        <w:spacing w:after="70"/>
      </w:pPr>
      <w:r>
        <w:rPr>
          <w:rFonts w:ascii="Calibri" w:cs="Calibri" w:eastAsia="Calibri" w:hAnsi="Calibri"/>
          <w:color w:val="1B2432"/>
          <w:sz w:val="21"/>
          <w:szCs w:val="21"/>
        </w:rPr>
        <w:t xml:space="preserve">The document profile is captured: document types, document sizes, and document traits.</w:t>
      </w:r>
    </w:p>
    <w:p>
      <w:pPr>
        <w:pStyle w:val="ListParagraph"/>
        <w:numPr>
          <w:ilvl w:val="0"/>
          <w:numId w:val="2"/>
        </w:numPr>
        <w:spacing w:after="70"/>
      </w:pPr>
      <w:r>
        <w:rPr>
          <w:rFonts w:ascii="Calibri" w:cs="Calibri" w:eastAsia="Calibri" w:hAnsi="Calibri"/>
          <w:color w:val="1B2432"/>
          <w:sz w:val="21"/>
          <w:szCs w:val="21"/>
        </w:rPr>
        <w:t xml:space="preserve">Dependencies are listed — other systems, other programmes, regulatory deadlines, and downstream consumers.</w:t>
      </w:r>
    </w:p>
    <w:p>
      <w:pPr>
        <w:pStyle w:val="ListParagraph"/>
        <w:numPr>
          <w:ilvl w:val="0"/>
          <w:numId w:val="2"/>
        </w:numPr>
        <w:spacing w:after="70"/>
      </w:pPr>
      <w:r>
        <w:rPr>
          <w:rFonts w:ascii="Calibri" w:cs="Calibri" w:eastAsia="Calibri" w:hAnsi="Calibri"/>
          <w:color w:val="1B2432"/>
          <w:sz w:val="21"/>
          <w:szCs w:val="21"/>
        </w:rPr>
        <w:t xml:space="preserve">Supporting detail is attached.</w:t>
      </w:r>
    </w:p>
    <w:p>
      <w:pPr>
        <w:pStyle w:val="Heading3"/>
        <w:spacing w:after="120" w:before="240"/>
      </w:pPr>
      <w:r>
        <w:rPr>
          <w:rFonts w:ascii="Calibri" w:cs="Calibri" w:eastAsia="Calibri" w:hAnsi="Calibri"/>
          <w:b/>
          <w:bCs/>
          <w:color w:val="1B2432"/>
          <w:sz w:val="23"/>
          <w:szCs w:val="23"/>
        </w:rPr>
        <w:t xml:space="preserve">Why this stage exists</w:t>
      </w:r>
    </w:p>
    <w:p>
      <w:pPr>
        <w:spacing w:after="120" w:before="0"/>
      </w:pPr>
      <w:r>
        <w:rPr>
          <w:rFonts w:ascii="Calibri" w:cs="Calibri" w:eastAsia="Calibri" w:hAnsi="Calibri"/>
          <w:b w:val="false"/>
          <w:bCs w:val="false"/>
          <w:i w:val="false"/>
          <w:iCs w:val="false"/>
          <w:color w:val="1B2432"/>
          <w:sz w:val="21"/>
          <w:szCs w:val="21"/>
        </w:rPr>
        <w:t xml:space="preserve">A complete intake package is what allows product teams to evaluate scope, readiness, and alignment with organisational priorities before engineering resource is invested. The cost of an incomplete package is not borne at intake — it is borne three stages later, in discovery and triage, when the missing information has to be chased and the intake sits in a follow-up loop. The document profile in particular has consequences far downstream: document types drive classification design, sizes and traits drive the trusted versus untrusted determination and the ICMP profile design, and volumes drive capacity planning and whether SPLI load testing is required at all.</w:t>
      </w:r>
    </w:p>
    <w:p>
      <w:pPr>
        <w:pStyle w:val="Heading3"/>
        <w:spacing w:after="120" w:before="240"/>
      </w:pPr>
      <w:r>
        <w:rPr>
          <w:rFonts w:ascii="Calibri" w:cs="Calibri" w:eastAsia="Calibri" w:hAnsi="Calibri"/>
          <w:b/>
          <w:bCs/>
          <w:color w:val="1B2432"/>
          <w:sz w:val="23"/>
          <w:szCs w:val="23"/>
        </w:rPr>
        <w:t xml:space="preserve">Participants and artefacts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900"/>
        <w:gridCol w:w="3600"/>
        <w:gridCol w:w="3860"/>
      </w:tblGrid>
      <w:tr>
        <w:trPr>
          <w:tblHeader/>
        </w:trPr>
        <w:tc>
          <w:tcPr>
            <w:tcW w:type="dxa" w:w="19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Aspect</w:t>
            </w:r>
          </w:p>
        </w:tc>
        <w:tc>
          <w:tcPr>
            <w:tcW w:type="dxa" w:w="3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Detail</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Note</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Accountable</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or application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requestor owns completeness.</w:t>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Supporting</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Explains the process and what a complete package looks like.</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Input</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Definition of Ready workbook template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Downloaded by the requestor.</w:t>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Output</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Completed DOR workbook and submitted request</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Becomes the basis of every later stage.</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Exit criteria</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Request submitted with supporting detail</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Completeness is judged in stage 2, not here.</w:t>
            </w:r>
          </w:p>
        </w:tc>
      </w:tr>
    </w:tbl>
    <w:p>
      <w:pPr>
        <w:pStyle w:val="Heading2"/>
        <w:spacing w:after="160" w:before="300"/>
      </w:pPr>
      <w:r>
        <w:rPr>
          <w:rFonts w:ascii="Cambria" w:cs="Cambria" w:eastAsia="Cambria" w:hAnsi="Cambria"/>
          <w:b/>
          <w:bCs/>
          <w:color w:val="1E2761"/>
          <w:sz w:val="26"/>
          <w:szCs w:val="26"/>
        </w:rPr>
        <w:t xml:space="preserve">1.6 Stage 2 — Intake Review</w:t>
      </w:r>
    </w:p>
    <w:p>
      <w:pPr>
        <w:pStyle w:val="Heading3"/>
        <w:spacing w:after="120" w:before="240"/>
      </w:pPr>
      <w:r>
        <w:rPr>
          <w:rFonts w:ascii="Calibri" w:cs="Calibri" w:eastAsia="Calibri" w:hAnsi="Calibri"/>
          <w:b/>
          <w:bCs/>
          <w:color w:val="1B2432"/>
          <w:sz w:val="23"/>
          <w:szCs w:val="23"/>
        </w:rPr>
        <w:t xml:space="preserve">What happens</w:t>
      </w:r>
    </w:p>
    <w:p>
      <w:pPr>
        <w:spacing w:after="120" w:before="0"/>
      </w:pPr>
      <w:r>
        <w:rPr>
          <w:rFonts w:ascii="Calibri" w:cs="Calibri" w:eastAsia="Calibri" w:hAnsi="Calibri"/>
          <w:b w:val="false"/>
          <w:bCs w:val="false"/>
          <w:i w:val="false"/>
          <w:iCs w:val="false"/>
          <w:color w:val="1B2432"/>
          <w:sz w:val="21"/>
          <w:szCs w:val="21"/>
        </w:rPr>
        <w:t xml:space="preserve">Once the request is submitted, the ECM intake team — L4 and L3 product managers — reviews the information for completeness, accuracy, and readiness.</w:t>
      </w:r>
    </w:p>
    <w:p>
      <w:pPr>
        <w:pStyle w:val="Heading3"/>
        <w:spacing w:after="120" w:before="240"/>
      </w:pPr>
      <w:r>
        <w:rPr>
          <w:rFonts w:ascii="Calibri" w:cs="Calibri" w:eastAsia="Calibri" w:hAnsi="Calibri"/>
          <w:b/>
          <w:bCs/>
          <w:color w:val="1B2432"/>
          <w:sz w:val="23"/>
          <w:szCs w:val="23"/>
        </w:rPr>
        <w:t xml:space="preserve">Activities performed</w:t>
      </w:r>
    </w:p>
    <w:p>
      <w:pPr>
        <w:pStyle w:val="ListParagraph"/>
        <w:numPr>
          <w:ilvl w:val="0"/>
          <w:numId w:val="2"/>
        </w:numPr>
        <w:spacing w:after="70"/>
      </w:pPr>
      <w:r>
        <w:rPr>
          <w:rFonts w:ascii="Calibri" w:cs="Calibri" w:eastAsia="Calibri" w:hAnsi="Calibri"/>
          <w:color w:val="1B2432"/>
          <w:sz w:val="21"/>
          <w:szCs w:val="21"/>
        </w:rPr>
        <w:t xml:space="preserve">The submission is reviewed for completeness, accuracy, and readiness.</w:t>
      </w:r>
    </w:p>
    <w:p>
      <w:pPr>
        <w:pStyle w:val="ListParagraph"/>
        <w:numPr>
          <w:ilvl w:val="0"/>
          <w:numId w:val="2"/>
        </w:numPr>
        <w:spacing w:after="70"/>
      </w:pPr>
      <w:r>
        <w:rPr>
          <w:rFonts w:ascii="Calibri" w:cs="Calibri" w:eastAsia="Calibri" w:hAnsi="Calibri"/>
          <w:color w:val="1B2432"/>
          <w:sz w:val="21"/>
          <w:szCs w:val="21"/>
        </w:rPr>
        <w:t xml:space="preserve">The intake coordinator opens the triage state by applying the initial triage label to the intake record.</w:t>
      </w:r>
    </w:p>
    <w:p>
      <w:pPr>
        <w:pStyle w:val="ListParagraph"/>
        <w:numPr>
          <w:ilvl w:val="0"/>
          <w:numId w:val="2"/>
        </w:numPr>
        <w:spacing w:after="70"/>
      </w:pPr>
      <w:r>
        <w:rPr>
          <w:rFonts w:ascii="Calibri" w:cs="Calibri" w:eastAsia="Calibri" w:hAnsi="Calibri"/>
          <w:color w:val="1B2432"/>
          <w:sz w:val="21"/>
          <w:szCs w:val="21"/>
        </w:rPr>
        <w:t xml:space="preserve">The intake team validates that all required details have been provided.</w:t>
      </w:r>
    </w:p>
    <w:p>
      <w:pPr>
        <w:pStyle w:val="ListParagraph"/>
        <w:numPr>
          <w:ilvl w:val="0"/>
          <w:numId w:val="2"/>
        </w:numPr>
        <w:spacing w:after="70"/>
      </w:pPr>
      <w:r>
        <w:rPr>
          <w:rFonts w:ascii="Calibri" w:cs="Calibri" w:eastAsia="Calibri" w:hAnsi="Calibri"/>
          <w:color w:val="1B2432"/>
          <w:sz w:val="21"/>
          <w:szCs w:val="21"/>
        </w:rPr>
        <w:t xml:space="preserve">The requestor is engaged to clarify missing information or stated assumptions.</w:t>
      </w:r>
    </w:p>
    <w:p>
      <w:pPr>
        <w:pStyle w:val="ListParagraph"/>
        <w:numPr>
          <w:ilvl w:val="0"/>
          <w:numId w:val="2"/>
        </w:numPr>
        <w:spacing w:after="70"/>
      </w:pPr>
      <w:r>
        <w:rPr>
          <w:rFonts w:ascii="Calibri" w:cs="Calibri" w:eastAsia="Calibri" w:hAnsi="Calibri"/>
          <w:color w:val="1B2432"/>
          <w:sz w:val="21"/>
          <w:szCs w:val="21"/>
        </w:rPr>
        <w:t xml:space="preserve">Requests that do not meet the minimum intake criteria are returned for revision.</w:t>
      </w:r>
    </w:p>
    <w:p>
      <w:pPr>
        <w:pStyle w:val="ListParagraph"/>
        <w:numPr>
          <w:ilvl w:val="0"/>
          <w:numId w:val="2"/>
        </w:numPr>
        <w:spacing w:after="70"/>
      </w:pPr>
      <w:r>
        <w:rPr>
          <w:rFonts w:ascii="Calibri" w:cs="Calibri" w:eastAsia="Calibri" w:hAnsi="Calibri"/>
          <w:color w:val="1B2432"/>
          <w:sz w:val="21"/>
          <w:szCs w:val="21"/>
        </w:rPr>
        <w:t xml:space="preserve">Complete requests are advanced to the prioritisation process.</w:t>
      </w:r>
    </w:p>
    <w:p>
      <w:pPr>
        <w:pStyle w:val="ListParagraph"/>
        <w:numPr>
          <w:ilvl w:val="0"/>
          <w:numId w:val="2"/>
        </w:numPr>
        <w:spacing w:after="70"/>
      </w:pPr>
      <w:r>
        <w:rPr>
          <w:rFonts w:ascii="Calibri" w:cs="Calibri" w:eastAsia="Calibri" w:hAnsi="Calibri"/>
          <w:color w:val="1B2432"/>
          <w:sz w:val="21"/>
          <w:szCs w:val="21"/>
        </w:rPr>
        <w:t xml:space="preserve">L3 product managers identify the product owners, architects, SMEs, and other ECM members who will need to be available for the discovery and triage discussions with the business and partner systems.</w:t>
      </w:r>
    </w:p>
    <w:p>
      <w:pPr>
        <w:pStyle w:val="Heading3"/>
        <w:spacing w:after="120" w:before="240"/>
      </w:pPr>
      <w:r>
        <w:rPr>
          <w:rFonts w:ascii="Calibri" w:cs="Calibri" w:eastAsia="Calibri" w:hAnsi="Calibri"/>
          <w:b/>
          <w:bCs/>
          <w:color w:val="1B2432"/>
          <w:sz w:val="23"/>
          <w:szCs w:val="23"/>
        </w:rPr>
        <w:t xml:space="preserve">Why this stage exists</w:t>
      </w:r>
    </w:p>
    <w:p>
      <w:pPr>
        <w:spacing w:after="120" w:before="0"/>
      </w:pPr>
      <w:r>
        <w:rPr>
          <w:rFonts w:ascii="Calibri" w:cs="Calibri" w:eastAsia="Calibri" w:hAnsi="Calibri"/>
          <w:b w:val="false"/>
          <w:bCs w:val="false"/>
          <w:i w:val="false"/>
          <w:iCs w:val="false"/>
          <w:color w:val="1B2432"/>
          <w:sz w:val="21"/>
          <w:szCs w:val="21"/>
        </w:rPr>
        <w:t xml:space="preserve">This is the gate that protects engineering capacity. Its purpose is not to judge whether the demand is worth doing — that is stage 3 — but whether the request is understood well enough for anyone to make that judgement. The second function of the stage, naming the participants for discovery, is easy to overlook but consequential: discovery cannot be scheduled until the right architects and SMEs are identified, and a discovery session held without the right specialist present produces a scope that has to be revisited.</w:t>
      </w:r>
    </w:p>
    <w:p>
      <w:pPr>
        <w:pStyle w:val="Heading3"/>
        <w:spacing w:after="120" w:before="240"/>
      </w:pPr>
      <w:r>
        <w:rPr>
          <w:rFonts w:ascii="Calibri" w:cs="Calibri" w:eastAsia="Calibri" w:hAnsi="Calibri"/>
          <w:b/>
          <w:bCs/>
          <w:color w:val="1B2432"/>
          <w:sz w:val="23"/>
          <w:szCs w:val="23"/>
        </w:rPr>
        <w:t xml:space="preserve">The triage label state machine</w:t>
      </w:r>
    </w:p>
    <w:p>
      <w:pPr>
        <w:spacing w:after="120" w:before="0"/>
      </w:pPr>
      <w:r>
        <w:rPr>
          <w:rFonts w:ascii="Calibri" w:cs="Calibri" w:eastAsia="Calibri" w:hAnsi="Calibri"/>
          <w:b w:val="false"/>
          <w:bCs w:val="false"/>
          <w:i w:val="false"/>
          <w:iCs w:val="false"/>
          <w:color w:val="1B2432"/>
          <w:sz w:val="21"/>
          <w:szCs w:val="21"/>
        </w:rPr>
        <w:t xml:space="preserve">The intake carries a triage state expressed through labels. The state machine is small but the transitions are meaningful, and each transition is performed manually by a named role.</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400"/>
        <w:gridCol w:w="2000"/>
        <w:gridCol w:w="4960"/>
      </w:tblGrid>
      <w:tr>
        <w:trPr>
          <w:tblHeader/>
        </w:trPr>
        <w:tc>
          <w:tcPr>
            <w:tcW w:type="dxa" w:w="2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State</w:t>
            </w:r>
          </w:p>
        </w:tc>
        <w:tc>
          <w:tcPr>
            <w:tcW w:type="dxa" w:w="20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Applied by</w:t>
            </w:r>
          </w:p>
        </w:tc>
        <w:tc>
          <w:tcPr>
            <w:tcW w:type="dxa" w:w="49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Meaning and required actions</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TRIAGE-NOT-STARTED</w:t>
            </w:r>
          </w:p>
        </w:tc>
        <w:tc>
          <w:tcPr>
            <w:tcW w:type="dxa" w:w="20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Intake coordinator</w:t>
            </w:r>
          </w:p>
        </w:tc>
        <w:tc>
          <w:tcPr>
            <w:tcW w:type="dxa" w:w="4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Applied when the intake is created. The intake is in the queue but no triage lead has picked it up.</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TRIAGE-AWAITING-DETAILS</w:t>
            </w:r>
          </w:p>
        </w:tc>
        <w:tc>
          <w:tcPr>
            <w:tcW w:type="dxa" w:w="20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Triage lead</w:t>
            </w:r>
          </w:p>
        </w:tc>
        <w:tc>
          <w:tcPr>
            <w:tcW w:type="dxa" w:w="4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Applied when the intake requires follow-up. Requires removal of the NOT-STARTED label, addition of the follow-up tags so the responsible person knows an additional call or further information is needed, and a note explaining what the follow-up is and when it must happen.</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TRIAGE-COMPLETED</w:t>
            </w:r>
          </w:p>
        </w:tc>
        <w:tc>
          <w:tcPr>
            <w:tcW w:type="dxa" w:w="20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Triage lead</w:t>
            </w:r>
          </w:p>
        </w:tc>
        <w:tc>
          <w:tcPr>
            <w:tcW w:type="dxa" w:w="4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Applied when triage is finished. Requires removal of the NOT-STARTED and AWAITING-DETAILS labels, addition of the appropriate DCRS area labels to the area label field, and entry of the triage completion date in the date field.</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Intake-Done</w:t>
            </w:r>
          </w:p>
        </w:tc>
        <w:tc>
          <w:tcPr>
            <w:tcW w:type="dxa" w:w="20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Intake coordinator</w:t>
            </w:r>
          </w:p>
        </w:tc>
        <w:tc>
          <w:tcPr>
            <w:tcW w:type="dxa" w:w="4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Closes the intake loop.</w:t>
            </w:r>
          </w:p>
        </w:tc>
      </w:tr>
    </w:tbl>
    <w:p>
      <w:pPr>
        <w:spacing w:after="120"/>
      </w:pPr>
      <w:r>
        <w:t xml:space="preserve"/>
      </w:r>
    </w:p>
    <w:p>
      <w:pPr>
        <w:spacing w:after="120" w:before="0"/>
      </w:pPr>
      <w:r>
        <w:rPr>
          <w:rFonts w:ascii="Calibri" w:cs="Calibri" w:eastAsia="Calibri" w:hAnsi="Calibri"/>
          <w:b w:val="false"/>
          <w:bCs w:val="false"/>
          <w:i w:val="false"/>
          <w:iCs w:val="false"/>
          <w:color w:val="1B2432"/>
          <w:sz w:val="21"/>
          <w:szCs w:val="21"/>
        </w:rPr>
        <w:t xml:space="preserve">An intake may move directly from TRIAGE-NOT-STARTED to TRIAGE-COMPLETED where no follow-up is required.</w:t>
      </w:r>
    </w:p>
    <w:p>
      <w:pPr>
        <w:spacing w:after="120" w:before="0"/>
      </w:pPr>
      <w:r>
        <w:rPr>
          <w:rFonts w:ascii="Calibri" w:cs="Calibri" w:eastAsia="Calibri" w:hAnsi="Calibri"/>
          <w:b w:val="false"/>
          <w:bCs w:val="false"/>
          <w:i w:val="false"/>
          <w:iCs w:val="false"/>
          <w:color w:val="1B2432"/>
          <w:sz w:val="21"/>
          <w:szCs w:val="21"/>
        </w:rPr>
        <w:t xml:space="preserve">In addition to the state labels, impact tags are applied during triage across several separate label fields. These include image capture, document generation impact, print-and-mail data-flow impact, SHRP impact, AI document classification, and impacted-component tagging. Each is applied by a person who has to recognise from the requirements that the impact exists.</w:t>
      </w:r>
    </w:p>
    <w:tbl>
      <w:tblPr>
        <w:tblW w:type="dxa" w:w="9360"/>
        <w:tblBorders>
          <w:top w:val="single" w:color="C05621" w:sz="6"/>
          <w:left w:val="single" w:color="C05621" w:sz="6"/>
          <w:bottom w:val="single" w:color="C05621" w:sz="6"/>
          <w:right w:val="single" w:color="C05621" w:sz="6"/>
          <w:insideH w:val="none"/>
          <w:insideV w:val="none"/>
        </w:tblBorders>
      </w:tblPr>
      <w:tblGrid>
        <w:gridCol w:w="9360"/>
      </w:tblGrid>
      <w:tr>
        <w:tc>
          <w:tcPr>
            <w:tcW w:type="dxa" w:w="9360"/>
            <w:shd w:fill="FDF6F1" w:color="auto" w:val="clear"/>
            <w:tcMar>
              <w:top w:type="dxa" w:w="140"/>
              <w:left w:type="dxa" w:w="160"/>
              <w:bottom w:type="dxa" w:w="140"/>
              <w:right w:type="dxa" w:w="160"/>
            </w:tcMar>
          </w:tcPr>
          <w:p>
            <w:pPr>
              <w:spacing w:after="80"/>
            </w:pPr>
            <w:r>
              <w:rPr>
                <w:rFonts w:ascii="Calibri" w:cs="Calibri" w:eastAsia="Calibri" w:hAnsi="Calibri"/>
                <w:b/>
                <w:bCs/>
                <w:color w:val="C05621"/>
                <w:sz w:val="20"/>
                <w:szCs w:val="20"/>
              </w:rPr>
              <w:t xml:space="preserve">WHERE THIS BECOMES FRAGILE</w:t>
            </w:r>
          </w:p>
          <w:p>
            <w:pPr>
              <w:spacing w:after="60"/>
            </w:pPr>
            <w:r>
              <w:rPr>
                <w:rFonts w:ascii="Calibri" w:cs="Calibri" w:eastAsia="Calibri" w:hAnsi="Calibri"/>
                <w:color w:val="1B2432"/>
                <w:sz w:val="20"/>
                <w:szCs w:val="20"/>
              </w:rPr>
              <w:t xml:space="preserve">Completing triage correctly requires coordinated manual edits across three separate label fields plus a date field. There is no validation that all four have been done.</w:t>
            </w:r>
          </w:p>
          <w:p>
            <w:pPr>
              <w:spacing w:after="60"/>
            </w:pPr>
            <w:r>
              <w:rPr>
                <w:rFonts w:ascii="Calibri" w:cs="Calibri" w:eastAsia="Calibri" w:hAnsi="Calibri"/>
                <w:color w:val="1B2432"/>
                <w:sz w:val="20"/>
                <w:szCs w:val="20"/>
              </w:rPr>
              <w:t xml:space="preserve">Routing to the correct downstream area team depends entirely on a person applying the right area and impact labels. An intake with a missing impact tag does not fail loudly — it silently never reaches the team that should have seen it.</w:t>
            </w:r>
          </w:p>
          <w:p>
            <w:pPr>
              <w:spacing w:after="60"/>
            </w:pPr>
            <w:r>
              <w:rPr>
                <w:rFonts w:ascii="Calibri" w:cs="Calibri" w:eastAsia="Calibri" w:hAnsi="Calibri"/>
                <w:color w:val="1B2432"/>
                <w:sz w:val="20"/>
                <w:szCs w:val="20"/>
              </w:rPr>
              <w:t xml:space="preserve">The follow-up loop depends on tags and a note being read by the right person at the right time. Nothing enforces the follow-up date.</w:t>
            </w:r>
          </w:p>
        </w:tc>
      </w:tr>
    </w:tbl>
    <w:p>
      <w:pPr>
        <w:pStyle w:val="Heading3"/>
        <w:spacing w:after="120" w:before="240"/>
      </w:pPr>
      <w:r>
        <w:rPr>
          <w:rFonts w:ascii="Calibri" w:cs="Calibri" w:eastAsia="Calibri" w:hAnsi="Calibri"/>
          <w:b/>
          <w:bCs/>
          <w:color w:val="1B2432"/>
          <w:sz w:val="23"/>
          <w:szCs w:val="23"/>
        </w:rPr>
        <w:t xml:space="preserve">Participants and artefacts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900"/>
        <w:gridCol w:w="3600"/>
        <w:gridCol w:w="3860"/>
      </w:tblGrid>
      <w:tr>
        <w:trPr>
          <w:tblHeader/>
        </w:trPr>
        <w:tc>
          <w:tcPr>
            <w:tcW w:type="dxa" w:w="19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Aspect</w:t>
            </w:r>
          </w:p>
        </w:tc>
        <w:tc>
          <w:tcPr>
            <w:tcW w:type="dxa" w:w="3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Detail</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Note</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Accountable</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ECM intake team — L4 and L3 product managers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Owns the completeness judgement.</w:t>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Supporting</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 partner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Clarifications are brokered here.</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Input</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Submitted request and DOR workbook</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Output</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Validated intake record; triage label opened; named participant list for discovery</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Exit criteria</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Intake meets minimum criteria and participants identified</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Otherwise returned for revision.</w:t>
            </w:r>
          </w:p>
        </w:tc>
      </w:tr>
    </w:tbl>
    <w:p>
      <w:pPr>
        <w:pStyle w:val="Heading2"/>
        <w:spacing w:after="160" w:before="300"/>
      </w:pPr>
      <w:r>
        <w:rPr>
          <w:rFonts w:ascii="Cambria" w:cs="Cambria" w:eastAsia="Cambria" w:hAnsi="Cambria"/>
          <w:b/>
          <w:bCs/>
          <w:color w:val="1E2761"/>
          <w:sz w:val="26"/>
          <w:szCs w:val="26"/>
        </w:rPr>
        <w:t xml:space="preserve">1.7 Stage 3 — LOB Priority</w:t>
      </w:r>
    </w:p>
    <w:p>
      <w:pPr>
        <w:pStyle w:val="Heading3"/>
        <w:spacing w:after="120" w:before="240"/>
      </w:pPr>
      <w:r>
        <w:rPr>
          <w:rFonts w:ascii="Calibri" w:cs="Calibri" w:eastAsia="Calibri" w:hAnsi="Calibri"/>
          <w:b/>
          <w:bCs/>
          <w:color w:val="1B2432"/>
          <w:sz w:val="23"/>
          <w:szCs w:val="23"/>
        </w:rPr>
        <w:t xml:space="preserve">What happens</w:t>
      </w:r>
    </w:p>
    <w:p>
      <w:pPr>
        <w:spacing w:after="120" w:before="0"/>
      </w:pPr>
      <w:r>
        <w:rPr>
          <w:rFonts w:ascii="Calibri" w:cs="Calibri" w:eastAsia="Calibri" w:hAnsi="Calibri"/>
          <w:b w:val="false"/>
          <w:bCs w:val="false"/>
          <w:i w:val="false"/>
          <w:iCs w:val="false"/>
          <w:color w:val="1B2432"/>
          <w:sz w:val="21"/>
          <w:szCs w:val="21"/>
        </w:rPr>
        <w:t xml:space="preserve">The requesting Line of Business reviews the onboarding demand and determines its relative priority within the broader portfolio of initiatives.</w:t>
      </w:r>
    </w:p>
    <w:p>
      <w:pPr>
        <w:pStyle w:val="Heading3"/>
        <w:spacing w:after="120" w:before="240"/>
      </w:pPr>
      <w:r>
        <w:rPr>
          <w:rFonts w:ascii="Calibri" w:cs="Calibri" w:eastAsia="Calibri" w:hAnsi="Calibri"/>
          <w:b/>
          <w:bCs/>
          <w:color w:val="1B2432"/>
          <w:sz w:val="23"/>
          <w:szCs w:val="23"/>
        </w:rPr>
        <w:t xml:space="preserve">Activities performed</w:t>
      </w:r>
    </w:p>
    <w:p>
      <w:pPr>
        <w:pStyle w:val="ListParagraph"/>
        <w:numPr>
          <w:ilvl w:val="0"/>
          <w:numId w:val="2"/>
        </w:numPr>
        <w:spacing w:after="70"/>
      </w:pPr>
      <w:r>
        <w:rPr>
          <w:rFonts w:ascii="Calibri" w:cs="Calibri" w:eastAsia="Calibri" w:hAnsi="Calibri"/>
          <w:color w:val="1B2432"/>
          <w:sz w:val="21"/>
          <w:szCs w:val="21"/>
        </w:rPr>
        <w:t xml:space="preserve">LOB sponsors and liaisons assess the business value of the demand.</w:t>
      </w:r>
    </w:p>
    <w:p>
      <w:pPr>
        <w:pStyle w:val="ListParagraph"/>
        <w:numPr>
          <w:ilvl w:val="0"/>
          <w:numId w:val="2"/>
        </w:numPr>
        <w:spacing w:after="70"/>
      </w:pPr>
      <w:r>
        <w:rPr>
          <w:rFonts w:ascii="Calibri" w:cs="Calibri" w:eastAsia="Calibri" w:hAnsi="Calibri"/>
          <w:color w:val="1B2432"/>
          <w:sz w:val="21"/>
          <w:szCs w:val="21"/>
        </w:rPr>
        <w:t xml:space="preserve">Regulatory impact is assessed — whether the onboarding is discretionary or driven by a compliance obligation.</w:t>
      </w:r>
    </w:p>
    <w:p>
      <w:pPr>
        <w:pStyle w:val="ListParagraph"/>
        <w:numPr>
          <w:ilvl w:val="0"/>
          <w:numId w:val="2"/>
        </w:numPr>
        <w:spacing w:after="70"/>
      </w:pPr>
      <w:r>
        <w:rPr>
          <w:rFonts w:ascii="Calibri" w:cs="Calibri" w:eastAsia="Calibri" w:hAnsi="Calibri"/>
          <w:color w:val="1B2432"/>
          <w:sz w:val="21"/>
          <w:szCs w:val="21"/>
        </w:rPr>
        <w:t xml:space="preserve">Customer commitments are reviewed — whether an external promise depends on the delivery date.</w:t>
      </w:r>
    </w:p>
    <w:p>
      <w:pPr>
        <w:pStyle w:val="ListParagraph"/>
        <w:numPr>
          <w:ilvl w:val="0"/>
          <w:numId w:val="2"/>
        </w:numPr>
        <w:spacing w:after="70"/>
      </w:pPr>
      <w:r>
        <w:rPr>
          <w:rFonts w:ascii="Calibri" w:cs="Calibri" w:eastAsia="Calibri" w:hAnsi="Calibri"/>
          <w:color w:val="1B2432"/>
          <w:sz w:val="21"/>
          <w:szCs w:val="21"/>
        </w:rPr>
        <w:t xml:space="preserve">Operational risk is assessed, including the risk of not doing the work.</w:t>
      </w:r>
    </w:p>
    <w:p>
      <w:pPr>
        <w:pStyle w:val="ListParagraph"/>
        <w:numPr>
          <w:ilvl w:val="0"/>
          <w:numId w:val="2"/>
        </w:numPr>
        <w:spacing w:after="70"/>
      </w:pPr>
      <w:r>
        <w:rPr>
          <w:rFonts w:ascii="Calibri" w:cs="Calibri" w:eastAsia="Calibri" w:hAnsi="Calibri"/>
          <w:color w:val="1B2432"/>
          <w:sz w:val="21"/>
          <w:szCs w:val="21"/>
        </w:rPr>
        <w:t xml:space="preserve">Strategic alignment is evaluated against the LOB agenda.</w:t>
      </w:r>
    </w:p>
    <w:p>
      <w:pPr>
        <w:pStyle w:val="ListParagraph"/>
        <w:numPr>
          <w:ilvl w:val="0"/>
          <w:numId w:val="2"/>
        </w:numPr>
        <w:spacing w:after="70"/>
      </w:pPr>
      <w:r>
        <w:rPr>
          <w:rFonts w:ascii="Calibri" w:cs="Calibri" w:eastAsia="Calibri" w:hAnsi="Calibri"/>
          <w:color w:val="1B2432"/>
          <w:sz w:val="21"/>
          <w:szCs w:val="21"/>
        </w:rPr>
        <w:t xml:space="preserve">A prioritised ranking is established within the LOB portfolio.</w:t>
      </w:r>
    </w:p>
    <w:p>
      <w:pPr>
        <w:pStyle w:val="Heading3"/>
        <w:spacing w:after="120" w:before="240"/>
      </w:pPr>
      <w:r>
        <w:rPr>
          <w:rFonts w:ascii="Calibri" w:cs="Calibri" w:eastAsia="Calibri" w:hAnsi="Calibri"/>
          <w:b/>
          <w:bCs/>
          <w:color w:val="1B2432"/>
          <w:sz w:val="23"/>
          <w:szCs w:val="23"/>
        </w:rPr>
        <w:t xml:space="preserve">Why this stage exists</w:t>
      </w:r>
    </w:p>
    <w:p>
      <w:pPr>
        <w:spacing w:after="120" w:before="0"/>
      </w:pPr>
      <w:r>
        <w:rPr>
          <w:rFonts w:ascii="Calibri" w:cs="Calibri" w:eastAsia="Calibri" w:hAnsi="Calibri"/>
          <w:b w:val="false"/>
          <w:bCs w:val="false"/>
          <w:i w:val="false"/>
          <w:iCs w:val="false"/>
          <w:color w:val="1B2432"/>
          <w:sz w:val="21"/>
          <w:szCs w:val="21"/>
        </w:rPr>
        <w:t xml:space="preserve">Demand always exceeds capacity. This stage exists so that the sequencing decision is made by the people accountable for the business outcome, rather than emerging by default from whoever pushes hardest or submits first. The ranking produced here becomes a formal input to product planning, capacity decisions, and future delivery commitments — which means an onboarding that skips or under-invests in this stage arrives at capacity assessment with no basis on which to argue for a slot.</w:t>
      </w:r>
    </w:p>
    <w:p>
      <w:pPr>
        <w:pStyle w:val="Heading3"/>
        <w:spacing w:after="120" w:before="240"/>
      </w:pPr>
      <w:r>
        <w:rPr>
          <w:rFonts w:ascii="Calibri" w:cs="Calibri" w:eastAsia="Calibri" w:hAnsi="Calibri"/>
          <w:b/>
          <w:bCs/>
          <w:color w:val="1B2432"/>
          <w:sz w:val="23"/>
          <w:szCs w:val="23"/>
        </w:rPr>
        <w:t xml:space="preserve">Participants and artefacts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900"/>
        <w:gridCol w:w="3600"/>
        <w:gridCol w:w="3860"/>
      </w:tblGrid>
      <w:tr>
        <w:trPr>
          <w:tblHeader/>
        </w:trPr>
        <w:tc>
          <w:tcPr>
            <w:tcW w:type="dxa" w:w="19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Aspect</w:t>
            </w:r>
          </w:p>
        </w:tc>
        <w:tc>
          <w:tcPr>
            <w:tcW w:type="dxa" w:w="3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Detail</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Note</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Accountable</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LOB sponsor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Business-side decision.</w:t>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Supporting</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LOB liaisons; ECM product management</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Input</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Validated intake; wider LOB portfolio</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Output</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Prioritised ranking</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Feeds planning and capacity.</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Exit criteria</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Ranking established and communicated</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bl>
    <w:p>
      <w:r>
        <w:br w:type="page"/>
      </w:r>
    </w:p>
    <w:p>
      <w:pPr>
        <w:pStyle w:val="Heading2"/>
        <w:spacing w:after="160" w:before="300"/>
      </w:pPr>
      <w:r>
        <w:rPr>
          <w:rFonts w:ascii="Cambria" w:cs="Cambria" w:eastAsia="Cambria" w:hAnsi="Cambria"/>
          <w:b/>
          <w:bCs/>
          <w:color w:val="1E2761"/>
          <w:sz w:val="26"/>
          <w:szCs w:val="26"/>
        </w:rPr>
        <w:t xml:space="preserve">1.8 Stage 4 — Discovery &amp; Triage</w:t>
      </w:r>
    </w:p>
    <w:p>
      <w:pPr>
        <w:pStyle w:val="Heading3"/>
        <w:spacing w:after="120" w:before="240"/>
      </w:pPr>
      <w:r>
        <w:rPr>
          <w:rFonts w:ascii="Calibri" w:cs="Calibri" w:eastAsia="Calibri" w:hAnsi="Calibri"/>
          <w:b/>
          <w:bCs/>
          <w:color w:val="1B2432"/>
          <w:sz w:val="23"/>
          <w:szCs w:val="23"/>
        </w:rPr>
        <w:t xml:space="preserve">What happens</w:t>
      </w:r>
    </w:p>
    <w:p>
      <w:pPr>
        <w:spacing w:after="120" w:before="0"/>
      </w:pPr>
      <w:r>
        <w:rPr>
          <w:rFonts w:ascii="Calibri" w:cs="Calibri" w:eastAsia="Calibri" w:hAnsi="Calibri"/>
          <w:b w:val="false"/>
          <w:bCs w:val="false"/>
          <w:i w:val="false"/>
          <w:iCs w:val="false"/>
          <w:color w:val="1B2432"/>
          <w:sz w:val="21"/>
          <w:szCs w:val="21"/>
        </w:rPr>
        <w:t xml:space="preserve">Following prioritisation, product owners, architects, SMEs, and partner teams participate in discovery and triage sessions to evaluate the request in detail. This is the first of the two heavy stages, and it is the stage where all five team groups are engaged simultaneously.</w:t>
      </w:r>
    </w:p>
    <w:p>
      <w:pPr>
        <w:pStyle w:val="Heading3"/>
        <w:spacing w:after="120" w:before="240"/>
      </w:pPr>
      <w:r>
        <w:rPr>
          <w:rFonts w:ascii="Calibri" w:cs="Calibri" w:eastAsia="Calibri" w:hAnsi="Calibri"/>
          <w:b/>
          <w:bCs/>
          <w:color w:val="1B2432"/>
          <w:sz w:val="23"/>
          <w:szCs w:val="23"/>
        </w:rPr>
        <w:t xml:space="preserve">Activities performed</w:t>
      </w:r>
    </w:p>
    <w:p>
      <w:pPr>
        <w:pStyle w:val="ListParagraph"/>
        <w:numPr>
          <w:ilvl w:val="0"/>
          <w:numId w:val="2"/>
        </w:numPr>
        <w:spacing w:after="70"/>
      </w:pPr>
      <w:r>
        <w:rPr>
          <w:rFonts w:ascii="Calibri" w:cs="Calibri" w:eastAsia="Calibri" w:hAnsi="Calibri"/>
          <w:color w:val="1B2432"/>
          <w:sz w:val="21"/>
          <w:szCs w:val="21"/>
        </w:rPr>
        <w:t xml:space="preserve">Solution requirements are reviewed in detail against what ICMP actually provides.</w:t>
      </w:r>
    </w:p>
    <w:p>
      <w:pPr>
        <w:pStyle w:val="ListParagraph"/>
        <w:numPr>
          <w:ilvl w:val="0"/>
          <w:numId w:val="2"/>
        </w:numPr>
        <w:spacing w:after="70"/>
      </w:pPr>
      <w:r>
        <w:rPr>
          <w:rFonts w:ascii="Calibri" w:cs="Calibri" w:eastAsia="Calibri" w:hAnsi="Calibri"/>
          <w:color w:val="1B2432"/>
          <w:sz w:val="21"/>
          <w:szCs w:val="21"/>
        </w:rPr>
        <w:t xml:space="preserve">Onboarding dependencies are identified, including dependencies on other programmes and on partner-side readiness.</w:t>
      </w:r>
    </w:p>
    <w:p>
      <w:pPr>
        <w:pStyle w:val="ListParagraph"/>
        <w:numPr>
          <w:ilvl w:val="0"/>
          <w:numId w:val="2"/>
        </w:numPr>
        <w:spacing w:after="70"/>
      </w:pPr>
      <w:r>
        <w:rPr>
          <w:rFonts w:ascii="Calibri" w:cs="Calibri" w:eastAsia="Calibri" w:hAnsi="Calibri"/>
          <w:color w:val="1B2432"/>
          <w:sz w:val="21"/>
          <w:szCs w:val="21"/>
        </w:rPr>
        <w:t xml:space="preserve">Architecture impacts are assessed — what changes in ICMP, what changes in the partner system, and what has to be built between them.</w:t>
      </w:r>
    </w:p>
    <w:p>
      <w:pPr>
        <w:pStyle w:val="ListParagraph"/>
        <w:numPr>
          <w:ilvl w:val="0"/>
          <w:numId w:val="2"/>
        </w:numPr>
        <w:spacing w:after="70"/>
      </w:pPr>
      <w:r>
        <w:rPr>
          <w:rFonts w:ascii="Calibri" w:cs="Calibri" w:eastAsia="Calibri" w:hAnsi="Calibri"/>
          <w:color w:val="1B2432"/>
          <w:sz w:val="21"/>
          <w:szCs w:val="21"/>
        </w:rPr>
        <w:t xml:space="preserve">Compliance considerations are surfaced, including retention obligations, regulatory storage requirements, legal hold, and audit access.</w:t>
      </w:r>
    </w:p>
    <w:p>
      <w:pPr>
        <w:pStyle w:val="ListParagraph"/>
        <w:numPr>
          <w:ilvl w:val="0"/>
          <w:numId w:val="2"/>
        </w:numPr>
        <w:spacing w:after="70"/>
      </w:pPr>
      <w:r>
        <w:rPr>
          <w:rFonts w:ascii="Calibri" w:cs="Calibri" w:eastAsia="Calibri" w:hAnsi="Calibri"/>
          <w:color w:val="1B2432"/>
          <w:sz w:val="21"/>
          <w:szCs w:val="21"/>
        </w:rPr>
        <w:t xml:space="preserve">Integration touchpoints are mapped — API consumption, gateway routing, event notification, classification services, virus scanning, viewer integration.</w:t>
      </w:r>
    </w:p>
    <w:p>
      <w:pPr>
        <w:pStyle w:val="ListParagraph"/>
        <w:numPr>
          <w:ilvl w:val="0"/>
          <w:numId w:val="2"/>
        </w:numPr>
        <w:spacing w:after="70"/>
      </w:pPr>
      <w:r>
        <w:rPr>
          <w:rFonts w:ascii="Calibri" w:cs="Calibri" w:eastAsia="Calibri" w:hAnsi="Calibri"/>
          <w:color w:val="1B2432"/>
          <w:sz w:val="21"/>
          <w:szCs w:val="21"/>
        </w:rPr>
        <w:t xml:space="preserve">Delivery complexity is assessed.</w:t>
      </w:r>
    </w:p>
    <w:p>
      <w:pPr>
        <w:pStyle w:val="ListParagraph"/>
        <w:numPr>
          <w:ilvl w:val="0"/>
          <w:numId w:val="2"/>
        </w:numPr>
        <w:spacing w:after="70"/>
      </w:pPr>
      <w:r>
        <w:rPr>
          <w:rFonts w:ascii="Calibri" w:cs="Calibri" w:eastAsia="Calibri" w:hAnsi="Calibri"/>
          <w:color w:val="1B2432"/>
          <w:sz w:val="21"/>
          <w:szCs w:val="21"/>
        </w:rPr>
        <w:t xml:space="preserve">Representative document samples are made available so the documents can be seen on the flow rather than described.</w:t>
      </w:r>
    </w:p>
    <w:p>
      <w:pPr>
        <w:pStyle w:val="ListParagraph"/>
        <w:numPr>
          <w:ilvl w:val="0"/>
          <w:numId w:val="2"/>
        </w:numPr>
        <w:spacing w:after="70"/>
      </w:pPr>
      <w:r>
        <w:rPr>
          <w:rFonts w:ascii="Calibri" w:cs="Calibri" w:eastAsia="Calibri" w:hAnsi="Calibri"/>
          <w:color w:val="1B2432"/>
          <w:sz w:val="21"/>
          <w:szCs w:val="21"/>
        </w:rPr>
        <w:t xml:space="preserve">The Imaging Governance team makes the trusted versus untrusted determination by viewing the documents on the flow. This determination sets the entire downstream content-processing design.</w:t>
      </w:r>
    </w:p>
    <w:p>
      <w:pPr>
        <w:pStyle w:val="ListParagraph"/>
        <w:numPr>
          <w:ilvl w:val="0"/>
          <w:numId w:val="2"/>
        </w:numPr>
        <w:spacing w:after="70"/>
      </w:pPr>
      <w:r>
        <w:rPr>
          <w:rFonts w:ascii="Calibri" w:cs="Calibri" w:eastAsia="Calibri" w:hAnsi="Calibri"/>
          <w:color w:val="1B2432"/>
          <w:sz w:val="21"/>
          <w:szCs w:val="21"/>
        </w:rPr>
        <w:t xml:space="preserve">For trusted content, the Imaging Governance team allocates the document classification — category, type and subtype.</w:t>
      </w:r>
    </w:p>
    <w:p>
      <w:pPr>
        <w:pStyle w:val="ListParagraph"/>
        <w:numPr>
          <w:ilvl w:val="0"/>
          <w:numId w:val="2"/>
        </w:numPr>
        <w:spacing w:after="70"/>
      </w:pPr>
      <w:r>
        <w:rPr>
          <w:rFonts w:ascii="Calibri" w:cs="Calibri" w:eastAsia="Calibri" w:hAnsi="Calibri"/>
          <w:color w:val="1B2432"/>
          <w:sz w:val="21"/>
          <w:szCs w:val="21"/>
        </w:rPr>
        <w:t xml:space="preserve">DCRS area labels are applied so the intake routes to the correct area teams.</w:t>
      </w:r>
    </w:p>
    <w:p>
      <w:pPr>
        <w:pStyle w:val="ListParagraph"/>
        <w:numPr>
          <w:ilvl w:val="0"/>
          <w:numId w:val="2"/>
        </w:numPr>
        <w:spacing w:after="70"/>
      </w:pPr>
      <w:r>
        <w:rPr>
          <w:rFonts w:ascii="Calibri" w:cs="Calibri" w:eastAsia="Calibri" w:hAnsi="Calibri"/>
          <w:color w:val="1B2432"/>
          <w:sz w:val="21"/>
          <w:szCs w:val="21"/>
        </w:rPr>
        <w:t xml:space="preserve">Impact tags are applied for image capture, document generation, print-and-mail data flow, SHRP, AI document classification, and impacted components.</w:t>
      </w:r>
    </w:p>
    <w:p>
      <w:pPr>
        <w:pStyle w:val="ListParagraph"/>
        <w:numPr>
          <w:ilvl w:val="0"/>
          <w:numId w:val="2"/>
        </w:numPr>
        <w:spacing w:after="70"/>
      </w:pPr>
      <w:r>
        <w:rPr>
          <w:rFonts w:ascii="Calibri" w:cs="Calibri" w:eastAsia="Calibri" w:hAnsi="Calibri"/>
          <w:color w:val="1B2432"/>
          <w:sz w:val="21"/>
          <w:szCs w:val="21"/>
        </w:rPr>
        <w:t xml:space="preserve">Where information is missing, the intake is moved into the awaiting-details state, follow-up tags are applied, and a note is raised explaining what is needed and when.</w:t>
      </w:r>
    </w:p>
    <w:p>
      <w:pPr>
        <w:pStyle w:val="ListParagraph"/>
        <w:numPr>
          <w:ilvl w:val="0"/>
          <w:numId w:val="2"/>
        </w:numPr>
        <w:spacing w:after="70"/>
      </w:pPr>
      <w:r>
        <w:rPr>
          <w:rFonts w:ascii="Calibri" w:cs="Calibri" w:eastAsia="Calibri" w:hAnsi="Calibri"/>
          <w:color w:val="1B2432"/>
          <w:sz w:val="21"/>
          <w:szCs w:val="21"/>
        </w:rPr>
        <w:t xml:space="preserve">On completion, the triage completion date is recorded and the intake advances.</w:t>
      </w:r>
    </w:p>
    <w:p>
      <w:pPr>
        <w:pStyle w:val="Heading3"/>
        <w:spacing w:after="120" w:before="240"/>
      </w:pPr>
      <w:r>
        <w:rPr>
          <w:rFonts w:ascii="Calibri" w:cs="Calibri" w:eastAsia="Calibri" w:hAnsi="Calibri"/>
          <w:b/>
          <w:bCs/>
          <w:color w:val="1B2432"/>
          <w:sz w:val="23"/>
          <w:szCs w:val="23"/>
        </w:rPr>
        <w:t xml:space="preserve">Why this stage exists</w:t>
      </w:r>
    </w:p>
    <w:p>
      <w:pPr>
        <w:spacing w:after="120" w:before="0"/>
      </w:pPr>
      <w:r>
        <w:rPr>
          <w:rFonts w:ascii="Calibri" w:cs="Calibri" w:eastAsia="Calibri" w:hAnsi="Calibri"/>
          <w:b w:val="false"/>
          <w:bCs w:val="false"/>
          <w:i w:val="false"/>
          <w:iCs w:val="false"/>
          <w:color w:val="1B2432"/>
          <w:sz w:val="21"/>
          <w:szCs w:val="21"/>
        </w:rPr>
        <w:t xml:space="preserve">Discovery is where the onboarding stops being a request and becomes a design. Its purpose is to ensure that every impacted area is identified early and that all participants share the same understanding of the approach — because the cost of discovering an impacted area during delivery is an order of magnitude higher than discovering it here. Three specific determinations made in this stage have consequences that run to the end of the lifecycle: the Imaging Governance trusted versus untrusted determination, which decides whether an entire content-processing chain is needed and, for trusted content, fixes the document category, type and subtype; the retention and regulatory position, which determines whether a regulated repository and compliance controls are in scope; and the volume picture, which determines whether load testing is required and how the ingestion approach must be designed.</w:t>
      </w:r>
    </w:p>
    <w:p>
      <w:pPr>
        <w:spacing w:after="120" w:before="0"/>
      </w:pPr>
      <w:r>
        <w:rPr>
          <w:rFonts w:ascii="Calibri" w:cs="Calibri" w:eastAsia="Calibri" w:hAnsi="Calibri"/>
          <w:b w:val="false"/>
          <w:bCs w:val="false"/>
          <w:i w:val="false"/>
          <w:iCs w:val="false"/>
          <w:color w:val="1B2432"/>
          <w:sz w:val="21"/>
          <w:szCs w:val="21"/>
        </w:rPr>
        <w:t xml:space="preserve">Because the governance determination is made by viewing documents on the flow, sample availability is a practical precondition of completing this stage. Where samples are not yet available the intake is more usefully held in the awaiting-details state than advanced on an assumed classification.</w:t>
      </w:r>
    </w:p>
    <w:p>
      <w:pPr>
        <w:pStyle w:val="Heading3"/>
        <w:spacing w:after="120" w:before="240"/>
      </w:pPr>
      <w:r>
        <w:rPr>
          <w:rFonts w:ascii="Calibri" w:cs="Calibri" w:eastAsia="Calibri" w:hAnsi="Calibri"/>
          <w:b/>
          <w:bCs/>
          <w:color w:val="1B2432"/>
          <w:sz w:val="23"/>
          <w:szCs w:val="23"/>
        </w:rPr>
        <w:t xml:space="preserve">Participants and artefacts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900"/>
        <w:gridCol w:w="3600"/>
        <w:gridCol w:w="3860"/>
      </w:tblGrid>
      <w:tr>
        <w:trPr>
          <w:tblHeader/>
        </w:trPr>
        <w:tc>
          <w:tcPr>
            <w:tcW w:type="dxa" w:w="19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Aspect</w:t>
            </w:r>
          </w:p>
        </w:tc>
        <w:tc>
          <w:tcPr>
            <w:tcW w:type="dxa" w:w="3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Detail</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Note</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Accountable</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 owner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Owns the scope outcome.</w:t>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Supporting</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Architects; SMEs; partner team; Partner Onboarding Resource; Imaging Governance; specialist teams; engineering</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All five team groups engaged.</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Input</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Prioritised intake; DOR workbook; partner documentation</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Output</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Agreed scope; trusted/untrusted determination; document classification for trusted content; area and impact labels; triage completion date; dependencies and risks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Exit criteria</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Triage completed and labels applied</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Or intake held in awaiting-details.</w:t>
            </w:r>
          </w:p>
        </w:tc>
      </w:tr>
    </w:tbl>
    <w:p>
      <w:pPr>
        <w:pStyle w:val="Heading2"/>
        <w:spacing w:after="160" w:before="300"/>
      </w:pPr>
      <w:r>
        <w:rPr>
          <w:rFonts w:ascii="Cambria" w:cs="Cambria" w:eastAsia="Cambria" w:hAnsi="Cambria"/>
          <w:b/>
          <w:bCs/>
          <w:color w:val="1E2761"/>
          <w:sz w:val="26"/>
          <w:szCs w:val="26"/>
        </w:rPr>
        <w:t xml:space="preserve">1.9 Stage 5 — Product Epic Creation</w:t>
      </w:r>
    </w:p>
    <w:p>
      <w:pPr>
        <w:pStyle w:val="Heading3"/>
        <w:spacing w:after="120" w:before="240"/>
      </w:pPr>
      <w:r>
        <w:rPr>
          <w:rFonts w:ascii="Calibri" w:cs="Calibri" w:eastAsia="Calibri" w:hAnsi="Calibri"/>
          <w:b/>
          <w:bCs/>
          <w:color w:val="1B2432"/>
          <w:sz w:val="23"/>
          <w:szCs w:val="23"/>
        </w:rPr>
        <w:t xml:space="preserve">What happens</w:t>
      </w:r>
    </w:p>
    <w:p>
      <w:pPr>
        <w:spacing w:after="120" w:before="0"/>
      </w:pPr>
      <w:r>
        <w:rPr>
          <w:rFonts w:ascii="Calibri" w:cs="Calibri" w:eastAsia="Calibri" w:hAnsi="Calibri"/>
          <w:b w:val="false"/>
          <w:bCs w:val="false"/>
          <w:i w:val="false"/>
          <w:iCs w:val="false"/>
          <w:color w:val="1B2432"/>
          <w:sz w:val="21"/>
          <w:szCs w:val="21"/>
        </w:rPr>
        <w:t xml:space="preserve">Once sufficient information has been gathered and the onboarding is determined to move forward, a Product Epic is created to represent the demand within the delivery organisation.</w:t>
      </w:r>
    </w:p>
    <w:p>
      <w:pPr>
        <w:pStyle w:val="Heading3"/>
        <w:spacing w:after="120" w:before="240"/>
      </w:pPr>
      <w:r>
        <w:rPr>
          <w:rFonts w:ascii="Calibri" w:cs="Calibri" w:eastAsia="Calibri" w:hAnsi="Calibri"/>
          <w:b/>
          <w:bCs/>
          <w:color w:val="1B2432"/>
          <w:sz w:val="23"/>
          <w:szCs w:val="23"/>
        </w:rPr>
        <w:t xml:space="preserve">Activities performed</w:t>
      </w:r>
    </w:p>
    <w:p>
      <w:pPr>
        <w:pStyle w:val="ListParagraph"/>
        <w:numPr>
          <w:ilvl w:val="0"/>
          <w:numId w:val="2"/>
        </w:numPr>
        <w:spacing w:after="70"/>
      </w:pPr>
      <w:r>
        <w:rPr>
          <w:rFonts w:ascii="Calibri" w:cs="Calibri" w:eastAsia="Calibri" w:hAnsi="Calibri"/>
          <w:color w:val="1B2432"/>
          <w:sz w:val="21"/>
          <w:szCs w:val="21"/>
        </w:rPr>
        <w:t xml:space="preserve">A Product Epic is raised representing the onboarding demand.</w:t>
      </w:r>
    </w:p>
    <w:p>
      <w:pPr>
        <w:pStyle w:val="ListParagraph"/>
        <w:numPr>
          <w:ilvl w:val="0"/>
          <w:numId w:val="2"/>
        </w:numPr>
        <w:spacing w:after="70"/>
      </w:pPr>
      <w:r>
        <w:rPr>
          <w:rFonts w:ascii="Calibri" w:cs="Calibri" w:eastAsia="Calibri" w:hAnsi="Calibri"/>
          <w:color w:val="1B2432"/>
          <w:sz w:val="21"/>
          <w:szCs w:val="21"/>
        </w:rPr>
        <w:t xml:space="preserve">Features are created and associated with the epic.</w:t>
      </w:r>
    </w:p>
    <w:p>
      <w:pPr>
        <w:pStyle w:val="ListParagraph"/>
        <w:numPr>
          <w:ilvl w:val="0"/>
          <w:numId w:val="2"/>
        </w:numPr>
        <w:spacing w:after="70"/>
      </w:pPr>
      <w:r>
        <w:rPr>
          <w:rFonts w:ascii="Calibri" w:cs="Calibri" w:eastAsia="Calibri" w:hAnsi="Calibri"/>
          <w:color w:val="1B2432"/>
          <w:sz w:val="21"/>
          <w:szCs w:val="21"/>
        </w:rPr>
        <w:t xml:space="preserve">User stories and supporting work items are created and linked.</w:t>
      </w:r>
    </w:p>
    <w:p>
      <w:pPr>
        <w:pStyle w:val="ListParagraph"/>
        <w:numPr>
          <w:ilvl w:val="0"/>
          <w:numId w:val="2"/>
        </w:numPr>
        <w:spacing w:after="70"/>
      </w:pPr>
      <w:r>
        <w:rPr>
          <w:rFonts w:ascii="Calibri" w:cs="Calibri" w:eastAsia="Calibri" w:hAnsi="Calibri"/>
          <w:color w:val="1B2432"/>
          <w:sz w:val="21"/>
          <w:szCs w:val="21"/>
        </w:rPr>
        <w:t xml:space="preserve">Ownership is assigned across the features.</w:t>
      </w:r>
    </w:p>
    <w:p>
      <w:pPr>
        <w:pStyle w:val="ListParagraph"/>
        <w:numPr>
          <w:ilvl w:val="0"/>
          <w:numId w:val="2"/>
        </w:numPr>
        <w:spacing w:after="70"/>
      </w:pPr>
      <w:r>
        <w:rPr>
          <w:rFonts w:ascii="Calibri" w:cs="Calibri" w:eastAsia="Calibri" w:hAnsi="Calibri"/>
          <w:color w:val="1B2432"/>
          <w:sz w:val="21"/>
          <w:szCs w:val="21"/>
        </w:rPr>
        <w:t xml:space="preserve">End-to-end visibility into planned activities, deliverables, and ownership is established.</w:t>
      </w:r>
    </w:p>
    <w:p>
      <w:pPr>
        <w:pStyle w:val="Heading3"/>
        <w:spacing w:after="120" w:before="240"/>
      </w:pPr>
      <w:r>
        <w:rPr>
          <w:rFonts w:ascii="Calibri" w:cs="Calibri" w:eastAsia="Calibri" w:hAnsi="Calibri"/>
          <w:b/>
          <w:bCs/>
          <w:color w:val="1B2432"/>
          <w:sz w:val="23"/>
          <w:szCs w:val="23"/>
        </w:rPr>
        <w:t xml:space="preserve">Why this stage exists</w:t>
      </w:r>
    </w:p>
    <w:p>
      <w:pPr>
        <w:spacing w:after="120" w:before="0"/>
      </w:pPr>
      <w:r>
        <w:rPr>
          <w:rFonts w:ascii="Calibri" w:cs="Calibri" w:eastAsia="Calibri" w:hAnsi="Calibri"/>
          <w:b w:val="false"/>
          <w:bCs w:val="false"/>
          <w:i w:val="false"/>
          <w:iCs w:val="false"/>
          <w:color w:val="1B2432"/>
          <w:sz w:val="21"/>
          <w:szCs w:val="21"/>
        </w:rPr>
        <w:t xml:space="preserve">Up to this point the onboarding exists as an intake record and a set of triage outcomes. The epic is what makes it visible and trackable inside the delivery organisation's own planning system. It becomes the primary vehicle used to track onboarding progress and delivery commitments, which means everything that follows — planning, commitment, delivery reporting, and eventually go-live evidence — hangs off it. An epic that is decomposed poorly at this stage produces features that cannot be committed to independently, which surfaces as a problem two stages later.</w:t>
      </w:r>
    </w:p>
    <w:p>
      <w:pPr>
        <w:pStyle w:val="Heading3"/>
        <w:spacing w:after="120" w:before="240"/>
      </w:pPr>
      <w:r>
        <w:rPr>
          <w:rFonts w:ascii="Calibri" w:cs="Calibri" w:eastAsia="Calibri" w:hAnsi="Calibri"/>
          <w:b/>
          <w:bCs/>
          <w:color w:val="1B2432"/>
          <w:sz w:val="23"/>
          <w:szCs w:val="23"/>
        </w:rPr>
        <w:t xml:space="preserve">Participants and artefacts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900"/>
        <w:gridCol w:w="3600"/>
        <w:gridCol w:w="3860"/>
      </w:tblGrid>
      <w:tr>
        <w:trPr>
          <w:tblHeader/>
        </w:trPr>
        <w:tc>
          <w:tcPr>
            <w:tcW w:type="dxa" w:w="19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Aspect</w:t>
            </w:r>
          </w:p>
        </w:tc>
        <w:tc>
          <w:tcPr>
            <w:tcW w:type="dxa" w:w="3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Detail</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Note</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Accountable</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L3 product manager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Supporting</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 product owners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Input</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Triage outcome and agreed scope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Output</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 Epic with linked L2 features, stories and work items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Exit criteria</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Epic and feature hierarchy complete with ownership assigned</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bl>
    <w:p>
      <w:pPr>
        <w:pStyle w:val="Heading2"/>
        <w:spacing w:after="160" w:before="300"/>
      </w:pPr>
      <w:r>
        <w:rPr>
          <w:rFonts w:ascii="Cambria" w:cs="Cambria" w:eastAsia="Cambria" w:hAnsi="Cambria"/>
          <w:b/>
          <w:bCs/>
          <w:color w:val="1E2761"/>
          <w:sz w:val="26"/>
          <w:szCs w:val="26"/>
        </w:rPr>
        <w:t xml:space="preserve">1.10 Stage 6 — Quarterly Big Room Planning</w:t>
      </w:r>
    </w:p>
    <w:p>
      <w:pPr>
        <w:pStyle w:val="Heading3"/>
        <w:spacing w:after="120" w:before="240"/>
      </w:pPr>
      <w:r>
        <w:rPr>
          <w:rFonts w:ascii="Calibri" w:cs="Calibri" w:eastAsia="Calibri" w:hAnsi="Calibri"/>
          <w:b/>
          <w:bCs/>
          <w:color w:val="1B2432"/>
          <w:sz w:val="23"/>
          <w:szCs w:val="23"/>
        </w:rPr>
        <w:t xml:space="preserve">What happens</w:t>
      </w:r>
    </w:p>
    <w:p>
      <w:pPr>
        <w:spacing w:after="120" w:before="0"/>
      </w:pPr>
      <w:r>
        <w:rPr>
          <w:rFonts w:ascii="Calibri" w:cs="Calibri" w:eastAsia="Calibri" w:hAnsi="Calibri"/>
          <w:b w:val="false"/>
          <w:bCs w:val="false"/>
          <w:i w:val="false"/>
          <w:iCs w:val="false"/>
          <w:color w:val="1B2432"/>
          <w:sz w:val="21"/>
          <w:szCs w:val="21"/>
        </w:rPr>
        <w:t xml:space="preserve">L3 product managers review the top-ranked epics with the L1 and L2 product owners.</w:t>
      </w:r>
    </w:p>
    <w:p>
      <w:pPr>
        <w:pStyle w:val="Heading3"/>
        <w:spacing w:after="120" w:before="240"/>
      </w:pPr>
      <w:r>
        <w:rPr>
          <w:rFonts w:ascii="Calibri" w:cs="Calibri" w:eastAsia="Calibri" w:hAnsi="Calibri"/>
          <w:b/>
          <w:bCs/>
          <w:color w:val="1B2432"/>
          <w:sz w:val="23"/>
          <w:szCs w:val="23"/>
        </w:rPr>
        <w:t xml:space="preserve">Activities performed</w:t>
      </w:r>
    </w:p>
    <w:p>
      <w:pPr>
        <w:pStyle w:val="ListParagraph"/>
        <w:numPr>
          <w:ilvl w:val="0"/>
          <w:numId w:val="2"/>
        </w:numPr>
        <w:spacing w:after="70"/>
      </w:pPr>
      <w:r>
        <w:rPr>
          <w:rFonts w:ascii="Calibri" w:cs="Calibri" w:eastAsia="Calibri" w:hAnsi="Calibri"/>
          <w:color w:val="1B2432"/>
          <w:sz w:val="21"/>
          <w:szCs w:val="21"/>
        </w:rPr>
        <w:t xml:space="preserve">Top-ranked epics are reviewed with L1 and L2 product owners.</w:t>
      </w:r>
    </w:p>
    <w:p>
      <w:pPr>
        <w:pStyle w:val="ListParagraph"/>
        <w:numPr>
          <w:ilvl w:val="0"/>
          <w:numId w:val="2"/>
        </w:numPr>
        <w:spacing w:after="70"/>
      </w:pPr>
      <w:r>
        <w:rPr>
          <w:rFonts w:ascii="Calibri" w:cs="Calibri" w:eastAsia="Calibri" w:hAnsi="Calibri"/>
          <w:color w:val="1B2432"/>
          <w:sz w:val="21"/>
          <w:szCs w:val="21"/>
        </w:rPr>
        <w:t xml:space="preserve">Scope is explained and walked through.</w:t>
      </w:r>
    </w:p>
    <w:p>
      <w:pPr>
        <w:pStyle w:val="ListParagraph"/>
        <w:numPr>
          <w:ilvl w:val="0"/>
          <w:numId w:val="2"/>
        </w:numPr>
        <w:spacing w:after="70"/>
      </w:pPr>
      <w:r>
        <w:rPr>
          <w:rFonts w:ascii="Calibri" w:cs="Calibri" w:eastAsia="Calibri" w:hAnsi="Calibri"/>
          <w:color w:val="1B2432"/>
          <w:sz w:val="21"/>
          <w:szCs w:val="21"/>
        </w:rPr>
        <w:t xml:space="preserve">Queries raised by the product owners are clarified.</w:t>
      </w:r>
    </w:p>
    <w:p>
      <w:pPr>
        <w:pStyle w:val="ListParagraph"/>
        <w:numPr>
          <w:ilvl w:val="0"/>
          <w:numId w:val="2"/>
        </w:numPr>
        <w:spacing w:after="70"/>
      </w:pPr>
      <w:r>
        <w:rPr>
          <w:rFonts w:ascii="Calibri" w:cs="Calibri" w:eastAsia="Calibri" w:hAnsi="Calibri"/>
          <w:color w:val="1B2432"/>
          <w:sz w:val="21"/>
          <w:szCs w:val="21"/>
        </w:rPr>
        <w:t xml:space="preserve">L1 product owners are asked to review the L2 features created for them.</w:t>
      </w:r>
    </w:p>
    <w:p>
      <w:pPr>
        <w:pStyle w:val="ListParagraph"/>
        <w:numPr>
          <w:ilvl w:val="0"/>
          <w:numId w:val="2"/>
        </w:numPr>
        <w:spacing w:after="70"/>
      </w:pPr>
      <w:r>
        <w:rPr>
          <w:rFonts w:ascii="Calibri" w:cs="Calibri" w:eastAsia="Calibri" w:hAnsi="Calibri"/>
          <w:color w:val="1B2432"/>
          <w:sz w:val="21"/>
          <w:szCs w:val="21"/>
        </w:rPr>
        <w:t xml:space="preserve">Commitment is sought from each product owner based on their available capacity.</w:t>
      </w:r>
    </w:p>
    <w:p>
      <w:pPr>
        <w:pStyle w:val="Heading3"/>
        <w:spacing w:after="120" w:before="240"/>
      </w:pPr>
      <w:r>
        <w:rPr>
          <w:rFonts w:ascii="Calibri" w:cs="Calibri" w:eastAsia="Calibri" w:hAnsi="Calibri"/>
          <w:b/>
          <w:bCs/>
          <w:color w:val="1B2432"/>
          <w:sz w:val="23"/>
          <w:szCs w:val="23"/>
        </w:rPr>
        <w:t xml:space="preserve">Why this stage exists</w:t>
      </w:r>
    </w:p>
    <w:p>
      <w:pPr>
        <w:spacing w:after="120" w:before="0"/>
      </w:pPr>
      <w:r>
        <w:rPr>
          <w:rFonts w:ascii="Calibri" w:cs="Calibri" w:eastAsia="Calibri" w:hAnsi="Calibri"/>
          <w:b w:val="false"/>
          <w:bCs w:val="false"/>
          <w:i w:val="false"/>
          <w:iCs w:val="false"/>
          <w:color w:val="1B2432"/>
          <w:sz w:val="21"/>
          <w:szCs w:val="21"/>
        </w:rPr>
        <w:t xml:space="preserve">This is where the demand meets the people who will have to resource it. The stage exists because a commitment given without the receiving product owner having understood the scope is not a commitment — it is a scheduling assumption that fails later. Holding the conversation quarterly and in one room compresses what would otherwise be a long series of bilateral negotiations, and it forces the trade-offs between competing epics to be made visibly rather than sequentially.</w:t>
      </w:r>
    </w:p>
    <w:p>
      <w:pPr>
        <w:pStyle w:val="Heading3"/>
        <w:spacing w:after="120" w:before="240"/>
      </w:pPr>
      <w:r>
        <w:rPr>
          <w:rFonts w:ascii="Calibri" w:cs="Calibri" w:eastAsia="Calibri" w:hAnsi="Calibri"/>
          <w:b/>
          <w:bCs/>
          <w:color w:val="1B2432"/>
          <w:sz w:val="23"/>
          <w:szCs w:val="23"/>
        </w:rPr>
        <w:t xml:space="preserve">Participants and artefacts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900"/>
        <w:gridCol w:w="3600"/>
        <w:gridCol w:w="3860"/>
      </w:tblGrid>
      <w:tr>
        <w:trPr>
          <w:tblHeader/>
        </w:trPr>
        <w:tc>
          <w:tcPr>
            <w:tcW w:type="dxa" w:w="19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Aspect</w:t>
            </w:r>
          </w:p>
        </w:tc>
        <w:tc>
          <w:tcPr>
            <w:tcW w:type="dxa" w:w="3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Detail</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Note</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Accountable</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L3 product manager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Runs the session.</w:t>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Supporting</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L1 and L2 product owners; engineering and enabling teams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Input</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 epics and L2 features; LOB ranking</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Output</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Reviewed feature set with product owner positions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Exit criteria</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Features reviewed and commitment positions understood</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bl>
    <w:p>
      <w:pPr>
        <w:pStyle w:val="Heading2"/>
        <w:spacing w:after="160" w:before="300"/>
      </w:pPr>
      <w:r>
        <w:rPr>
          <w:rFonts w:ascii="Cambria" w:cs="Cambria" w:eastAsia="Cambria" w:hAnsi="Cambria"/>
          <w:b/>
          <w:bCs/>
          <w:color w:val="1E2761"/>
          <w:sz w:val="26"/>
          <w:szCs w:val="26"/>
        </w:rPr>
        <w:t xml:space="preserve">1.11 Stage 7 — Capacity Assessment</w:t>
      </w:r>
    </w:p>
    <w:p>
      <w:pPr>
        <w:pStyle w:val="Heading3"/>
        <w:spacing w:after="120" w:before="240"/>
      </w:pPr>
      <w:r>
        <w:rPr>
          <w:rFonts w:ascii="Calibri" w:cs="Calibri" w:eastAsia="Calibri" w:hAnsi="Calibri"/>
          <w:b/>
          <w:bCs/>
          <w:color w:val="1B2432"/>
          <w:sz w:val="23"/>
          <w:szCs w:val="23"/>
        </w:rPr>
        <w:t xml:space="preserve">What happens</w:t>
      </w:r>
    </w:p>
    <w:p>
      <w:pPr>
        <w:spacing w:after="120" w:before="0"/>
      </w:pPr>
      <w:r>
        <w:rPr>
          <w:rFonts w:ascii="Calibri" w:cs="Calibri" w:eastAsia="Calibri" w:hAnsi="Calibri"/>
          <w:b w:val="false"/>
          <w:bCs w:val="false"/>
          <w:i w:val="false"/>
          <w:iCs w:val="false"/>
          <w:color w:val="1B2432"/>
          <w:sz w:val="21"/>
          <w:szCs w:val="21"/>
        </w:rPr>
        <w:t xml:space="preserve">Enabling and engineering teams evaluate available capacity, competing priorities, technical dependencies, and implementation readiness to determine commitment levels.</w:t>
      </w:r>
    </w:p>
    <w:p>
      <w:pPr>
        <w:pStyle w:val="Heading3"/>
        <w:spacing w:after="120" w:before="240"/>
      </w:pPr>
      <w:r>
        <w:rPr>
          <w:rFonts w:ascii="Calibri" w:cs="Calibri" w:eastAsia="Calibri" w:hAnsi="Calibri"/>
          <w:b/>
          <w:bCs/>
          <w:color w:val="1B2432"/>
          <w:sz w:val="23"/>
          <w:szCs w:val="23"/>
        </w:rPr>
        <w:t xml:space="preserve">Activities performed</w:t>
      </w:r>
    </w:p>
    <w:p>
      <w:pPr>
        <w:pStyle w:val="ListParagraph"/>
        <w:numPr>
          <w:ilvl w:val="0"/>
          <w:numId w:val="2"/>
        </w:numPr>
        <w:spacing w:after="70"/>
      </w:pPr>
      <w:r>
        <w:rPr>
          <w:rFonts w:ascii="Calibri" w:cs="Calibri" w:eastAsia="Calibri" w:hAnsi="Calibri"/>
          <w:color w:val="1B2432"/>
          <w:sz w:val="21"/>
          <w:szCs w:val="21"/>
        </w:rPr>
        <w:t xml:space="preserve">Available capacity within the relevant teams is evaluated.</w:t>
      </w:r>
    </w:p>
    <w:p>
      <w:pPr>
        <w:pStyle w:val="ListParagraph"/>
        <w:numPr>
          <w:ilvl w:val="0"/>
          <w:numId w:val="2"/>
        </w:numPr>
        <w:spacing w:after="70"/>
      </w:pPr>
      <w:r>
        <w:rPr>
          <w:rFonts w:ascii="Calibri" w:cs="Calibri" w:eastAsia="Calibri" w:hAnsi="Calibri"/>
          <w:color w:val="1B2432"/>
          <w:sz w:val="21"/>
          <w:szCs w:val="21"/>
        </w:rPr>
        <w:t xml:space="preserve">Competing priorities across the team's portfolio are weighed.</w:t>
      </w:r>
    </w:p>
    <w:p>
      <w:pPr>
        <w:pStyle w:val="ListParagraph"/>
        <w:numPr>
          <w:ilvl w:val="0"/>
          <w:numId w:val="2"/>
        </w:numPr>
        <w:spacing w:after="70"/>
      </w:pPr>
      <w:r>
        <w:rPr>
          <w:rFonts w:ascii="Calibri" w:cs="Calibri" w:eastAsia="Calibri" w:hAnsi="Calibri"/>
          <w:color w:val="1B2432"/>
          <w:sz w:val="21"/>
          <w:szCs w:val="21"/>
        </w:rPr>
        <w:t xml:space="preserve">Technical dependencies are checked, including dependencies on platform work and on other onboardings.</w:t>
      </w:r>
    </w:p>
    <w:p>
      <w:pPr>
        <w:pStyle w:val="ListParagraph"/>
        <w:numPr>
          <w:ilvl w:val="0"/>
          <w:numId w:val="2"/>
        </w:numPr>
        <w:spacing w:after="70"/>
      </w:pPr>
      <w:r>
        <w:rPr>
          <w:rFonts w:ascii="Calibri" w:cs="Calibri" w:eastAsia="Calibri" w:hAnsi="Calibri"/>
          <w:color w:val="1B2432"/>
          <w:sz w:val="21"/>
          <w:szCs w:val="21"/>
        </w:rPr>
        <w:t xml:space="preserve">Implementation readiness is assessed — whether the scope is well enough defined to be estimated and started.</w:t>
      </w:r>
    </w:p>
    <w:p>
      <w:pPr>
        <w:pStyle w:val="ListParagraph"/>
        <w:numPr>
          <w:ilvl w:val="0"/>
          <w:numId w:val="2"/>
        </w:numPr>
        <w:spacing w:after="70"/>
      </w:pPr>
      <w:r>
        <w:rPr>
          <w:rFonts w:ascii="Calibri" w:cs="Calibri" w:eastAsia="Calibri" w:hAnsi="Calibri"/>
          <w:color w:val="1B2432"/>
          <w:sz w:val="21"/>
          <w:szCs w:val="21"/>
        </w:rPr>
        <w:t xml:space="preserve">Teams assess whether the onboarding can be accommodated within upcoming planning increments.</w:t>
      </w:r>
    </w:p>
    <w:p>
      <w:pPr>
        <w:pStyle w:val="ListParagraph"/>
        <w:numPr>
          <w:ilvl w:val="0"/>
          <w:numId w:val="2"/>
        </w:numPr>
        <w:spacing w:after="70"/>
      </w:pPr>
      <w:r>
        <w:rPr>
          <w:rFonts w:ascii="Calibri" w:cs="Calibri" w:eastAsia="Calibri" w:hAnsi="Calibri"/>
          <w:color w:val="1B2432"/>
          <w:sz w:val="21"/>
          <w:szCs w:val="21"/>
        </w:rPr>
        <w:t xml:space="preserve">Blockers that could impact delivery timelines are identified.</w:t>
      </w:r>
    </w:p>
    <w:p>
      <w:pPr>
        <w:pStyle w:val="ListParagraph"/>
        <w:numPr>
          <w:ilvl w:val="0"/>
          <w:numId w:val="2"/>
        </w:numPr>
        <w:spacing w:after="70"/>
      </w:pPr>
      <w:r>
        <w:rPr>
          <w:rFonts w:ascii="Calibri" w:cs="Calibri" w:eastAsia="Calibri" w:hAnsi="Calibri"/>
          <w:color w:val="1B2432"/>
          <w:sz w:val="21"/>
          <w:szCs w:val="21"/>
        </w:rPr>
        <w:t xml:space="preserve">A commitment indicator is returned.</w:t>
      </w:r>
    </w:p>
    <w:p>
      <w:pPr>
        <w:pStyle w:val="Heading3"/>
        <w:spacing w:after="120" w:before="240"/>
      </w:pPr>
      <w:r>
        <w:rPr>
          <w:rFonts w:ascii="Calibri" w:cs="Calibri" w:eastAsia="Calibri" w:hAnsi="Calibri"/>
          <w:b/>
          <w:bCs/>
          <w:color w:val="1B2432"/>
          <w:sz w:val="23"/>
          <w:szCs w:val="23"/>
        </w:rPr>
        <w:t xml:space="preserve">Commitment indicators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800"/>
        <w:gridCol w:w="7560"/>
      </w:tblGrid>
      <w:tr>
        <w:trPr>
          <w:tblHeader/>
        </w:trPr>
        <w:tc>
          <w:tcPr>
            <w:tcW w:type="dxa" w:w="18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Indicator</w:t>
            </w:r>
          </w:p>
        </w:tc>
        <w:tc>
          <w:tcPr>
            <w:tcW w:type="dxa" w:w="75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Meaning</w:t>
            </w:r>
          </w:p>
        </w:tc>
      </w:tr>
      <w:tr>
        <w:tc>
          <w:tcPr>
            <w:tcW w:type="dxa" w:w="18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TBD</w:t>
            </w:r>
          </w:p>
        </w:tc>
        <w:tc>
          <w:tcPr>
            <w:tcW w:type="dxa" w:w="75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commitment position is not yet determined. Further assessment or dependency resolution is required before the team can take a position.</w:t>
            </w:r>
          </w:p>
        </w:tc>
      </w:tr>
      <w:tr>
        <w:tc>
          <w:tcPr>
            <w:tcW w:type="dxa" w:w="18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ATL</w:t>
            </w:r>
          </w:p>
        </w:tc>
        <w:tc>
          <w:tcPr>
            <w:tcW w:type="dxa" w:w="75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Above the line. The work is committed within the planning increment.</w:t>
            </w:r>
          </w:p>
        </w:tc>
      </w:tr>
      <w:tr>
        <w:tc>
          <w:tcPr>
            <w:tcW w:type="dxa" w:w="18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ATL+</w:t>
            </w:r>
          </w:p>
        </w:tc>
        <w:tc>
          <w:tcPr>
            <w:tcW w:type="dxa" w:w="75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Above the line with additional confidence or additional scope accommodated.</w:t>
            </w:r>
          </w:p>
        </w:tc>
      </w:tr>
      <w:tr>
        <w:tc>
          <w:tcPr>
            <w:tcW w:type="dxa" w:w="18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BTL</w:t>
            </w:r>
          </w:p>
        </w:tc>
        <w:tc>
          <w:tcPr>
            <w:tcW w:type="dxa" w:w="75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Below the line. The work is understood but not committed within the increment, typically because capacity is exhausted or a dependency is unresolved.</w:t>
            </w:r>
          </w:p>
        </w:tc>
      </w:tr>
    </w:tbl>
    <w:p>
      <w:pPr>
        <w:spacing w:after="120"/>
      </w:pPr>
      <w:r>
        <w:t xml:space="preserve"/>
      </w:r>
    </w:p>
    <w:p>
      <w:pPr>
        <w:spacing w:after="160" w:before="0"/>
      </w:pPr>
      <w:r>
        <w:rPr>
          <w:rFonts w:ascii="Calibri" w:cs="Calibri" w:eastAsia="Calibri" w:hAnsi="Calibri"/>
          <w:b w:val="false"/>
          <w:bCs w:val="false"/>
          <w:i w:val="false"/>
          <w:iCs w:val="false"/>
          <w:color w:val="1B2432"/>
          <w:sz w:val="21"/>
          <w:szCs w:val="21"/>
        </w:rPr>
        <w:t xml:space="preserve">These indicators exist to provide transparency into delivery confidence and resource availability, so that a partner and a Line of Business can plan against a stated position rather than an assumption.</w:t>
      </w:r>
    </w:p>
    <w:p>
      <w:pPr>
        <w:pStyle w:val="Heading3"/>
        <w:spacing w:after="120" w:before="240"/>
      </w:pPr>
      <w:r>
        <w:rPr>
          <w:rFonts w:ascii="Calibri" w:cs="Calibri" w:eastAsia="Calibri" w:hAnsi="Calibri"/>
          <w:b/>
          <w:bCs/>
          <w:color w:val="1B2432"/>
          <w:sz w:val="23"/>
          <w:szCs w:val="23"/>
        </w:rPr>
        <w:t xml:space="preserve">Why this stage exists</w:t>
      </w:r>
    </w:p>
    <w:p>
      <w:pPr>
        <w:spacing w:after="120" w:before="0"/>
      </w:pPr>
      <w:r>
        <w:rPr>
          <w:rFonts w:ascii="Calibri" w:cs="Calibri" w:eastAsia="Calibri" w:hAnsi="Calibri"/>
          <w:b w:val="false"/>
          <w:bCs w:val="false"/>
          <w:i w:val="false"/>
          <w:iCs w:val="false"/>
          <w:color w:val="1B2432"/>
          <w:sz w:val="21"/>
          <w:szCs w:val="21"/>
        </w:rPr>
        <w:t xml:space="preserve">Capacity assessment is the point at which the organisation converts a prioritised, well-understood demand into a dated commitment or an explicit refusal. Its value lies as much in the refusals as in the acceptances: a BTL position communicated early allows the LOB to re-prioritise, escalate, or reset the partner's expectations, whereas an unstated capacity problem surfaces as a missed date. The stage also matters because a partner with no scrum team assigned cannot progress through the full environment ladder, so the outcome here constrains what can be delivered at all.</w:t>
      </w:r>
    </w:p>
    <w:p>
      <w:pPr>
        <w:pStyle w:val="Heading3"/>
        <w:spacing w:after="120" w:before="240"/>
      </w:pPr>
      <w:r>
        <w:rPr>
          <w:rFonts w:ascii="Calibri" w:cs="Calibri" w:eastAsia="Calibri" w:hAnsi="Calibri"/>
          <w:b/>
          <w:bCs/>
          <w:color w:val="1B2432"/>
          <w:sz w:val="23"/>
          <w:szCs w:val="23"/>
        </w:rPr>
        <w:t xml:space="preserve">Participants and artefacts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900"/>
        <w:gridCol w:w="3600"/>
        <w:gridCol w:w="3860"/>
      </w:tblGrid>
      <w:tr>
        <w:trPr>
          <w:tblHeader/>
        </w:trPr>
        <w:tc>
          <w:tcPr>
            <w:tcW w:type="dxa" w:w="19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Aspect</w:t>
            </w:r>
          </w:p>
        </w:tc>
        <w:tc>
          <w:tcPr>
            <w:tcW w:type="dxa" w:w="3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Detail</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Note</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Accountable</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Enabling and engineering teams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Supporting</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ECM product management; 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Input</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Reviewed features; dependency picture; volume profile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Output</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Commitment indicator; identified blockers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Exit criteria</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Commitment position returned for each feature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bl>
    <w:p>
      <w:r>
        <w:br w:type="page"/>
      </w:r>
    </w:p>
    <w:p>
      <w:pPr>
        <w:pStyle w:val="Heading2"/>
        <w:spacing w:after="160" w:before="300"/>
      </w:pPr>
      <w:r>
        <w:rPr>
          <w:rFonts w:ascii="Cambria" w:cs="Cambria" w:eastAsia="Cambria" w:hAnsi="Cambria"/>
          <w:b/>
          <w:bCs/>
          <w:color w:val="1E2761"/>
          <w:sz w:val="26"/>
          <w:szCs w:val="26"/>
        </w:rPr>
        <w:t xml:space="preserve">1.12 Stage 8 — Development &amp; Delivery</w:t>
      </w:r>
    </w:p>
    <w:p>
      <w:pPr>
        <w:pStyle w:val="Heading3"/>
        <w:spacing w:after="120" w:before="240"/>
      </w:pPr>
      <w:r>
        <w:rPr>
          <w:rFonts w:ascii="Calibri" w:cs="Calibri" w:eastAsia="Calibri" w:hAnsi="Calibri"/>
          <w:b/>
          <w:bCs/>
          <w:color w:val="1B2432"/>
          <w:sz w:val="23"/>
          <w:szCs w:val="23"/>
        </w:rPr>
        <w:t xml:space="preserve">What happens</w:t>
      </w:r>
    </w:p>
    <w:p>
      <w:pPr>
        <w:spacing w:after="120" w:before="0"/>
      </w:pPr>
      <w:r>
        <w:rPr>
          <w:rFonts w:ascii="Calibri" w:cs="Calibri" w:eastAsia="Calibri" w:hAnsi="Calibri"/>
          <w:b w:val="false"/>
          <w:bCs w:val="false"/>
          <w:i w:val="false"/>
          <w:iCs w:val="false"/>
          <w:color w:val="1B2432"/>
          <w:sz w:val="21"/>
          <w:szCs w:val="21"/>
        </w:rPr>
        <w:t xml:space="preserve">Once capacity is confirmed, implementation begins. Enabling and engineering teams execute onboarding tasks, build integrations, configure platform services, complete testing, and validate readiness for production use. Progress is tracked through the associated features and delivery backlog so that stakeholders retain visibility into milestones, dependencies, impediments, risks, and deployment readiness.</w:t>
      </w:r>
    </w:p>
    <w:p>
      <w:pPr>
        <w:spacing w:after="120" w:before="0"/>
      </w:pPr>
      <w:r>
        <w:rPr>
          <w:rFonts w:ascii="Calibri" w:cs="Calibri" w:eastAsia="Calibri" w:hAnsi="Calibri"/>
          <w:b w:val="false"/>
          <w:bCs w:val="false"/>
          <w:i w:val="false"/>
          <w:iCs w:val="false"/>
          <w:color w:val="1B2432"/>
          <w:sz w:val="21"/>
          <w:szCs w:val="21"/>
        </w:rPr>
        <w:t xml:space="preserve">This is the largest stage in the process by a wide margin. It is not a single activity but a set of parallel workstreams that converge on a production-ready configuration. The subsections below describe each workstream.</w:t>
      </w:r>
    </w:p>
    <w:p>
      <w:pPr>
        <w:pStyle w:val="Heading3"/>
        <w:spacing w:after="120" w:before="240"/>
      </w:pPr>
      <w:r>
        <w:rPr>
          <w:rFonts w:ascii="Calibri" w:cs="Calibri" w:eastAsia="Calibri" w:hAnsi="Calibri"/>
          <w:b/>
          <w:bCs/>
          <w:color w:val="1B2432"/>
          <w:sz w:val="23"/>
          <w:szCs w:val="23"/>
        </w:rPr>
        <w:t xml:space="preserve">1.12.1 Connectivity, security and foundational setup</w:t>
      </w:r>
    </w:p>
    <w:p>
      <w:pPr>
        <w:pStyle w:val="ListParagraph"/>
        <w:numPr>
          <w:ilvl w:val="0"/>
          <w:numId w:val="2"/>
        </w:numPr>
        <w:spacing w:after="70"/>
      </w:pPr>
      <w:r>
        <w:rPr>
          <w:rFonts w:ascii="Calibri" w:cs="Calibri" w:eastAsia="Calibri" w:hAnsi="Calibri"/>
          <w:color w:val="1B2432"/>
          <w:sz w:val="21"/>
          <w:szCs w:val="21"/>
        </w:rPr>
        <w:t xml:space="preserve">Application registration and identity establishment, so that every downstream request — certificate, access, subscription — can be tied back to a single application identity.</w:t>
      </w:r>
    </w:p>
    <w:p>
      <w:pPr>
        <w:pStyle w:val="ListParagraph"/>
        <w:numPr>
          <w:ilvl w:val="0"/>
          <w:numId w:val="2"/>
        </w:numPr>
        <w:spacing w:after="70"/>
      </w:pPr>
      <w:r>
        <w:rPr>
          <w:rFonts w:ascii="Calibri" w:cs="Calibri" w:eastAsia="Calibri" w:hAnsi="Calibri"/>
          <w:color w:val="1B2432"/>
          <w:sz w:val="21"/>
          <w:szCs w:val="21"/>
        </w:rPr>
        <w:t xml:space="preserve">Firewall connectivity opened from the partner zone to ICMP API services.</w:t>
      </w:r>
    </w:p>
    <w:p>
      <w:pPr>
        <w:pStyle w:val="ListParagraph"/>
        <w:numPr>
          <w:ilvl w:val="0"/>
          <w:numId w:val="2"/>
        </w:numPr>
        <w:spacing w:after="70"/>
      </w:pPr>
      <w:r>
        <w:rPr>
          <w:rFonts w:ascii="Calibri" w:cs="Calibri" w:eastAsia="Calibri" w:hAnsi="Calibri"/>
          <w:color w:val="1B2432"/>
          <w:sz w:val="21"/>
          <w:szCs w:val="21"/>
        </w:rPr>
        <w:t xml:space="preserve">Certificate issuance and installation for secure service-to-service communication.</w:t>
      </w:r>
    </w:p>
    <w:p>
      <w:pPr>
        <w:pStyle w:val="ListParagraph"/>
        <w:numPr>
          <w:ilvl w:val="0"/>
          <w:numId w:val="2"/>
        </w:numPr>
        <w:spacing w:after="70"/>
      </w:pPr>
      <w:r>
        <w:rPr>
          <w:rFonts w:ascii="Calibri" w:cs="Calibri" w:eastAsia="Calibri" w:hAnsi="Calibri"/>
          <w:color w:val="1B2432"/>
          <w:sz w:val="21"/>
          <w:szCs w:val="21"/>
        </w:rPr>
        <w:t xml:space="preserve">Service account creation and group membership provisioning.</w:t>
      </w:r>
    </w:p>
    <w:p>
      <w:pPr>
        <w:pStyle w:val="ListParagraph"/>
        <w:numPr>
          <w:ilvl w:val="0"/>
          <w:numId w:val="2"/>
        </w:numPr>
        <w:spacing w:after="70"/>
      </w:pPr>
      <w:r>
        <w:rPr>
          <w:rFonts w:ascii="Calibri" w:cs="Calibri" w:eastAsia="Calibri" w:hAnsi="Calibri"/>
          <w:color w:val="1B2432"/>
          <w:sz w:val="21"/>
          <w:szCs w:val="21"/>
        </w:rPr>
        <w:t xml:space="preserve">Human user access provisioning across non-production and production.</w:t>
      </w:r>
    </w:p>
    <w:p>
      <w:pPr>
        <w:pStyle w:val="ListParagraph"/>
        <w:numPr>
          <w:ilvl w:val="0"/>
          <w:numId w:val="2"/>
        </w:numPr>
        <w:spacing w:after="70"/>
      </w:pPr>
      <w:r>
        <w:rPr>
          <w:rFonts w:ascii="Calibri" w:cs="Calibri" w:eastAsia="Calibri" w:hAnsi="Calibri"/>
          <w:color w:val="1B2432"/>
          <w:sz w:val="21"/>
          <w:szCs w:val="21"/>
        </w:rPr>
        <w:t xml:space="preserve">System security analysis and user security analysis completed and signed off.</w:t>
      </w:r>
    </w:p>
    <w:p>
      <w:pPr>
        <w:pStyle w:val="Heading4"/>
        <w:spacing w:after="100" w:before="200"/>
      </w:pPr>
      <w:r>
        <w:rPr>
          <w:rFonts w:ascii="Calibri" w:cs="Calibri" w:eastAsia="Calibri" w:hAnsi="Calibri"/>
          <w:b/>
          <w:bCs/>
          <w:color w:val="C05621"/>
          <w:sz w:val="21"/>
          <w:szCs w:val="21"/>
        </w:rPr>
        <w:t xml:space="preserve">Why access routing is not a single path</w:t>
      </w:r>
    </w:p>
    <w:p>
      <w:pPr>
        <w:spacing w:after="120" w:before="0"/>
      </w:pPr>
      <w:r>
        <w:rPr>
          <w:rFonts w:ascii="Calibri" w:cs="Calibri" w:eastAsia="Calibri" w:hAnsi="Calibri"/>
          <w:b w:val="false"/>
          <w:bCs w:val="false"/>
          <w:i w:val="false"/>
          <w:iCs w:val="false"/>
          <w:color w:val="1B2432"/>
          <w:sz w:val="21"/>
          <w:szCs w:val="21"/>
        </w:rPr>
        <w:t xml:space="preserve">Access provisioning is routed by request type rather than by environment. Service account creation and service account group membership route through the access request tooling in both environments. Human user access routes through the access request tooling for one environment domain and through the identity management system for the other. Getting this wrong does not produce an error — it produces a request that sits in the wrong queue and is eventually rejected, after the delay has already been incurred.</w:t>
      </w:r>
    </w:p>
    <w:p>
      <w:pPr>
        <w:pStyle w:val="Heading3"/>
        <w:spacing w:after="120" w:before="240"/>
      </w:pPr>
      <w:r>
        <w:rPr>
          <w:rFonts w:ascii="Calibri" w:cs="Calibri" w:eastAsia="Calibri" w:hAnsi="Calibri"/>
          <w:b/>
          <w:bCs/>
          <w:color w:val="1B2432"/>
          <w:sz w:val="23"/>
          <w:szCs w:val="23"/>
        </w:rPr>
        <w:t xml:space="preserve">1.12.2 Apigee onboarding and subscription</w:t>
      </w:r>
    </w:p>
    <w:p>
      <w:pPr>
        <w:pStyle w:val="ListParagraph"/>
        <w:numPr>
          <w:ilvl w:val="0"/>
          <w:numId w:val="2"/>
        </w:numPr>
        <w:spacing w:after="70"/>
      </w:pPr>
      <w:r>
        <w:rPr>
          <w:rFonts w:ascii="Calibri" w:cs="Calibri" w:eastAsia="Calibri" w:hAnsi="Calibri"/>
          <w:color w:val="1B2432"/>
          <w:sz w:val="21"/>
          <w:szCs w:val="21"/>
        </w:rPr>
        <w:t xml:space="preserve">Onboarding the partner application to the Apigee marketplace.</w:t>
      </w:r>
    </w:p>
    <w:p>
      <w:pPr>
        <w:pStyle w:val="ListParagraph"/>
        <w:numPr>
          <w:ilvl w:val="0"/>
          <w:numId w:val="2"/>
        </w:numPr>
        <w:spacing w:after="70"/>
      </w:pPr>
      <w:r>
        <w:rPr>
          <w:rFonts w:ascii="Calibri" w:cs="Calibri" w:eastAsia="Calibri" w:hAnsi="Calibri"/>
          <w:color w:val="1B2432"/>
          <w:sz w:val="21"/>
          <w:szCs w:val="21"/>
        </w:rPr>
        <w:t xml:space="preserve">Identifying the correct ICMP API products for the partner's use case.</w:t>
      </w:r>
    </w:p>
    <w:p>
      <w:pPr>
        <w:pStyle w:val="ListParagraph"/>
        <w:numPr>
          <w:ilvl w:val="0"/>
          <w:numId w:val="2"/>
        </w:numPr>
        <w:spacing w:after="70"/>
      </w:pPr>
      <w:r>
        <w:rPr>
          <w:rFonts w:ascii="Calibri" w:cs="Calibri" w:eastAsia="Calibri" w:hAnsi="Calibri"/>
          <w:color w:val="1B2432"/>
          <w:sz w:val="21"/>
          <w:szCs w:val="21"/>
        </w:rPr>
        <w:t xml:space="preserve">Registering the partner application and subscribing to the required ICMP APIs.</w:t>
      </w:r>
    </w:p>
    <w:p>
      <w:pPr>
        <w:pStyle w:val="ListParagraph"/>
        <w:numPr>
          <w:ilvl w:val="0"/>
          <w:numId w:val="2"/>
        </w:numPr>
        <w:spacing w:after="70"/>
      </w:pPr>
      <w:r>
        <w:rPr>
          <w:rFonts w:ascii="Calibri" w:cs="Calibri" w:eastAsia="Calibri" w:hAnsi="Calibri"/>
          <w:color w:val="1B2432"/>
          <w:sz w:val="21"/>
          <w:szCs w:val="21"/>
        </w:rPr>
        <w:t xml:space="preserve">Obtaining Apigee approvals and clearances.</w:t>
      </w:r>
    </w:p>
    <w:p>
      <w:pPr>
        <w:pStyle w:val="ListParagraph"/>
        <w:numPr>
          <w:ilvl w:val="0"/>
          <w:numId w:val="2"/>
        </w:numPr>
        <w:spacing w:after="70"/>
      </w:pPr>
      <w:r>
        <w:rPr>
          <w:rFonts w:ascii="Calibri" w:cs="Calibri" w:eastAsia="Calibri" w:hAnsi="Calibri"/>
          <w:color w:val="1B2432"/>
          <w:sz w:val="21"/>
          <w:szCs w:val="21"/>
        </w:rPr>
        <w:t xml:space="preserve">Maintaining the Apigee Onboarding Tracker.</w:t>
      </w:r>
    </w:p>
    <w:p>
      <w:pPr>
        <w:pStyle w:val="Heading3"/>
        <w:spacing w:after="120" w:before="240"/>
      </w:pPr>
      <w:r>
        <w:rPr>
          <w:rFonts w:ascii="Calibri" w:cs="Calibri" w:eastAsia="Calibri" w:hAnsi="Calibri"/>
          <w:b/>
          <w:bCs/>
          <w:color w:val="1B2432"/>
          <w:sz w:val="23"/>
          <w:szCs w:val="23"/>
        </w:rPr>
        <w:t xml:space="preserve">1.12.3 KEES — Kafka Enablement Engagement Services</w:t>
      </w:r>
    </w:p>
    <w:p>
      <w:pPr>
        <w:pStyle w:val="ListParagraph"/>
        <w:numPr>
          <w:ilvl w:val="0"/>
          <w:numId w:val="2"/>
        </w:numPr>
        <w:spacing w:after="70"/>
      </w:pPr>
      <w:r>
        <w:rPr>
          <w:rFonts w:ascii="Calibri" w:cs="Calibri" w:eastAsia="Calibri" w:hAnsi="Calibri"/>
          <w:color w:val="1B2432"/>
          <w:sz w:val="21"/>
          <w:szCs w:val="21"/>
        </w:rPr>
        <w:t xml:space="preserve">Initiating the KEES engagement.</w:t>
      </w:r>
    </w:p>
    <w:p>
      <w:pPr>
        <w:pStyle w:val="ListParagraph"/>
        <w:numPr>
          <w:ilvl w:val="0"/>
          <w:numId w:val="2"/>
        </w:numPr>
        <w:spacing w:after="70"/>
      </w:pPr>
      <w:r>
        <w:rPr>
          <w:rFonts w:ascii="Calibri" w:cs="Calibri" w:eastAsia="Calibri" w:hAnsi="Calibri"/>
          <w:color w:val="1B2432"/>
          <w:sz w:val="21"/>
          <w:szCs w:val="21"/>
        </w:rPr>
        <w:t xml:space="preserve">Kafka onboarding for the partner application.</w:t>
      </w:r>
    </w:p>
    <w:p>
      <w:pPr>
        <w:pStyle w:val="ListParagraph"/>
        <w:numPr>
          <w:ilvl w:val="0"/>
          <w:numId w:val="2"/>
        </w:numPr>
        <w:spacing w:after="70"/>
      </w:pPr>
      <w:r>
        <w:rPr>
          <w:rFonts w:ascii="Calibri" w:cs="Calibri" w:eastAsia="Calibri" w:hAnsi="Calibri"/>
          <w:color w:val="1B2432"/>
          <w:sz w:val="21"/>
          <w:szCs w:val="21"/>
        </w:rPr>
        <w:t xml:space="preserve">Creating consumer groups on the relevant ICMP Kafka topic.</w:t>
      </w:r>
    </w:p>
    <w:p>
      <w:pPr>
        <w:pStyle w:val="ListParagraph"/>
        <w:numPr>
          <w:ilvl w:val="0"/>
          <w:numId w:val="2"/>
        </w:numPr>
        <w:spacing w:after="70"/>
      </w:pPr>
      <w:r>
        <w:rPr>
          <w:rFonts w:ascii="Calibri" w:cs="Calibri" w:eastAsia="Calibri" w:hAnsi="Calibri"/>
          <w:color w:val="1B2432"/>
          <w:sz w:val="21"/>
          <w:szCs w:val="21"/>
        </w:rPr>
        <w:t xml:space="preserve">Enabling request-level and document-level ingestion notifications.</w:t>
      </w:r>
    </w:p>
    <w:p>
      <w:pPr>
        <w:pStyle w:val="ListParagraph"/>
        <w:numPr>
          <w:ilvl w:val="0"/>
          <w:numId w:val="2"/>
        </w:numPr>
        <w:spacing w:after="70"/>
      </w:pPr>
      <w:r>
        <w:rPr>
          <w:rFonts w:ascii="Calibri" w:cs="Calibri" w:eastAsia="Calibri" w:hAnsi="Calibri"/>
          <w:color w:val="1B2432"/>
          <w:sz w:val="21"/>
          <w:szCs w:val="21"/>
        </w:rPr>
        <w:t xml:space="preserve">Enabling reconciliation processes covering both successful and failed archival scenarios.</w:t>
      </w:r>
    </w:p>
    <w:p>
      <w:pPr>
        <w:pStyle w:val="ListParagraph"/>
        <w:numPr>
          <w:ilvl w:val="0"/>
          <w:numId w:val="2"/>
        </w:numPr>
        <w:spacing w:after="70"/>
      </w:pPr>
      <w:r>
        <w:rPr>
          <w:rFonts w:ascii="Calibri" w:cs="Calibri" w:eastAsia="Calibri" w:hAnsi="Calibri"/>
          <w:color w:val="1B2432"/>
          <w:sz w:val="21"/>
          <w:szCs w:val="21"/>
        </w:rPr>
        <w:t xml:space="preserve">Defining retry and exception-handling processes.</w:t>
      </w:r>
    </w:p>
    <w:p>
      <w:pPr>
        <w:pStyle w:val="ListParagraph"/>
        <w:numPr>
          <w:ilvl w:val="0"/>
          <w:numId w:val="2"/>
        </w:numPr>
        <w:spacing w:after="70"/>
      </w:pPr>
      <w:r>
        <w:rPr>
          <w:rFonts w:ascii="Calibri" w:cs="Calibri" w:eastAsia="Calibri" w:hAnsi="Calibri"/>
          <w:color w:val="1B2432"/>
          <w:sz w:val="21"/>
          <w:szCs w:val="21"/>
        </w:rPr>
        <w:t xml:space="preserve">Designing the ingestion approach against the volume requirements.</w:t>
      </w:r>
    </w:p>
    <w:p>
      <w:pPr>
        <w:pStyle w:val="ListParagraph"/>
        <w:numPr>
          <w:ilvl w:val="0"/>
          <w:numId w:val="2"/>
        </w:numPr>
        <w:spacing w:after="70"/>
      </w:pPr>
      <w:r>
        <w:rPr>
          <w:rFonts w:ascii="Calibri" w:cs="Calibri" w:eastAsia="Calibri" w:hAnsi="Calibri"/>
          <w:color w:val="1B2432"/>
          <w:sz w:val="21"/>
          <w:szCs w:val="21"/>
        </w:rPr>
        <w:t xml:space="preserve">Maintaining the Kafka Onboarding Tracker.</w:t>
      </w:r>
    </w:p>
    <w:p>
      <w:pPr>
        <w:pStyle w:val="Heading3"/>
        <w:spacing w:after="120" w:before="240"/>
      </w:pPr>
      <w:r>
        <w:rPr>
          <w:rFonts w:ascii="Calibri" w:cs="Calibri" w:eastAsia="Calibri" w:hAnsi="Calibri"/>
          <w:b/>
          <w:bCs/>
          <w:color w:val="1B2432"/>
          <w:sz w:val="23"/>
          <w:szCs w:val="23"/>
        </w:rPr>
        <w:t xml:space="preserve">1.12.4 Content processing configuration</w:t>
      </w:r>
    </w:p>
    <w:p>
      <w:pPr>
        <w:spacing w:after="120" w:before="0"/>
      </w:pPr>
      <w:r>
        <w:rPr>
          <w:rFonts w:ascii="Calibri" w:cs="Calibri" w:eastAsia="Calibri" w:hAnsi="Calibri"/>
          <w:b w:val="false"/>
          <w:bCs w:val="false"/>
          <w:i w:val="false"/>
          <w:iCs w:val="false"/>
          <w:color w:val="1B2432"/>
          <w:sz w:val="21"/>
          <w:szCs w:val="21"/>
        </w:rPr>
        <w:t xml:space="preserve">The Imaging Governance determination made in discovery drives two different configuration paths, and a partner may need both. Where a new document type is introduced after the original determination, it returns to Imaging Governance for a fresh decision rather than inheriting the classification of an existing type.</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200"/>
        <w:gridCol w:w="3400"/>
        <w:gridCol w:w="3760"/>
      </w:tblGrid>
      <w:tr>
        <w:trPr>
          <w:tblHeader/>
        </w:trPr>
        <w:tc>
          <w:tcPr>
            <w:tcW w:type="dxa" w:w="2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Path</w:t>
            </w:r>
          </w:p>
        </w:tc>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Applies to</w:t>
            </w:r>
          </w:p>
        </w:tc>
        <w:tc>
          <w:tcPr>
            <w:tcW w:type="dxa" w:w="37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Configuration required</w:t>
            </w:r>
          </w:p>
        </w:tc>
      </w:tr>
      <w:tr>
        <w:tc>
          <w:tcPr>
            <w:tcW w:type="dxa" w:w="22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Untrusted</w:t>
            </w:r>
          </w:p>
        </w:tc>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Customer-uploaded or externally sourced documents</w:t>
            </w:r>
          </w:p>
        </w:tc>
        <w:tc>
          <w:tcPr>
            <w:tcW w:type="dxa" w:w="3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Virus scanning onboarding for all untrusted content; AI classification engagement and classification profile development; human-in-the-loop review engagement with pre-capture and post-capture profile design; an ICMP profile configured for untrusted content.</w:t>
            </w:r>
          </w:p>
        </w:tc>
      </w:tr>
      <w:tr>
        <w:tc>
          <w:tcPr>
            <w:tcW w:type="dxa" w:w="22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Trusted</w:t>
            </w:r>
          </w:p>
        </w:tc>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System-generated documents, as determined by Imaging Governance</w:t>
            </w:r>
          </w:p>
        </w:tc>
        <w:tc>
          <w:tcPr>
            <w:tcW w:type="dxa" w:w="3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An ICMP profile configured for trusted content; document samples supplied for governance review; the document category, type and subtype allocated by Imaging Governance and configured against the profile. Trusted documents bypass the AI classification and human-in-the-loop workflow but still carry a governance-allocated classification.</w:t>
            </w:r>
          </w:p>
        </w:tc>
      </w:tr>
    </w:tbl>
    <w:p>
      <w:pPr>
        <w:spacing w:after="120"/>
      </w:pPr>
      <w:r>
        <w:t xml:space="preserve"/>
      </w:r>
    </w:p>
    <w:p>
      <w:pPr>
        <w:pStyle w:val="Heading3"/>
        <w:spacing w:after="120" w:before="240"/>
      </w:pPr>
      <w:r>
        <w:rPr>
          <w:rFonts w:ascii="Calibri" w:cs="Calibri" w:eastAsia="Calibri" w:hAnsi="Calibri"/>
          <w:b/>
          <w:bCs/>
          <w:color w:val="1B2432"/>
          <w:sz w:val="23"/>
          <w:szCs w:val="23"/>
        </w:rPr>
        <w:t xml:space="preserve">1.12.5 Metadata, repository and retrieval design</w:t>
      </w:r>
    </w:p>
    <w:p>
      <w:pPr>
        <w:pStyle w:val="ListParagraph"/>
        <w:numPr>
          <w:ilvl w:val="0"/>
          <w:numId w:val="2"/>
        </w:numPr>
        <w:spacing w:after="70"/>
      </w:pPr>
      <w:r>
        <w:rPr>
          <w:rFonts w:ascii="Calibri" w:cs="Calibri" w:eastAsia="Calibri" w:hAnsi="Calibri"/>
          <w:color w:val="1B2432"/>
          <w:sz w:val="21"/>
          <w:szCs w:val="21"/>
        </w:rPr>
        <w:t xml:space="preserve">Metadata discovery workshops with the partner and the business users.</w:t>
      </w:r>
    </w:p>
    <w:p>
      <w:pPr>
        <w:pStyle w:val="ListParagraph"/>
        <w:numPr>
          <w:ilvl w:val="0"/>
          <w:numId w:val="2"/>
        </w:numPr>
        <w:spacing w:after="70"/>
      </w:pPr>
      <w:r>
        <w:rPr>
          <w:rFonts w:ascii="Calibri" w:cs="Calibri" w:eastAsia="Calibri" w:hAnsi="Calibri"/>
          <w:color w:val="1B2432"/>
          <w:sz w:val="21"/>
          <w:szCs w:val="21"/>
        </w:rPr>
        <w:t xml:space="preserve">Definition of search filters and retrieval requirements.</w:t>
      </w:r>
    </w:p>
    <w:p>
      <w:pPr>
        <w:pStyle w:val="ListParagraph"/>
        <w:numPr>
          <w:ilvl w:val="0"/>
          <w:numId w:val="2"/>
        </w:numPr>
        <w:spacing w:after="70"/>
      </w:pPr>
      <w:r>
        <w:rPr>
          <w:rFonts w:ascii="Calibri" w:cs="Calibri" w:eastAsia="Calibri" w:hAnsi="Calibri"/>
          <w:color w:val="1B2432"/>
          <w:sz w:val="21"/>
          <w:szCs w:val="21"/>
        </w:rPr>
        <w:t xml:space="preserve">Identification of security keys, legal entity mappings, and RCC mappings.</w:t>
      </w:r>
    </w:p>
    <w:p>
      <w:pPr>
        <w:pStyle w:val="ListParagraph"/>
        <w:numPr>
          <w:ilvl w:val="0"/>
          <w:numId w:val="2"/>
        </w:numPr>
        <w:spacing w:after="70"/>
      </w:pPr>
      <w:r>
        <w:rPr>
          <w:rFonts w:ascii="Calibri" w:cs="Calibri" w:eastAsia="Calibri" w:hAnsi="Calibri"/>
          <w:color w:val="1B2432"/>
          <w:sz w:val="21"/>
          <w:szCs w:val="21"/>
        </w:rPr>
        <w:t xml:space="preserve">Profile configuration definition.</w:t>
      </w:r>
    </w:p>
    <w:p>
      <w:pPr>
        <w:pStyle w:val="ListParagraph"/>
        <w:numPr>
          <w:ilvl w:val="0"/>
          <w:numId w:val="2"/>
        </w:numPr>
        <w:spacing w:after="70"/>
      </w:pPr>
      <w:r>
        <w:rPr>
          <w:rFonts w:ascii="Calibri" w:cs="Calibri" w:eastAsia="Calibri" w:hAnsi="Calibri"/>
          <w:color w:val="1B2432"/>
          <w:sz w:val="21"/>
          <w:szCs w:val="21"/>
        </w:rPr>
        <w:t xml:space="preserve">Repository onboarding and metadata mapping.</w:t>
      </w:r>
    </w:p>
    <w:p>
      <w:pPr>
        <w:pStyle w:val="ListParagraph"/>
        <w:numPr>
          <w:ilvl w:val="0"/>
          <w:numId w:val="2"/>
        </w:numPr>
        <w:spacing w:after="70"/>
      </w:pPr>
      <w:r>
        <w:rPr>
          <w:rFonts w:ascii="Calibri" w:cs="Calibri" w:eastAsia="Calibri" w:hAnsi="Calibri"/>
          <w:color w:val="1B2432"/>
          <w:sz w:val="21"/>
          <w:szCs w:val="21"/>
        </w:rPr>
        <w:t xml:space="preserve">Enabling ICMP search APIs and view APIs.</w:t>
      </w:r>
    </w:p>
    <w:p>
      <w:pPr>
        <w:pStyle w:val="ListParagraph"/>
        <w:numPr>
          <w:ilvl w:val="0"/>
          <w:numId w:val="2"/>
        </w:numPr>
        <w:spacing w:after="70"/>
      </w:pPr>
      <w:r>
        <w:rPr>
          <w:rFonts w:ascii="Calibri" w:cs="Calibri" w:eastAsia="Calibri" w:hAnsi="Calibri"/>
          <w:color w:val="1B2432"/>
          <w:sz w:val="21"/>
          <w:szCs w:val="21"/>
        </w:rPr>
        <w:t xml:space="preserve">Evaluating and configuring viewer integration.</w:t>
      </w:r>
    </w:p>
    <w:p>
      <w:pPr>
        <w:pStyle w:val="ListParagraph"/>
        <w:numPr>
          <w:ilvl w:val="0"/>
          <w:numId w:val="2"/>
        </w:numPr>
        <w:spacing w:after="70"/>
      </w:pPr>
      <w:r>
        <w:rPr>
          <w:rFonts w:ascii="Calibri" w:cs="Calibri" w:eastAsia="Calibri" w:hAnsi="Calibri"/>
          <w:color w:val="1B2432"/>
          <w:sz w:val="21"/>
          <w:szCs w:val="21"/>
        </w:rPr>
        <w:t xml:space="preserve">Providing access for business users, auditors, and operational teams.</w:t>
      </w:r>
    </w:p>
    <w:p>
      <w:pPr>
        <w:pStyle w:val="ListParagraph"/>
        <w:numPr>
          <w:ilvl w:val="0"/>
          <w:numId w:val="2"/>
        </w:numPr>
        <w:spacing w:after="70"/>
      </w:pPr>
      <w:r>
        <w:rPr>
          <w:rFonts w:ascii="Calibri" w:cs="Calibri" w:eastAsia="Calibri" w:hAnsi="Calibri"/>
          <w:color w:val="1B2432"/>
          <w:sz w:val="21"/>
          <w:szCs w:val="21"/>
        </w:rPr>
        <w:t xml:space="preserve">UI demonstration and user training, and provision of user manuals with support from the UI team.</w:t>
      </w:r>
    </w:p>
    <w:p>
      <w:pPr>
        <w:pStyle w:val="Heading3"/>
        <w:spacing w:after="120" w:before="240"/>
      </w:pPr>
      <w:r>
        <w:rPr>
          <w:rFonts w:ascii="Calibri" w:cs="Calibri" w:eastAsia="Calibri" w:hAnsi="Calibri"/>
          <w:b/>
          <w:bCs/>
          <w:color w:val="1B2432"/>
          <w:sz w:val="23"/>
          <w:szCs w:val="23"/>
        </w:rPr>
        <w:t xml:space="preserve">1.12.6 Records Management and retention</w:t>
      </w:r>
    </w:p>
    <w:p>
      <w:pPr>
        <w:pStyle w:val="ListParagraph"/>
        <w:numPr>
          <w:ilvl w:val="0"/>
          <w:numId w:val="2"/>
        </w:numPr>
        <w:spacing w:after="70"/>
      </w:pPr>
      <w:r>
        <w:rPr>
          <w:rFonts w:ascii="Calibri" w:cs="Calibri" w:eastAsia="Calibri" w:hAnsi="Calibri"/>
          <w:color w:val="1B2432"/>
          <w:sz w:val="21"/>
          <w:szCs w:val="21"/>
        </w:rPr>
        <w:t xml:space="preserve">Gathering retention requirements from the business.</w:t>
      </w:r>
    </w:p>
    <w:p>
      <w:pPr>
        <w:pStyle w:val="ListParagraph"/>
        <w:numPr>
          <w:ilvl w:val="0"/>
          <w:numId w:val="2"/>
        </w:numPr>
        <w:spacing w:after="70"/>
      </w:pPr>
      <w:r>
        <w:rPr>
          <w:rFonts w:ascii="Calibri" w:cs="Calibri" w:eastAsia="Calibri" w:hAnsi="Calibri"/>
          <w:color w:val="1B2432"/>
          <w:sz w:val="21"/>
          <w:szCs w:val="21"/>
        </w:rPr>
        <w:t xml:space="preserve">Drafting the RM onboarding questionnaire.</w:t>
      </w:r>
    </w:p>
    <w:p>
      <w:pPr>
        <w:pStyle w:val="ListParagraph"/>
        <w:numPr>
          <w:ilvl w:val="0"/>
          <w:numId w:val="2"/>
        </w:numPr>
        <w:spacing w:after="70"/>
      </w:pPr>
      <w:r>
        <w:rPr>
          <w:rFonts w:ascii="Calibri" w:cs="Calibri" w:eastAsia="Calibri" w:hAnsi="Calibri"/>
          <w:color w:val="1B2432"/>
          <w:sz w:val="21"/>
          <w:szCs w:val="21"/>
        </w:rPr>
        <w:t xml:space="preserve">Completing RM review and securing approval.</w:t>
      </w:r>
    </w:p>
    <w:p>
      <w:pPr>
        <w:pStyle w:val="ListParagraph"/>
        <w:numPr>
          <w:ilvl w:val="0"/>
          <w:numId w:val="2"/>
        </w:numPr>
        <w:spacing w:after="70"/>
      </w:pPr>
      <w:r>
        <w:rPr>
          <w:rFonts w:ascii="Calibri" w:cs="Calibri" w:eastAsia="Calibri" w:hAnsi="Calibri"/>
          <w:color w:val="1B2432"/>
          <w:sz w:val="21"/>
          <w:szCs w:val="21"/>
        </w:rPr>
        <w:t xml:space="preserve">Handing off implementation to the RM team.</w:t>
      </w:r>
    </w:p>
    <w:p>
      <w:pPr>
        <w:pStyle w:val="ListParagraph"/>
        <w:numPr>
          <w:ilvl w:val="0"/>
          <w:numId w:val="2"/>
        </w:numPr>
        <w:spacing w:after="70"/>
      </w:pPr>
      <w:r>
        <w:rPr>
          <w:rFonts w:ascii="Calibri" w:cs="Calibri" w:eastAsia="Calibri" w:hAnsi="Calibri"/>
          <w:color w:val="1B2432"/>
          <w:sz w:val="21"/>
          <w:szCs w:val="21"/>
        </w:rPr>
        <w:t xml:space="preserve">Configuring retention schedules and destruction policies.</w:t>
      </w:r>
    </w:p>
    <w:p>
      <w:pPr>
        <w:pStyle w:val="ListParagraph"/>
        <w:numPr>
          <w:ilvl w:val="0"/>
          <w:numId w:val="2"/>
        </w:numPr>
        <w:spacing w:after="70"/>
      </w:pPr>
      <w:r>
        <w:rPr>
          <w:rFonts w:ascii="Calibri" w:cs="Calibri" w:eastAsia="Calibri" w:hAnsi="Calibri"/>
          <w:color w:val="1B2432"/>
          <w:sz w:val="21"/>
          <w:szCs w:val="21"/>
        </w:rPr>
        <w:t xml:space="preserve">Configuring the applicable retention code and retention period.</w:t>
      </w:r>
    </w:p>
    <w:p>
      <w:pPr>
        <w:pStyle w:val="ListParagraph"/>
        <w:numPr>
          <w:ilvl w:val="0"/>
          <w:numId w:val="2"/>
        </w:numPr>
        <w:spacing w:after="70"/>
      </w:pPr>
      <w:r>
        <w:rPr>
          <w:rFonts w:ascii="Calibri" w:cs="Calibri" w:eastAsia="Calibri" w:hAnsi="Calibri"/>
          <w:color w:val="1B2432"/>
          <w:sz w:val="21"/>
          <w:szCs w:val="21"/>
        </w:rPr>
        <w:t xml:space="preserve">Enabling regulatory storage compliance where applicable.</w:t>
      </w:r>
    </w:p>
    <w:p>
      <w:pPr>
        <w:pStyle w:val="ListParagraph"/>
        <w:numPr>
          <w:ilvl w:val="0"/>
          <w:numId w:val="2"/>
        </w:numPr>
        <w:spacing w:after="70"/>
      </w:pPr>
      <w:r>
        <w:rPr>
          <w:rFonts w:ascii="Calibri" w:cs="Calibri" w:eastAsia="Calibri" w:hAnsi="Calibri"/>
          <w:color w:val="1B2432"/>
          <w:sz w:val="21"/>
          <w:szCs w:val="21"/>
        </w:rPr>
        <w:t xml:space="preserve">Supporting legal hold, audit, and governance requirements.</w:t>
      </w:r>
    </w:p>
    <w:p>
      <w:pPr>
        <w:pStyle w:val="Heading3"/>
        <w:spacing w:after="120" w:before="240"/>
      </w:pPr>
      <w:r>
        <w:rPr>
          <w:rFonts w:ascii="Calibri" w:cs="Calibri" w:eastAsia="Calibri" w:hAnsi="Calibri"/>
          <w:b/>
          <w:bCs/>
          <w:color w:val="1B2432"/>
          <w:sz w:val="23"/>
          <w:szCs w:val="23"/>
        </w:rPr>
        <w:t xml:space="preserve">1.12.7 Capacity engineering and SPLI</w:t>
      </w:r>
    </w:p>
    <w:p>
      <w:pPr>
        <w:pStyle w:val="ListParagraph"/>
        <w:numPr>
          <w:ilvl w:val="0"/>
          <w:numId w:val="2"/>
        </w:numPr>
        <w:spacing w:after="70"/>
      </w:pPr>
      <w:r>
        <w:rPr>
          <w:rFonts w:ascii="Calibri" w:cs="Calibri" w:eastAsia="Calibri" w:hAnsi="Calibri"/>
          <w:color w:val="1B2432"/>
          <w:sz w:val="21"/>
          <w:szCs w:val="21"/>
        </w:rPr>
        <w:t xml:space="preserve">Collecting migration, business-as-usual, and peak volume information.</w:t>
      </w:r>
    </w:p>
    <w:p>
      <w:pPr>
        <w:pStyle w:val="ListParagraph"/>
        <w:numPr>
          <w:ilvl w:val="0"/>
          <w:numId w:val="2"/>
        </w:numPr>
        <w:spacing w:after="70"/>
      </w:pPr>
      <w:r>
        <w:rPr>
          <w:rFonts w:ascii="Calibri" w:cs="Calibri" w:eastAsia="Calibri" w:hAnsi="Calibri"/>
          <w:color w:val="1B2432"/>
          <w:sz w:val="21"/>
          <w:szCs w:val="21"/>
        </w:rPr>
        <w:t xml:space="preserve">Completing capacity planning.</w:t>
      </w:r>
    </w:p>
    <w:p>
      <w:pPr>
        <w:pStyle w:val="ListParagraph"/>
        <w:numPr>
          <w:ilvl w:val="0"/>
          <w:numId w:val="2"/>
        </w:numPr>
        <w:spacing w:after="70"/>
      </w:pPr>
      <w:r>
        <w:rPr>
          <w:rFonts w:ascii="Calibri" w:cs="Calibri" w:eastAsia="Calibri" w:hAnsi="Calibri"/>
          <w:color w:val="1B2432"/>
          <w:sz w:val="21"/>
          <w:szCs w:val="21"/>
        </w:rPr>
        <w:t xml:space="preserve">Determining whether SPLI — System Performance Load Ingestion Testing — is required, based on the volume profile.</w:t>
      </w:r>
    </w:p>
    <w:p>
      <w:pPr>
        <w:pStyle w:val="ListParagraph"/>
        <w:numPr>
          <w:ilvl w:val="0"/>
          <w:numId w:val="2"/>
        </w:numPr>
        <w:spacing w:after="70"/>
      </w:pPr>
      <w:r>
        <w:rPr>
          <w:rFonts w:ascii="Calibri" w:cs="Calibri" w:eastAsia="Calibri" w:hAnsi="Calibri"/>
          <w:color w:val="1B2432"/>
          <w:sz w:val="21"/>
          <w:szCs w:val="21"/>
        </w:rPr>
        <w:t xml:space="preserve">Conducting the SPLI assessment and obtaining approvals.</w:t>
      </w:r>
    </w:p>
    <w:p>
      <w:pPr>
        <w:pStyle w:val="ListParagraph"/>
        <w:numPr>
          <w:ilvl w:val="0"/>
          <w:numId w:val="2"/>
        </w:numPr>
        <w:spacing w:after="70"/>
      </w:pPr>
      <w:r>
        <w:rPr>
          <w:rFonts w:ascii="Calibri" w:cs="Calibri" w:eastAsia="Calibri" w:hAnsi="Calibri"/>
          <w:color w:val="1B2432"/>
          <w:sz w:val="21"/>
          <w:szCs w:val="21"/>
        </w:rPr>
        <w:t xml:space="preserve">Raising the capacity planning and SPLI requests as tickets against the correct delivery team.</w:t>
      </w:r>
    </w:p>
    <w:p>
      <w:pPr>
        <w:pStyle w:val="ListParagraph"/>
        <w:numPr>
          <w:ilvl w:val="0"/>
          <w:numId w:val="2"/>
        </w:numPr>
        <w:spacing w:after="70"/>
      </w:pPr>
      <w:r>
        <w:rPr>
          <w:rFonts w:ascii="Calibri" w:cs="Calibri" w:eastAsia="Calibri" w:hAnsi="Calibri"/>
          <w:color w:val="1B2432"/>
          <w:sz w:val="21"/>
          <w:szCs w:val="21"/>
        </w:rPr>
        <w:t xml:space="preserve">Validating scalability for future onboarding growth.</w:t>
      </w:r>
    </w:p>
    <w:tbl>
      <w:tblPr>
        <w:tblW w:type="dxa" w:w="9360"/>
        <w:tblBorders>
          <w:top w:val="single" w:color="C05621" w:sz="6"/>
          <w:left w:val="single" w:color="C05621" w:sz="6"/>
          <w:bottom w:val="single" w:color="C05621" w:sz="6"/>
          <w:right w:val="single" w:color="C05621" w:sz="6"/>
          <w:insideH w:val="none"/>
          <w:insideV w:val="none"/>
        </w:tblBorders>
      </w:tblPr>
      <w:tblGrid>
        <w:gridCol w:w="9360"/>
      </w:tblGrid>
      <w:tr>
        <w:tc>
          <w:tcPr>
            <w:tcW w:type="dxa" w:w="9360"/>
            <w:shd w:fill="FDF6F1" w:color="auto" w:val="clear"/>
            <w:tcMar>
              <w:top w:type="dxa" w:w="140"/>
              <w:left w:type="dxa" w:w="160"/>
              <w:bottom w:type="dxa" w:w="140"/>
              <w:right w:type="dxa" w:w="160"/>
            </w:tcMar>
          </w:tcPr>
          <w:p>
            <w:pPr>
              <w:spacing w:after="80"/>
            </w:pPr>
            <w:r>
              <w:rPr>
                <w:rFonts w:ascii="Calibri" w:cs="Calibri" w:eastAsia="Calibri" w:hAnsi="Calibri"/>
                <w:b/>
                <w:bCs/>
                <w:color w:val="C05621"/>
                <w:sz w:val="20"/>
                <w:szCs w:val="20"/>
              </w:rPr>
              <w:t xml:space="preserve">A ROUTING RULE THAT IS EASY TO GET WRONG</w:t>
            </w:r>
          </w:p>
          <w:p>
            <w:pPr>
              <w:spacing w:after="60"/>
            </w:pPr>
            <w:r>
              <w:rPr>
                <w:rFonts w:ascii="Calibri" w:cs="Calibri" w:eastAsia="Calibri" w:hAnsi="Calibri"/>
                <w:color w:val="1B2432"/>
                <w:sz w:val="20"/>
                <w:szCs w:val="20"/>
              </w:rPr>
              <w:t xml:space="preserve">Intake records and capacity or load-testing tickets do not belong in the same place.</w:t>
            </w:r>
          </w:p>
          <w:p>
            <w:pPr>
              <w:spacing w:after="60"/>
            </w:pPr>
            <w:r>
              <w:rPr>
                <w:rFonts w:ascii="Calibri" w:cs="Calibri" w:eastAsia="Calibri" w:hAnsi="Calibri"/>
                <w:color w:val="1B2432"/>
                <w:sz w:val="20"/>
                <w:szCs w:val="20"/>
              </w:rPr>
              <w:t xml:space="preserve">Intakes are raised against the fixed intake project. Capacity planning and SPLI tickets are raised against the allocated scrum team's own project, which must be resolved from the intake rather than assumed.</w:t>
            </w:r>
          </w:p>
          <w:p>
            <w:pPr>
              <w:spacing w:after="60"/>
            </w:pPr>
            <w:r>
              <w:rPr>
                <w:rFonts w:ascii="Calibri" w:cs="Calibri" w:eastAsia="Calibri" w:hAnsi="Calibri"/>
                <w:color w:val="1B2432"/>
                <w:sz w:val="20"/>
                <w:szCs w:val="20"/>
              </w:rPr>
              <w:t xml:space="preserve">A ticket raised against the wrong project is not rejected — it is simply invisible to the team that needs to action it.</w:t>
            </w:r>
          </w:p>
        </w:tc>
      </w:tr>
    </w:tbl>
    <w:p>
      <w:pPr>
        <w:pStyle w:val="Heading3"/>
        <w:spacing w:after="120" w:before="240"/>
      </w:pPr>
      <w:r>
        <w:rPr>
          <w:rFonts w:ascii="Calibri" w:cs="Calibri" w:eastAsia="Calibri" w:hAnsi="Calibri"/>
          <w:b/>
          <w:bCs/>
          <w:color w:val="1B2432"/>
          <w:sz w:val="23"/>
          <w:szCs w:val="23"/>
        </w:rPr>
        <w:t xml:space="preserve">1.12.8 Testing</w:t>
      </w:r>
    </w:p>
    <w:p>
      <w:pPr>
        <w:spacing w:after="120" w:before="0"/>
      </w:pPr>
      <w:r>
        <w:rPr>
          <w:rFonts w:ascii="Calibri" w:cs="Calibri" w:eastAsia="Calibri" w:hAnsi="Calibri"/>
          <w:b w:val="false"/>
          <w:bCs w:val="false"/>
          <w:i w:val="false"/>
          <w:iCs w:val="false"/>
          <w:color w:val="1B2432"/>
          <w:sz w:val="21"/>
          <w:szCs w:val="21"/>
        </w:rPr>
        <w:t xml:space="preserve">Four distinct test cycles run within this stage, and defect and conflict resolution runs alongside all of them.</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200"/>
        <w:gridCol w:w="7160"/>
      </w:tblGrid>
      <w:tr>
        <w:trPr>
          <w:tblHeader/>
        </w:trPr>
        <w:tc>
          <w:tcPr>
            <w:tcW w:type="dxa" w:w="2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Test type</w:t>
            </w:r>
          </w:p>
        </w:tc>
        <w:tc>
          <w:tcPr>
            <w:tcW w:type="dxa" w:w="7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Purpose and scope</w:t>
            </w:r>
          </w:p>
        </w:tc>
      </w:tr>
      <w:tr>
        <w:tc>
          <w:tcPr>
            <w:tcW w:type="dxa" w:w="22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Unit testing</w:t>
            </w:r>
          </w:p>
        </w:tc>
        <w:tc>
          <w:tcPr>
            <w:tcW w:type="dxa" w:w="7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Validates individual components and configurations in isolation. Executed by the building team as work is completed.</w:t>
            </w:r>
          </w:p>
        </w:tc>
      </w:tr>
      <w:tr>
        <w:tc>
          <w:tcPr>
            <w:tcW w:type="dxa" w:w="22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Integration testing</w:t>
            </w:r>
          </w:p>
        </w:tc>
        <w:tc>
          <w:tcPr>
            <w:tcW w:type="dxa" w:w="7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Validates the connections between the partner system, the gateway, ICMP, the event framework, and the classification and scanning services. This is where configuration mismatches between independently configured systems surface.</w:t>
            </w:r>
          </w:p>
        </w:tc>
      </w:tr>
      <w:tr>
        <w:tc>
          <w:tcPr>
            <w:tcW w:type="dxa" w:w="22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User acceptance testing</w:t>
            </w:r>
          </w:p>
        </w:tc>
        <w:tc>
          <w:tcPr>
            <w:tcW w:type="dxa" w:w="7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Validates that the solution meets the business objectives stated at intake, executed with the partner and business users. Produces the UAT sign-off required at go-live.</w:t>
            </w:r>
          </w:p>
        </w:tc>
      </w:tr>
      <w:tr>
        <w:tc>
          <w:tcPr>
            <w:tcW w:type="dxa" w:w="22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SPLI load testing</w:t>
            </w:r>
          </w:p>
        </w:tc>
        <w:tc>
          <w:tcPr>
            <w:tcW w:type="dxa" w:w="7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Volume-driven performance and load validation, scoped from the volume profile captured at intake and refined during discovery. Not universally required — applicability is determined by the assessed volumes.</w:t>
            </w:r>
          </w:p>
        </w:tc>
      </w:tr>
      <w:tr>
        <w:tc>
          <w:tcPr>
            <w:tcW w:type="dxa" w:w="22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End-to-end reconciliation testing</w:t>
            </w:r>
          </w:p>
        </w:tc>
        <w:tc>
          <w:tcPr>
            <w:tcW w:type="dxa" w:w="7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Validates that ingestion notifications, reconciliation, retry, and exception handling behave correctly across both success and failure scenarios.</w:t>
            </w:r>
          </w:p>
        </w:tc>
      </w:tr>
    </w:tbl>
    <w:p>
      <w:pPr>
        <w:spacing w:after="120"/>
      </w:pPr>
      <w:r>
        <w:t xml:space="preserve"/>
      </w:r>
    </w:p>
    <w:p>
      <w:pPr>
        <w:spacing w:after="120" w:before="0"/>
      </w:pPr>
      <w:r>
        <w:rPr>
          <w:rFonts w:ascii="Calibri" w:cs="Calibri" w:eastAsia="Calibri" w:hAnsi="Calibri"/>
          <w:b w:val="false"/>
          <w:bCs w:val="false"/>
          <w:i w:val="false"/>
          <w:iCs w:val="false"/>
          <w:color w:val="1B2432"/>
          <w:sz w:val="21"/>
          <w:szCs w:val="21"/>
        </w:rPr>
        <w:t xml:space="preserve">Defect and conflict resolution is continuous rather than a phase. Conflicts arise both in configuration — where independently configured systems make incompatible assumptions — and in defects raised during the test cycles. Resolution requires working across the partner and the engineering team to determine and communicate the fix, which is a responsibility of the onboarding resource.</w:t>
      </w:r>
    </w:p>
    <w:p>
      <w:pPr>
        <w:pStyle w:val="Heading3"/>
        <w:spacing w:after="120" w:before="240"/>
      </w:pPr>
      <w:r>
        <w:rPr>
          <w:rFonts w:ascii="Calibri" w:cs="Calibri" w:eastAsia="Calibri" w:hAnsi="Calibri"/>
          <w:b/>
          <w:bCs/>
          <w:color w:val="1B2432"/>
          <w:sz w:val="23"/>
          <w:szCs w:val="23"/>
        </w:rPr>
        <w:t xml:space="preserve">1.12.9 Environment progression</w:t>
      </w:r>
    </w:p>
    <w:p>
      <w:pPr>
        <w:spacing w:after="120" w:before="0"/>
      </w:pPr>
      <w:r>
        <w:rPr>
          <w:rFonts w:ascii="Calibri" w:cs="Calibri" w:eastAsia="Calibri" w:hAnsi="Calibri"/>
          <w:b w:val="false"/>
          <w:bCs w:val="false"/>
          <w:i w:val="false"/>
          <w:iCs w:val="false"/>
          <w:color w:val="1B2432"/>
          <w:sz w:val="21"/>
          <w:szCs w:val="21"/>
        </w:rPr>
        <w:t xml:space="preserve">Work is promoted through a fixed environment ladder. The ladder is not optional and no step is skipped. Environments differ in the service account used and in who may access them; one environment is internal-only and is not part of the partner-facing progression at all. A partner with no scrum team assigned is constrained to the first environment only, which makes the capacity assessment outcome a hard gate on how far delivery can proceed.</w:t>
      </w:r>
    </w:p>
    <w:p>
      <w:pPr>
        <w:pStyle w:val="Heading3"/>
        <w:spacing w:after="120" w:before="240"/>
      </w:pPr>
      <w:r>
        <w:rPr>
          <w:rFonts w:ascii="Calibri" w:cs="Calibri" w:eastAsia="Calibri" w:hAnsi="Calibri"/>
          <w:b/>
          <w:bCs/>
          <w:color w:val="1B2432"/>
          <w:sz w:val="23"/>
          <w:szCs w:val="23"/>
        </w:rPr>
        <w:t xml:space="preserve">1.12.10 Documentation and operational readiness</w:t>
      </w:r>
    </w:p>
    <w:p>
      <w:pPr>
        <w:pStyle w:val="ListParagraph"/>
        <w:numPr>
          <w:ilvl w:val="0"/>
          <w:numId w:val="2"/>
        </w:numPr>
        <w:spacing w:after="70"/>
      </w:pPr>
      <w:r>
        <w:rPr>
          <w:rFonts w:ascii="Calibri" w:cs="Calibri" w:eastAsia="Calibri" w:hAnsi="Calibri"/>
          <w:color w:val="1B2432"/>
          <w:sz w:val="21"/>
          <w:szCs w:val="21"/>
        </w:rPr>
        <w:t xml:space="preserve">Maintaining the Apigee and Kafka onboarding trackers.</w:t>
      </w:r>
    </w:p>
    <w:p>
      <w:pPr>
        <w:pStyle w:val="ListParagraph"/>
        <w:numPr>
          <w:ilvl w:val="0"/>
          <w:numId w:val="2"/>
        </w:numPr>
        <w:spacing w:after="70"/>
      </w:pPr>
      <w:r>
        <w:rPr>
          <w:rFonts w:ascii="Calibri" w:cs="Calibri" w:eastAsia="Calibri" w:hAnsi="Calibri"/>
          <w:color w:val="1B2432"/>
          <w:sz w:val="21"/>
          <w:szCs w:val="21"/>
        </w:rPr>
        <w:t xml:space="preserve">Producing technical design documentation and technology notes.</w:t>
      </w:r>
    </w:p>
    <w:p>
      <w:pPr>
        <w:pStyle w:val="ListParagraph"/>
        <w:numPr>
          <w:ilvl w:val="0"/>
          <w:numId w:val="2"/>
        </w:numPr>
        <w:spacing w:after="70"/>
      </w:pPr>
      <w:r>
        <w:rPr>
          <w:rFonts w:ascii="Calibri" w:cs="Calibri" w:eastAsia="Calibri" w:hAnsi="Calibri"/>
          <w:color w:val="1B2432"/>
          <w:sz w:val="21"/>
          <w:szCs w:val="21"/>
        </w:rPr>
        <w:t xml:space="preserve">Producing user guides and operational runbooks.</w:t>
      </w:r>
    </w:p>
    <w:p>
      <w:pPr>
        <w:pStyle w:val="ListParagraph"/>
        <w:numPr>
          <w:ilvl w:val="0"/>
          <w:numId w:val="2"/>
        </w:numPr>
        <w:spacing w:after="70"/>
      </w:pPr>
      <w:r>
        <w:rPr>
          <w:rFonts w:ascii="Calibri" w:cs="Calibri" w:eastAsia="Calibri" w:hAnsi="Calibri"/>
          <w:color w:val="1B2432"/>
          <w:sz w:val="21"/>
          <w:szCs w:val="21"/>
        </w:rPr>
        <w:t xml:space="preserve">Completing Release Transition documentation.</w:t>
      </w:r>
    </w:p>
    <w:p>
      <w:pPr>
        <w:pStyle w:val="ListParagraph"/>
        <w:numPr>
          <w:ilvl w:val="0"/>
          <w:numId w:val="2"/>
        </w:numPr>
        <w:spacing w:after="70"/>
      </w:pPr>
      <w:r>
        <w:rPr>
          <w:rFonts w:ascii="Calibri" w:cs="Calibri" w:eastAsia="Calibri" w:hAnsi="Calibri"/>
          <w:color w:val="1B2432"/>
          <w:sz w:val="21"/>
          <w:szCs w:val="21"/>
        </w:rPr>
        <w:t xml:space="preserve">Completing technical validation sign-offs.</w:t>
      </w:r>
    </w:p>
    <w:p>
      <w:pPr>
        <w:pStyle w:val="ListParagraph"/>
        <w:numPr>
          <w:ilvl w:val="0"/>
          <w:numId w:val="2"/>
        </w:numPr>
        <w:spacing w:after="70"/>
      </w:pPr>
      <w:r>
        <w:rPr>
          <w:rFonts w:ascii="Calibri" w:cs="Calibri" w:eastAsia="Calibri" w:hAnsi="Calibri"/>
          <w:color w:val="1B2432"/>
          <w:sz w:val="21"/>
          <w:szCs w:val="21"/>
        </w:rPr>
        <w:t xml:space="preserve">Completing business validation sign-offs.</w:t>
      </w:r>
    </w:p>
    <w:p>
      <w:pPr>
        <w:pStyle w:val="Heading3"/>
        <w:spacing w:after="120" w:before="240"/>
      </w:pPr>
      <w:r>
        <w:rPr>
          <w:rFonts w:ascii="Calibri" w:cs="Calibri" w:eastAsia="Calibri" w:hAnsi="Calibri"/>
          <w:b/>
          <w:bCs/>
          <w:color w:val="1B2432"/>
          <w:sz w:val="23"/>
          <w:szCs w:val="23"/>
        </w:rPr>
        <w:t xml:space="preserve">Why this stage exists</w:t>
      </w:r>
    </w:p>
    <w:p>
      <w:pPr>
        <w:spacing w:after="120" w:before="0"/>
      </w:pPr>
      <w:r>
        <w:rPr>
          <w:rFonts w:ascii="Calibri" w:cs="Calibri" w:eastAsia="Calibri" w:hAnsi="Calibri"/>
          <w:b w:val="false"/>
          <w:bCs w:val="false"/>
          <w:i w:val="false"/>
          <w:iCs w:val="false"/>
          <w:color w:val="1B2432"/>
          <w:sz w:val="21"/>
          <w:szCs w:val="21"/>
        </w:rPr>
        <w:t xml:space="preserve">Everything in this stage exists to produce a configuration that is not only functional but compliant, performant at the expected volumes, and supportable by teams that were not involved in building it. The testing sequence exists because each test type catches a different class of failure: unit testing catches component defects, integration testing catches the mismatches between separately configured systems, UAT catches the divergence between what was built and what the business asked for at intake, and SPLI catches the failures that only appear at volume. Skipping any of them moves the discovery of that failure class into production.</w:t>
      </w:r>
    </w:p>
    <w:p>
      <w:pPr>
        <w:pStyle w:val="Heading3"/>
        <w:spacing w:after="120" w:before="240"/>
      </w:pPr>
      <w:r>
        <w:rPr>
          <w:rFonts w:ascii="Calibri" w:cs="Calibri" w:eastAsia="Calibri" w:hAnsi="Calibri"/>
          <w:b/>
          <w:bCs/>
          <w:color w:val="1B2432"/>
          <w:sz w:val="23"/>
          <w:szCs w:val="23"/>
        </w:rPr>
        <w:t xml:space="preserve">Participants and artefacts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900"/>
        <w:gridCol w:w="3600"/>
        <w:gridCol w:w="3860"/>
      </w:tblGrid>
      <w:tr>
        <w:trPr>
          <w:tblHeader/>
        </w:trPr>
        <w:tc>
          <w:tcPr>
            <w:tcW w:type="dxa" w:w="19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Aspect</w:t>
            </w:r>
          </w:p>
        </w:tc>
        <w:tc>
          <w:tcPr>
            <w:tcW w:type="dxa" w:w="3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Detail</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Note</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Accountable</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 and enabling teams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Supporting</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 Imaging Governance; specialist and platform teams; partner team; ECM product</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All five team groups engaged.</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Input</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Committed features; agreed scope; governance determination and document classification; volume profile; retention requirements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Output</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Configured and tested solution; trackers; RM questionnaire; TS profile updates; test evidence; technical and business sign-offs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Exit criteria</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All test cycles complete, defects resolved, sign-offs obtained, environment progression complete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bl>
    <w:p>
      <w:r>
        <w:br w:type="page"/>
      </w:r>
    </w:p>
    <w:p>
      <w:pPr>
        <w:pStyle w:val="Heading2"/>
        <w:spacing w:after="160" w:before="300"/>
      </w:pPr>
      <w:r>
        <w:rPr>
          <w:rFonts w:ascii="Cambria" w:cs="Cambria" w:eastAsia="Cambria" w:hAnsi="Cambria"/>
          <w:b/>
          <w:bCs/>
          <w:color w:val="1E2761"/>
          <w:sz w:val="26"/>
          <w:szCs w:val="26"/>
        </w:rPr>
        <w:t xml:space="preserve">1.13 Stage 9 — Partner Live</w:t>
      </w:r>
    </w:p>
    <w:p>
      <w:pPr>
        <w:pStyle w:val="Heading3"/>
        <w:spacing w:after="120" w:before="240"/>
      </w:pPr>
      <w:r>
        <w:rPr>
          <w:rFonts w:ascii="Calibri" w:cs="Calibri" w:eastAsia="Calibri" w:hAnsi="Calibri"/>
          <w:b/>
          <w:bCs/>
          <w:color w:val="1B2432"/>
          <w:sz w:val="23"/>
          <w:szCs w:val="23"/>
        </w:rPr>
        <w:t xml:space="preserve">What happens</w:t>
      </w:r>
    </w:p>
    <w:p>
      <w:pPr>
        <w:spacing w:after="120" w:before="0"/>
      </w:pPr>
      <w:r>
        <w:rPr>
          <w:rFonts w:ascii="Calibri" w:cs="Calibri" w:eastAsia="Calibri" w:hAnsi="Calibri"/>
          <w:b w:val="false"/>
          <w:bCs w:val="false"/>
          <w:i w:val="false"/>
          <w:iCs w:val="false"/>
          <w:color w:val="1B2432"/>
          <w:sz w:val="21"/>
          <w:szCs w:val="21"/>
        </w:rPr>
        <w:t xml:space="preserve">The onboarding process concludes when all required onboarding activities have been completed and the partner is successfully operating on the platform. Production deployment, operational validation, and stakeholder sign-off confirm that the solution is functioning as expected, and the effort transitions into business-as-usual support.</w:t>
      </w:r>
    </w:p>
    <w:p>
      <w:pPr>
        <w:pStyle w:val="Heading3"/>
        <w:spacing w:after="120" w:before="240"/>
      </w:pPr>
      <w:r>
        <w:rPr>
          <w:rFonts w:ascii="Calibri" w:cs="Calibri" w:eastAsia="Calibri" w:hAnsi="Calibri"/>
          <w:b/>
          <w:bCs/>
          <w:color w:val="1B2432"/>
          <w:sz w:val="23"/>
          <w:szCs w:val="23"/>
        </w:rPr>
        <w:t xml:space="preserve">Activities performed</w:t>
      </w:r>
    </w:p>
    <w:p>
      <w:pPr>
        <w:pStyle w:val="ListParagraph"/>
        <w:numPr>
          <w:ilvl w:val="0"/>
          <w:numId w:val="2"/>
        </w:numPr>
        <w:spacing w:after="70"/>
      </w:pPr>
      <w:r>
        <w:rPr>
          <w:rFonts w:ascii="Calibri" w:cs="Calibri" w:eastAsia="Calibri" w:hAnsi="Calibri"/>
          <w:color w:val="1B2432"/>
          <w:sz w:val="21"/>
          <w:szCs w:val="21"/>
        </w:rPr>
        <w:t xml:space="preserve">The Release Transition page is created, carrying the group-specific application information needed by the ICMP Platform Support team, the Delivery Management team, and the Cloud and Hosting Engineering team.</w:t>
      </w:r>
    </w:p>
    <w:p>
      <w:pPr>
        <w:pStyle w:val="ListParagraph"/>
        <w:numPr>
          <w:ilvl w:val="0"/>
          <w:numId w:val="2"/>
        </w:numPr>
        <w:spacing w:after="70"/>
      </w:pPr>
      <w:r>
        <w:rPr>
          <w:rFonts w:ascii="Calibri" w:cs="Calibri" w:eastAsia="Calibri" w:hAnsi="Calibri"/>
          <w:color w:val="1B2432"/>
          <w:sz w:val="21"/>
          <w:szCs w:val="21"/>
        </w:rPr>
        <w:t xml:space="preserve">Release Transition documentation is finalised.</w:t>
      </w:r>
    </w:p>
    <w:p>
      <w:pPr>
        <w:pStyle w:val="ListParagraph"/>
        <w:numPr>
          <w:ilvl w:val="0"/>
          <w:numId w:val="2"/>
        </w:numPr>
        <w:spacing w:after="70"/>
      </w:pPr>
      <w:r>
        <w:rPr>
          <w:rFonts w:ascii="Calibri" w:cs="Calibri" w:eastAsia="Calibri" w:hAnsi="Calibri"/>
          <w:color w:val="1B2432"/>
          <w:sz w:val="21"/>
          <w:szCs w:val="21"/>
        </w:rPr>
        <w:t xml:space="preserve">UAT sign-off is confirmed.</w:t>
      </w:r>
    </w:p>
    <w:p>
      <w:pPr>
        <w:pStyle w:val="ListParagraph"/>
        <w:numPr>
          <w:ilvl w:val="0"/>
          <w:numId w:val="2"/>
        </w:numPr>
        <w:spacing w:after="70"/>
      </w:pPr>
      <w:r>
        <w:rPr>
          <w:rFonts w:ascii="Calibri" w:cs="Calibri" w:eastAsia="Calibri" w:hAnsi="Calibri"/>
          <w:color w:val="1B2432"/>
          <w:sz w:val="21"/>
          <w:szCs w:val="21"/>
        </w:rPr>
        <w:t xml:space="preserve">Production-support readiness is confirmed.</w:t>
      </w:r>
    </w:p>
    <w:p>
      <w:pPr>
        <w:pStyle w:val="ListParagraph"/>
        <w:numPr>
          <w:ilvl w:val="0"/>
          <w:numId w:val="2"/>
        </w:numPr>
        <w:spacing w:after="70"/>
      </w:pPr>
      <w:r>
        <w:rPr>
          <w:rFonts w:ascii="Calibri" w:cs="Calibri" w:eastAsia="Calibri" w:hAnsi="Calibri"/>
          <w:color w:val="1B2432"/>
          <w:sz w:val="21"/>
          <w:szCs w:val="21"/>
        </w:rPr>
        <w:t xml:space="preserve">Deployed changes and features are confirmed as included in the production-support handoff and the Release Transition call.</w:t>
      </w:r>
    </w:p>
    <w:p>
      <w:pPr>
        <w:pStyle w:val="ListParagraph"/>
        <w:numPr>
          <w:ilvl w:val="0"/>
          <w:numId w:val="2"/>
        </w:numPr>
        <w:spacing w:after="70"/>
      </w:pPr>
      <w:r>
        <w:rPr>
          <w:rFonts w:ascii="Calibri" w:cs="Calibri" w:eastAsia="Calibri" w:hAnsi="Calibri"/>
          <w:color w:val="1B2432"/>
          <w:sz w:val="21"/>
          <w:szCs w:val="21"/>
        </w:rPr>
        <w:t xml:space="preserve">Go-live sign-offs are obtained.</w:t>
      </w:r>
    </w:p>
    <w:p>
      <w:pPr>
        <w:pStyle w:val="ListParagraph"/>
        <w:numPr>
          <w:ilvl w:val="0"/>
          <w:numId w:val="2"/>
        </w:numPr>
        <w:spacing w:after="70"/>
      </w:pPr>
      <w:r>
        <w:rPr>
          <w:rFonts w:ascii="Calibri" w:cs="Calibri" w:eastAsia="Calibri" w:hAnsi="Calibri"/>
          <w:color w:val="1B2432"/>
          <w:sz w:val="21"/>
          <w:szCs w:val="21"/>
        </w:rPr>
        <w:t xml:space="preserve">Production deployment is executed.</w:t>
      </w:r>
    </w:p>
    <w:p>
      <w:pPr>
        <w:pStyle w:val="ListParagraph"/>
        <w:numPr>
          <w:ilvl w:val="0"/>
          <w:numId w:val="2"/>
        </w:numPr>
        <w:spacing w:after="70"/>
      </w:pPr>
      <w:r>
        <w:rPr>
          <w:rFonts w:ascii="Calibri" w:cs="Calibri" w:eastAsia="Calibri" w:hAnsi="Calibri"/>
          <w:color w:val="1B2432"/>
          <w:sz w:val="21"/>
          <w:szCs w:val="21"/>
        </w:rPr>
        <w:t xml:space="preserve">Release-night and implementation activities are supported.</w:t>
      </w:r>
    </w:p>
    <w:p>
      <w:pPr>
        <w:pStyle w:val="ListParagraph"/>
        <w:numPr>
          <w:ilvl w:val="0"/>
          <w:numId w:val="2"/>
        </w:numPr>
        <w:spacing w:after="70"/>
      </w:pPr>
      <w:r>
        <w:rPr>
          <w:rFonts w:ascii="Calibri" w:cs="Calibri" w:eastAsia="Calibri" w:hAnsi="Calibri"/>
          <w:color w:val="1B2432"/>
          <w:sz w:val="21"/>
          <w:szCs w:val="21"/>
        </w:rPr>
        <w:t xml:space="preserve">The deployment validation call in the production release is attended.</w:t>
      </w:r>
    </w:p>
    <w:p>
      <w:pPr>
        <w:pStyle w:val="ListParagraph"/>
        <w:numPr>
          <w:ilvl w:val="0"/>
          <w:numId w:val="2"/>
        </w:numPr>
        <w:spacing w:after="70"/>
      </w:pPr>
      <w:r>
        <w:rPr>
          <w:rFonts w:ascii="Calibri" w:cs="Calibri" w:eastAsia="Calibri" w:hAnsi="Calibri"/>
          <w:color w:val="1B2432"/>
          <w:sz w:val="21"/>
          <w:szCs w:val="21"/>
        </w:rPr>
        <w:t xml:space="preserve">The final production call is verified.</w:t>
      </w:r>
    </w:p>
    <w:p>
      <w:pPr>
        <w:pStyle w:val="ListParagraph"/>
        <w:numPr>
          <w:ilvl w:val="0"/>
          <w:numId w:val="2"/>
        </w:numPr>
        <w:spacing w:after="70"/>
      </w:pPr>
      <w:r>
        <w:rPr>
          <w:rFonts w:ascii="Calibri" w:cs="Calibri" w:eastAsia="Calibri" w:hAnsi="Calibri"/>
          <w:color w:val="1B2432"/>
          <w:sz w:val="21"/>
          <w:szCs w:val="21"/>
        </w:rPr>
        <w:t xml:space="preserve">Operational validation confirms the solution is functioning as expected.</w:t>
      </w:r>
    </w:p>
    <w:p>
      <w:pPr>
        <w:pStyle w:val="ListParagraph"/>
        <w:numPr>
          <w:ilvl w:val="0"/>
          <w:numId w:val="2"/>
        </w:numPr>
        <w:spacing w:after="70"/>
      </w:pPr>
      <w:r>
        <w:rPr>
          <w:rFonts w:ascii="Calibri" w:cs="Calibri" w:eastAsia="Calibri" w:hAnsi="Calibri"/>
          <w:color w:val="1B2432"/>
          <w:sz w:val="21"/>
          <w:szCs w:val="21"/>
        </w:rPr>
        <w:t xml:space="preserve">Post-production deployment support is provided.</w:t>
      </w:r>
    </w:p>
    <w:p>
      <w:pPr>
        <w:pStyle w:val="ListParagraph"/>
        <w:numPr>
          <w:ilvl w:val="0"/>
          <w:numId w:val="2"/>
        </w:numPr>
        <w:spacing w:after="70"/>
      </w:pPr>
      <w:r>
        <w:rPr>
          <w:rFonts w:ascii="Calibri" w:cs="Calibri" w:eastAsia="Calibri" w:hAnsi="Calibri"/>
          <w:color w:val="1B2432"/>
          <w:sz w:val="21"/>
          <w:szCs w:val="21"/>
        </w:rPr>
        <w:t xml:space="preserve">Handover to Platform Support completes the transition into business-as-usual.</w:t>
      </w:r>
    </w:p>
    <w:p>
      <w:pPr>
        <w:pStyle w:val="Heading3"/>
        <w:spacing w:after="120" w:before="240"/>
      </w:pPr>
      <w:r>
        <w:rPr>
          <w:rFonts w:ascii="Calibri" w:cs="Calibri" w:eastAsia="Calibri" w:hAnsi="Calibri"/>
          <w:b/>
          <w:bCs/>
          <w:color w:val="1B2432"/>
          <w:sz w:val="23"/>
          <w:szCs w:val="23"/>
        </w:rPr>
        <w:t xml:space="preserve">Why this stage exists</w:t>
      </w:r>
    </w:p>
    <w:p>
      <w:pPr>
        <w:spacing w:after="120" w:before="0"/>
      </w:pPr>
      <w:r>
        <w:rPr>
          <w:rFonts w:ascii="Calibri" w:cs="Calibri" w:eastAsia="Calibri" w:hAnsi="Calibri"/>
          <w:b w:val="false"/>
          <w:bCs w:val="false"/>
          <w:i w:val="false"/>
          <w:iCs w:val="false"/>
          <w:color w:val="1B2432"/>
          <w:sz w:val="21"/>
          <w:szCs w:val="21"/>
        </w:rPr>
        <w:t xml:space="preserve">The purpose of this stage is transfer of ownership. Everything in it is designed to move the solution from a project team that knows how it works to a support organisation that does not. The Release Transition page is the primary instrument of that transfer, which is why its completeness matters more than its length. The final production call and the deployment validation call exist because a solution that passes UAT in a lower environment can still fail on the specifics of the production configuration, and the people who can diagnose that within minutes are the ones who built it — but only if they are still engaged, which is why the onboarding resource attends rather than handing over in advance.</w:t>
      </w:r>
    </w:p>
    <w:p>
      <w:pPr>
        <w:pStyle w:val="Heading3"/>
        <w:spacing w:after="120" w:before="240"/>
      </w:pPr>
      <w:r>
        <w:rPr>
          <w:rFonts w:ascii="Calibri" w:cs="Calibri" w:eastAsia="Calibri" w:hAnsi="Calibri"/>
          <w:b/>
          <w:bCs/>
          <w:color w:val="1B2432"/>
          <w:sz w:val="23"/>
          <w:szCs w:val="23"/>
        </w:rPr>
        <w:t xml:space="preserve">Participants and artefacts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900"/>
        <w:gridCol w:w="3600"/>
        <w:gridCol w:w="3860"/>
      </w:tblGrid>
      <w:tr>
        <w:trPr>
          <w:tblHeader/>
        </w:trPr>
        <w:tc>
          <w:tcPr>
            <w:tcW w:type="dxa" w:w="19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Aspect</w:t>
            </w:r>
          </w:p>
        </w:tc>
        <w:tc>
          <w:tcPr>
            <w:tcW w:type="dxa" w:w="3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Detail</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Note</w:t>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Accountable</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Owns the transition to BAU.</w:t>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Supporting</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Platform Support; Delivery Management; Cloud and Hosting Engineering; partner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Input</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Tested solution; sign-offs; runbooks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Output</w:t>
            </w:r>
          </w:p>
        </w:tc>
        <w:tc>
          <w:tcPr>
            <w:tcW w:type="dxa" w:w="3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Release Transition page; production deployment; validated operation; support handover</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r>
        <w:tc>
          <w:tcPr>
            <w:tcW w:type="dxa" w:w="1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Exit criteria</w:t>
            </w:r>
          </w:p>
        </w:tc>
        <w:tc>
          <w:tcPr>
            <w:tcW w:type="dxa" w:w="3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Final production call verified and handover complete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bl>
    <w:p>
      <w:pPr>
        <w:pStyle w:val="Heading2"/>
        <w:spacing w:after="160" w:before="300"/>
      </w:pPr>
      <w:r>
        <w:rPr>
          <w:rFonts w:ascii="Cambria" w:cs="Cambria" w:eastAsia="Cambria" w:hAnsi="Cambria"/>
          <w:b/>
          <w:bCs/>
          <w:color w:val="1E2761"/>
          <w:sz w:val="26"/>
          <w:szCs w:val="26"/>
        </w:rPr>
        <w:t xml:space="preserve">1.14 Executive Summary of the Current State</w:t>
      </w:r>
    </w:p>
    <w:p>
      <w:pPr>
        <w:spacing w:after="120" w:before="0"/>
      </w:pPr>
      <w:r>
        <w:rPr>
          <w:rFonts w:ascii="Calibri" w:cs="Calibri" w:eastAsia="Calibri" w:hAnsi="Calibri"/>
          <w:b w:val="false"/>
          <w:bCs w:val="false"/>
          <w:i w:val="false"/>
          <w:iCs w:val="false"/>
          <w:color w:val="1B2432"/>
          <w:sz w:val="21"/>
          <w:szCs w:val="21"/>
        </w:rPr>
        <w:t xml:space="preserve">Partner onboarding progresses through intake validation, business prioritisation, discovery and solution assessment, product planning, engineering commitment, implementation, and production go-live, to ensure demand is aligned with business priorities, technical readiness, and delivery capacity.</w:t>
      </w:r>
    </w:p>
    <w:p>
      <w:pPr>
        <w:spacing w:after="120" w:before="0"/>
      </w:pPr>
      <w:r>
        <w:rPr>
          <w:rFonts w:ascii="Calibri" w:cs="Calibri" w:eastAsia="Calibri" w:hAnsi="Calibri"/>
          <w:b w:val="false"/>
          <w:bCs w:val="false"/>
          <w:i w:val="false"/>
          <w:iCs w:val="false"/>
          <w:color w:val="1B2432"/>
          <w:sz w:val="21"/>
          <w:szCs w:val="21"/>
        </w:rPr>
        <w:t xml:space="preserve">Read as a whole, three characteristics of the current state stand out.</w:t>
      </w:r>
    </w:p>
    <w:p>
      <w:pPr>
        <w:pStyle w:val="ListParagraph"/>
        <w:numPr>
          <w:ilvl w:val="0"/>
          <w:numId w:val="2"/>
        </w:numPr>
        <w:spacing w:after="70"/>
      </w:pPr>
      <w:r>
        <w:rPr>
          <w:rFonts w:ascii="Calibri" w:cs="Calibri" w:eastAsia="Calibri" w:hAnsi="Calibri"/>
          <w:b/>
          <w:bCs/>
          <w:i w:val="false"/>
          <w:iCs w:val="false"/>
          <w:color w:val="1B2432"/>
          <w:sz w:val="21"/>
          <w:szCs w:val="21"/>
        </w:rPr>
        <w:t xml:space="preserve">Accountability moves repeatedly. </w:t>
      </w:r>
      <w:r>
        <w:rPr>
          <w:rFonts w:ascii="Calibri" w:cs="Calibri" w:eastAsia="Calibri" w:hAnsi="Calibri"/>
          <w:b w:val="false"/>
          <w:bCs w:val="false"/>
          <w:i w:val="false"/>
          <w:iCs w:val="false"/>
          <w:color w:val="1B2432"/>
          <w:sz w:val="21"/>
          <w:szCs w:val="21"/>
        </w:rPr>
        <w:t xml:space="preserve">Ownership changes hands at least six times across the nine stages — partner team, ECM intake, LOB sponsor, product owner, L3 product manager, enabling and engineering, and finally the onboarding resource. Each handoff is a point at which context must be rebuilt rather than carried.</w:t>
      </w:r>
    </w:p>
    <w:p>
      <w:pPr>
        <w:pStyle w:val="ListParagraph"/>
        <w:numPr>
          <w:ilvl w:val="0"/>
          <w:numId w:val="2"/>
        </w:numPr>
        <w:spacing w:after="70"/>
      </w:pPr>
      <w:r>
        <w:rPr>
          <w:rFonts w:ascii="Calibri" w:cs="Calibri" w:eastAsia="Calibri" w:hAnsi="Calibri"/>
          <w:b/>
          <w:bCs/>
          <w:i w:val="false"/>
          <w:iCs w:val="false"/>
          <w:color w:val="1B2432"/>
          <w:sz w:val="21"/>
          <w:szCs w:val="21"/>
        </w:rPr>
        <w:t xml:space="preserve">One role spans everything. </w:t>
      </w:r>
      <w:r>
        <w:rPr>
          <w:rFonts w:ascii="Calibri" w:cs="Calibri" w:eastAsia="Calibri" w:hAnsi="Calibri"/>
          <w:b w:val="false"/>
          <w:bCs w:val="false"/>
          <w:i w:val="false"/>
          <w:iCs w:val="false"/>
          <w:color w:val="1B2432"/>
          <w:sz w:val="21"/>
          <w:szCs w:val="21"/>
        </w:rPr>
        <w:t xml:space="preserve">The Partner Onboarding Resource is engaged in eight of the nine stages and is the only participant that is. The continuity of the onboarding depends on that role's working memory and follow-up discipline.</w:t>
      </w:r>
    </w:p>
    <w:p>
      <w:pPr>
        <w:pStyle w:val="ListParagraph"/>
        <w:numPr>
          <w:ilvl w:val="0"/>
          <w:numId w:val="2"/>
        </w:numPr>
        <w:spacing w:after="70"/>
      </w:pPr>
      <w:r>
        <w:rPr>
          <w:rFonts w:ascii="Calibri" w:cs="Calibri" w:eastAsia="Calibri" w:hAnsi="Calibri"/>
          <w:b/>
          <w:bCs/>
          <w:i w:val="false"/>
          <w:iCs w:val="false"/>
          <w:color w:val="1B2432"/>
          <w:sz w:val="21"/>
          <w:szCs w:val="21"/>
        </w:rPr>
        <w:t xml:space="preserve">The pattern repeats almost identically. </w:t>
      </w:r>
      <w:r>
        <w:rPr>
          <w:rFonts w:ascii="Calibri" w:cs="Calibri" w:eastAsia="Calibri" w:hAnsi="Calibri"/>
          <w:b w:val="false"/>
          <w:bCs w:val="false"/>
          <w:i w:val="false"/>
          <w:iCs w:val="false"/>
          <w:color w:val="1B2432"/>
          <w:sz w:val="21"/>
          <w:szCs w:val="21"/>
        </w:rPr>
        <w:t xml:space="preserve">The stages, the workstreams, the artefacts, the routing rules, and the approval paths are substantially the same for every partner. What differs is the content, not the shape. That repeatability is what makes the process a candidate for agent-assisted execution rather than wholesale replacement.</w:t>
      </w:r>
    </w:p>
    <w:p>
      <w:r>
        <w:br w:type="page"/>
      </w:r>
    </w:p>
    <w:p>
      <w:pPr>
        <w:pStyle w:val="Heading1"/>
        <w:spacing w:after="200" w:before="360"/>
      </w:pPr>
      <w:r>
        <w:rPr>
          <w:rFonts w:ascii="Cambria" w:cs="Cambria" w:eastAsia="Cambria" w:hAnsi="Cambria"/>
          <w:b/>
          <w:bCs/>
          <w:color w:val="1E2761"/>
          <w:sz w:val="32"/>
          <w:szCs w:val="32"/>
        </w:rPr>
        <w:t xml:space="preserve">Part 2 — Worked Use Case: RIA Platform (AGRIA)</w:t>
      </w:r>
    </w:p>
    <w:p>
      <w:pPr>
        <w:spacing w:after="120" w:before="0"/>
      </w:pPr>
      <w:r>
        <w:rPr>
          <w:rFonts w:ascii="Calibri" w:cs="Calibri" w:eastAsia="Calibri" w:hAnsi="Calibri"/>
          <w:b w:val="false"/>
          <w:bCs w:val="false"/>
          <w:i w:val="false"/>
          <w:iCs w:val="false"/>
          <w:color w:val="1B2432"/>
          <w:sz w:val="21"/>
          <w:szCs w:val="21"/>
        </w:rPr>
        <w:t xml:space="preserve">Part 1 described the process in the abstract. This part runs a real onboarding through the same nine stages, showing at each stage what is actually done, who owns it, and why that work belongs at that point in the sequence rather than earlier or later.</w:t>
      </w:r>
    </w:p>
    <w:p>
      <w:pPr>
        <w:pStyle w:val="Heading2"/>
        <w:spacing w:after="160" w:before="300"/>
      </w:pPr>
      <w:r>
        <w:rPr>
          <w:rFonts w:ascii="Cambria" w:cs="Cambria" w:eastAsia="Cambria" w:hAnsi="Cambria"/>
          <w:b/>
          <w:bCs/>
          <w:color w:val="1E2761"/>
          <w:sz w:val="26"/>
          <w:szCs w:val="26"/>
        </w:rPr>
        <w:t xml:space="preserve">2.1 Use Case Summary</w:t>
      </w:r>
    </w:p>
    <w:p>
      <w:pPr>
        <w:spacing w:after="120" w:before="0"/>
      </w:pPr>
      <w:r>
        <w:rPr>
          <w:rFonts w:ascii="Calibri" w:cs="Calibri" w:eastAsia="Calibri" w:hAnsi="Calibri"/>
          <w:b w:val="false"/>
          <w:bCs w:val="false"/>
          <w:i w:val="false"/>
          <w:iCs w:val="false"/>
          <w:color w:val="1B2432"/>
          <w:sz w:val="21"/>
          <w:szCs w:val="21"/>
        </w:rPr>
        <w:t xml:space="preserve">The RIA Platform — referred to as AGRIA in the intake material — is the wealth management platform of choice for Registered Investment Advisors, providing services and technology capabilities to meet their client needs. It is a Publicly Accessible Application that leverages open architecture to integrate with Advisor Gateway applications and with third-party RIA technology solutions, giving RIAs a combined view of enterprise products and services alongside third-party functionality customised to their needs.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400"/>
        <w:gridCol w:w="6960"/>
      </w:tblGrid>
      <w:tr>
        <w:trPr>
          <w:tblHeader/>
        </w:trPr>
        <w:tc>
          <w:tcPr>
            <w:tcW w:type="dxa" w:w="2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Attribute</w:t>
            </w:r>
          </w:p>
        </w:tc>
        <w:tc>
          <w:tcPr>
            <w:tcW w:type="dxa" w:w="69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Value</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Partner application</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RIA Platform (AGRIA)</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Business Application ID</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APM0009695</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Business application classification</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Standard Business Application</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Zone</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Publicly Accessible Application (PAA)</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Integration route</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Consumes ICMP API services through the Apigee gateway</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Document paths</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Two — one untrusted, one trusted</w:t>
            </w:r>
          </w:p>
        </w:tc>
      </w:tr>
    </w:tbl>
    <w:p>
      <w:pPr>
        <w:spacing w:after="120"/>
      </w:pPr>
      <w:r>
        <w:t xml:space="preserve"/>
      </w:r>
    </w:p>
    <w:tbl>
      <w:tblPr>
        <w:tblW w:type="dxa" w:w="9360"/>
        <w:tblBorders>
          <w:top w:val="single" w:color="C05621" w:sz="6"/>
          <w:left w:val="single" w:color="C05621" w:sz="6"/>
          <w:bottom w:val="single" w:color="C05621" w:sz="6"/>
          <w:right w:val="single" w:color="C05621" w:sz="6"/>
          <w:insideH w:val="none"/>
          <w:insideV w:val="none"/>
        </w:tblBorders>
      </w:tblPr>
      <w:tblGrid>
        <w:gridCol w:w="9360"/>
      </w:tblGrid>
      <w:tr>
        <w:tc>
          <w:tcPr>
            <w:tcW w:type="dxa" w:w="9360"/>
            <w:shd w:fill="FDF6F1" w:color="auto" w:val="clear"/>
            <w:tcMar>
              <w:top w:type="dxa" w:w="140"/>
              <w:left w:type="dxa" w:w="160"/>
              <w:bottom w:type="dxa" w:w="140"/>
              <w:right w:type="dxa" w:w="160"/>
            </w:tcMar>
          </w:tcPr>
          <w:p>
            <w:pPr>
              <w:spacing w:after="80"/>
            </w:pPr>
            <w:r>
              <w:rPr>
                <w:rFonts w:ascii="Calibri" w:cs="Calibri" w:eastAsia="Calibri" w:hAnsi="Calibri"/>
                <w:b/>
                <w:bCs/>
                <w:color w:val="C05621"/>
                <w:sz w:val="20"/>
                <w:szCs w:val="20"/>
              </w:rPr>
              <w:t xml:space="preserve">A STRUCTURAL POINT WORTH ESTABLISHING EARLY</w:t>
            </w:r>
          </w:p>
          <w:p>
            <w:pPr>
              <w:spacing w:after="60"/>
            </w:pPr>
            <w:r>
              <w:rPr>
                <w:rFonts w:ascii="Calibri" w:cs="Calibri" w:eastAsia="Calibri" w:hAnsi="Calibri"/>
                <w:color w:val="1B2432"/>
                <w:sz w:val="20"/>
                <w:szCs w:val="20"/>
              </w:rPr>
              <w:t xml:space="preserve">This is one partner system with two document paths, not two separate partner onboardings.</w:t>
            </w:r>
          </w:p>
          <w:p>
            <w:pPr>
              <w:spacing w:after="60"/>
            </w:pPr>
            <w:r>
              <w:rPr>
                <w:rFonts w:ascii="Calibri" w:cs="Calibri" w:eastAsia="Calibri" w:hAnsi="Calibri"/>
                <w:color w:val="1B2432"/>
                <w:sz w:val="20"/>
                <w:szCs w:val="20"/>
              </w:rPr>
              <w:t xml:space="preserve">The billing component sits inside the RIA Platform. That is why a single onboarding requires both a trusted and an untrusted ICMP profile, and why it exercises almost the entire ICMP capability surface in one effort.</w:t>
            </w:r>
          </w:p>
          <w:p>
            <w:pPr>
              <w:spacing w:after="60"/>
            </w:pPr>
            <w:r>
              <w:rPr>
                <w:rFonts w:ascii="Calibri" w:cs="Calibri" w:eastAsia="Calibri" w:hAnsi="Calibri"/>
                <w:color w:val="1B2432"/>
                <w:sz w:val="20"/>
                <w:szCs w:val="20"/>
              </w:rPr>
              <w:t xml:space="preserve">Reading it as two onboardings leads to duplicated intake, duplicated security analysis, and two capacity conversations for one application identity.</w:t>
            </w:r>
          </w:p>
        </w:tc>
      </w:tr>
    </w:tbl>
    <w:p>
      <w:pPr>
        <w:pStyle w:val="Heading3"/>
        <w:spacing w:after="120" w:before="240"/>
      </w:pPr>
      <w:r>
        <w:rPr>
          <w:rFonts w:ascii="Calibri" w:cs="Calibri" w:eastAsia="Calibri" w:hAnsi="Calibri"/>
          <w:b/>
          <w:bCs/>
          <w:color w:val="1B2432"/>
          <w:sz w:val="23"/>
          <w:szCs w:val="23"/>
        </w:rPr>
        <w:t xml:space="preserve">Use case 1 — FinTech agreement storage and retention (untrusted)</w:t>
      </w:r>
    </w:p>
    <w:p>
      <w:pPr>
        <w:spacing w:after="120" w:before="0"/>
      </w:pPr>
      <w:r>
        <w:rPr>
          <w:rFonts w:ascii="Calibri" w:cs="Calibri" w:eastAsia="Calibri" w:hAnsi="Calibri"/>
          <w:b w:val="false"/>
          <w:bCs w:val="false"/>
          <w:i w:val="false"/>
          <w:iCs w:val="false"/>
          <w:color w:val="1B2432"/>
          <w:sz w:val="21"/>
          <w:szCs w:val="21"/>
        </w:rPr>
        <w:t xml:space="preserve">Independent Solutions users submit data-sharing requests with FinTech providers through the AGRIA platform. As part of that process users upload FinTech agreements, which must be archived, retained, made retrievable for operational review, and available for audit.</w:t>
      </w:r>
    </w:p>
    <w:p>
      <w:pPr>
        <w:spacing w:after="120" w:before="0"/>
      </w:pPr>
      <w:r>
        <w:rPr>
          <w:rFonts w:ascii="Calibri" w:cs="Calibri" w:eastAsia="Calibri" w:hAnsi="Calibri"/>
          <w:b w:val="false"/>
          <w:bCs w:val="false"/>
          <w:i w:val="false"/>
          <w:iCs w:val="false"/>
          <w:color w:val="1B2432"/>
          <w:sz w:val="21"/>
          <w:szCs w:val="21"/>
        </w:rPr>
        <w:t xml:space="preserve">The current process is manual: agreements are submitted by email and uploaded by hand through the ICMP user interface. The target solution automates document ingestion into ICMP through APIs, applies retention policies, and provides reconciliation through event notifications.</w:t>
      </w:r>
    </w:p>
    <w:p>
      <w:pPr>
        <w:pStyle w:val="Heading3"/>
        <w:spacing w:after="120" w:before="240"/>
      </w:pPr>
      <w:r>
        <w:rPr>
          <w:rFonts w:ascii="Calibri" w:cs="Calibri" w:eastAsia="Calibri" w:hAnsi="Calibri"/>
          <w:b/>
          <w:bCs/>
          <w:color w:val="1B2432"/>
          <w:sz w:val="23"/>
          <w:szCs w:val="23"/>
        </w:rPr>
        <w:t xml:space="preserve">Use case 2 — Billing regulatory-compliance storage (trusted)</w:t>
      </w:r>
    </w:p>
    <w:p>
      <w:pPr>
        <w:spacing w:after="120" w:before="0"/>
      </w:pPr>
      <w:r>
        <w:rPr>
          <w:rFonts w:ascii="Calibri" w:cs="Calibri" w:eastAsia="Calibri" w:hAnsi="Calibri"/>
          <w:b w:val="false"/>
          <w:bCs w:val="false"/>
          <w:i w:val="false"/>
          <w:iCs w:val="false"/>
          <w:color w:val="1B2432"/>
          <w:sz w:val="21"/>
          <w:szCs w:val="21"/>
        </w:rPr>
        <w:t xml:space="preserve">The billing application within AGRIA generates account-level billing records that must be archived in a compliant write-once-read-many repository under a defined retention code with a ten-year retention period. These records must be searchable, retrievable, and available for audit and regulatory-compliance purposes, and the solution must support future scaling to large volumes while maintaining regulatory compliance.</w:t>
      </w:r>
    </w:p>
    <w:p>
      <w:pPr>
        <w:pStyle w:val="Heading3"/>
        <w:spacing w:after="120" w:before="240"/>
      </w:pPr>
      <w:r>
        <w:rPr>
          <w:rFonts w:ascii="Calibri" w:cs="Calibri" w:eastAsia="Calibri" w:hAnsi="Calibri"/>
          <w:b/>
          <w:bCs/>
          <w:color w:val="1B2432"/>
          <w:sz w:val="23"/>
          <w:szCs w:val="23"/>
        </w:rPr>
        <w:t xml:space="preserve">Expected business outcomes</w:t>
      </w:r>
    </w:p>
    <w:p>
      <w:pPr>
        <w:pStyle w:val="ListParagraph"/>
        <w:numPr>
          <w:ilvl w:val="0"/>
          <w:numId w:val="2"/>
        </w:numPr>
        <w:spacing w:after="70"/>
      </w:pPr>
      <w:r>
        <w:rPr>
          <w:rFonts w:ascii="Calibri" w:cs="Calibri" w:eastAsia="Calibri" w:hAnsi="Calibri"/>
          <w:color w:val="1B2432"/>
          <w:sz w:val="21"/>
          <w:szCs w:val="21"/>
        </w:rPr>
        <w:t xml:space="preserve">Eliminate manual, email-based document archival.</w:t>
      </w:r>
    </w:p>
    <w:p>
      <w:pPr>
        <w:pStyle w:val="ListParagraph"/>
        <w:numPr>
          <w:ilvl w:val="0"/>
          <w:numId w:val="2"/>
        </w:numPr>
        <w:spacing w:after="70"/>
      </w:pPr>
      <w:r>
        <w:rPr>
          <w:rFonts w:ascii="Calibri" w:cs="Calibri" w:eastAsia="Calibri" w:hAnsi="Calibri"/>
          <w:color w:val="1B2432"/>
          <w:sz w:val="21"/>
          <w:szCs w:val="21"/>
        </w:rPr>
        <w:t xml:space="preserve">Improve operational efficiency and user experience.</w:t>
      </w:r>
    </w:p>
    <w:p>
      <w:pPr>
        <w:pStyle w:val="ListParagraph"/>
        <w:numPr>
          <w:ilvl w:val="0"/>
          <w:numId w:val="2"/>
        </w:numPr>
        <w:spacing w:after="70"/>
      </w:pPr>
      <w:r>
        <w:rPr>
          <w:rFonts w:ascii="Calibri" w:cs="Calibri" w:eastAsia="Calibri" w:hAnsi="Calibri"/>
          <w:color w:val="1B2432"/>
          <w:sz w:val="21"/>
          <w:szCs w:val="21"/>
        </w:rPr>
        <w:t xml:space="preserve">Meet regulatory and enterprise retention requirements.</w:t>
      </w:r>
    </w:p>
    <w:p>
      <w:pPr>
        <w:pStyle w:val="ListParagraph"/>
        <w:numPr>
          <w:ilvl w:val="0"/>
          <w:numId w:val="2"/>
        </w:numPr>
        <w:spacing w:after="70"/>
      </w:pPr>
      <w:r>
        <w:rPr>
          <w:rFonts w:ascii="Calibri" w:cs="Calibri" w:eastAsia="Calibri" w:hAnsi="Calibri"/>
          <w:color w:val="1B2432"/>
          <w:sz w:val="21"/>
          <w:szCs w:val="21"/>
        </w:rPr>
        <w:t xml:space="preserve">Provide automated reconciliation of document ingestion.</w:t>
      </w:r>
    </w:p>
    <w:p>
      <w:pPr>
        <w:pStyle w:val="ListParagraph"/>
        <w:numPr>
          <w:ilvl w:val="0"/>
          <w:numId w:val="2"/>
        </w:numPr>
        <w:spacing w:after="70"/>
      </w:pPr>
      <w:r>
        <w:rPr>
          <w:rFonts w:ascii="Calibri" w:cs="Calibri" w:eastAsia="Calibri" w:hAnsi="Calibri"/>
          <w:color w:val="1B2432"/>
          <w:sz w:val="21"/>
          <w:szCs w:val="21"/>
        </w:rPr>
        <w:t xml:space="preserve">Enable future growth of the RIA and Independent Solutions businesses.</w:t>
      </w:r>
    </w:p>
    <w:p>
      <w:pPr>
        <w:pStyle w:val="ListParagraph"/>
        <w:numPr>
          <w:ilvl w:val="0"/>
          <w:numId w:val="2"/>
        </w:numPr>
        <w:spacing w:after="70"/>
      </w:pPr>
      <w:r>
        <w:rPr>
          <w:rFonts w:ascii="Calibri" w:cs="Calibri" w:eastAsia="Calibri" w:hAnsi="Calibri"/>
          <w:color w:val="1B2432"/>
          <w:sz w:val="21"/>
          <w:szCs w:val="21"/>
        </w:rPr>
        <w:t xml:space="preserve">Support audit, governance, legal hold, and records management requirements.</w:t>
      </w:r>
    </w:p>
    <w:p>
      <w:pPr>
        <w:pStyle w:val="ListParagraph"/>
        <w:numPr>
          <w:ilvl w:val="0"/>
          <w:numId w:val="2"/>
        </w:numPr>
        <w:spacing w:after="70"/>
      </w:pPr>
      <w:r>
        <w:rPr>
          <w:rFonts w:ascii="Calibri" w:cs="Calibri" w:eastAsia="Calibri" w:hAnsi="Calibri"/>
          <w:color w:val="1B2432"/>
          <w:sz w:val="21"/>
          <w:szCs w:val="21"/>
        </w:rPr>
        <w:t xml:space="preserve">Establish a scalable onboarding pattern for future partner integrations.</w:t>
      </w:r>
    </w:p>
    <w:p>
      <w:pPr>
        <w:pStyle w:val="Heading2"/>
        <w:spacing w:after="160" w:before="300"/>
      </w:pPr>
      <w:r>
        <w:rPr>
          <w:rFonts w:ascii="Cambria" w:cs="Cambria" w:eastAsia="Cambria" w:hAnsi="Cambria"/>
          <w:b/>
          <w:bCs/>
          <w:color w:val="1E2761"/>
          <w:sz w:val="26"/>
          <w:szCs w:val="26"/>
        </w:rPr>
        <w:t xml:space="preserve">2.2 Systems Involved</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600"/>
        <w:gridCol w:w="6760"/>
      </w:tblGrid>
      <w:tr>
        <w:trPr>
          <w:tblHeader/>
        </w:trPr>
        <w:tc>
          <w:tcPr>
            <w:tcW w:type="dxa" w:w="2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System</w:t>
            </w:r>
          </w:p>
        </w:tc>
        <w:tc>
          <w:tcPr>
            <w:tcW w:type="dxa" w:w="67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Role in this onboarding</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PAA / AGRIA</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application and intake platform.</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Apigee</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API gateway for secure exposure of ICMP services.</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ICMP</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Enterprise repository for document archival, retention, search and retrieval.</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Kafka</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Event notification and ingestion framework, enabling reconciliation.</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Imaging Governance</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Determines trusted versus untrusted by viewing documents on the flow, and allocates document category, type and subtype for trusted content.</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iDocs</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AI-based document classification engine.</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IRM</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Human-in-the-loop validation and classification.</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DCT Virus Scan</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Malware scanning for untrusted documents.</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Records Management</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Retention policy governance and implementation.</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ICMP Viewer</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Document viewing capability.</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Platform Support</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Production support and operational handover.</w:t>
            </w:r>
          </w:p>
        </w:tc>
      </w:tr>
    </w:tbl>
    <w:p>
      <w:pPr>
        <w:spacing w:after="120"/>
      </w:pPr>
      <w:r>
        <w:t xml:space="preserve"/>
      </w:r>
    </w:p>
    <w:p>
      <w:pPr>
        <w:pStyle w:val="Heading2"/>
        <w:spacing w:after="160" w:before="300"/>
      </w:pPr>
      <w:r>
        <w:rPr>
          <w:rFonts w:ascii="Cambria" w:cs="Cambria" w:eastAsia="Cambria" w:hAnsi="Cambria"/>
          <w:b/>
          <w:bCs/>
          <w:color w:val="1E2761"/>
          <w:sz w:val="26"/>
          <w:szCs w:val="26"/>
        </w:rPr>
        <w:t xml:space="preserve">2.3 Target Document Flows</w:t>
      </w:r>
    </w:p>
    <w:p>
      <w:pPr>
        <w:pStyle w:val="Heading3"/>
        <w:spacing w:after="120" w:before="240"/>
      </w:pPr>
      <w:r>
        <w:rPr>
          <w:rFonts w:ascii="Calibri" w:cs="Calibri" w:eastAsia="Calibri" w:hAnsi="Calibri"/>
          <w:b/>
          <w:bCs/>
          <w:color w:val="1B2432"/>
          <w:sz w:val="23"/>
          <w:szCs w:val="23"/>
        </w:rPr>
        <w:t xml:space="preserve">FinTech agreement flow — untrusted</w:t>
      </w:r>
    </w:p>
    <w:p>
      <w:pPr>
        <w:spacing w:after="120" w:before="0"/>
      </w:pPr>
      <w:r>
        <w:rPr>
          <w:rFonts w:ascii="Calibri" w:cs="Calibri" w:eastAsia="Calibri" w:hAnsi="Calibri"/>
          <w:b w:val="false"/>
          <w:bCs w:val="false"/>
          <w:i w:val="false"/>
          <w:iCs w:val="false"/>
          <w:color w:val="1B2432"/>
          <w:sz w:val="21"/>
          <w:szCs w:val="21"/>
        </w:rPr>
        <w:t xml:space="preserve">Customer submits through the AGRIA portal; the document passes through virus scanning, then AI classification, then human-in-the-loop validation where required; it is then written to ICMP through the gateway; ICMP raises event notifications; AGRIA consumes those notifications to reconcile.</w:t>
      </w:r>
    </w:p>
    <w:p>
      <w:pPr>
        <w:spacing w:after="120" w:before="0"/>
      </w:pPr>
      <w:r>
        <w:rPr>
          <w:rFonts w:ascii="Calibri" w:cs="Calibri" w:eastAsia="Calibri" w:hAnsi="Calibri"/>
          <w:b w:val="false"/>
          <w:bCs w:val="false"/>
          <w:i w:val="false"/>
          <w:iCs w:val="false"/>
          <w:color w:val="1B2432"/>
          <w:sz w:val="21"/>
          <w:szCs w:val="21"/>
        </w:rPr>
        <w:t xml:space="preserve">Human-in-the-loop validation is conditional. It is invoked only where AI classification requires human confirmation. Trusted documents bypass the classification workflow entirely.</w:t>
      </w:r>
    </w:p>
    <w:p>
      <w:pPr>
        <w:pStyle w:val="Heading3"/>
        <w:spacing w:after="120" w:before="240"/>
      </w:pPr>
      <w:r>
        <w:rPr>
          <w:rFonts w:ascii="Calibri" w:cs="Calibri" w:eastAsia="Calibri" w:hAnsi="Calibri"/>
          <w:b/>
          <w:bCs/>
          <w:color w:val="1B2432"/>
          <w:sz w:val="23"/>
          <w:szCs w:val="23"/>
        </w:rPr>
        <w:t xml:space="preserve">Billing document flow — trusted</w:t>
      </w:r>
    </w:p>
    <w:p>
      <w:pPr>
        <w:spacing w:after="120" w:before="0"/>
      </w:pPr>
      <w:r>
        <w:rPr>
          <w:rFonts w:ascii="Calibri" w:cs="Calibri" w:eastAsia="Calibri" w:hAnsi="Calibri"/>
          <w:b w:val="false"/>
          <w:bCs w:val="false"/>
          <w:i w:val="false"/>
          <w:iCs w:val="false"/>
          <w:color w:val="1B2432"/>
          <w:sz w:val="21"/>
          <w:szCs w:val="21"/>
        </w:rPr>
        <w:t xml:space="preserve">The billing application generates records which pass through AGRIA into event-based ingestion, are written to the regulated ICMP repository under the applicable retention code, and are then exposed through search and view APIs to AGRIA users and internal users for audit and regulatory review.</w:t>
      </w:r>
    </w:p>
    <w:p>
      <w:pPr>
        <w:pStyle w:val="Heading2"/>
        <w:spacing w:after="160" w:before="300"/>
      </w:pPr>
      <w:r>
        <w:rPr>
          <w:rFonts w:ascii="Cambria" w:cs="Cambria" w:eastAsia="Cambria" w:hAnsi="Cambria"/>
          <w:b/>
          <w:bCs/>
          <w:color w:val="1E2761"/>
          <w:sz w:val="26"/>
          <w:szCs w:val="26"/>
        </w:rPr>
        <w:t xml:space="preserve">2.4 Stage-by-Stage Execution, Ownership and Rationale</w:t>
      </w:r>
    </w:p>
    <w:p>
      <w:pPr>
        <w:spacing w:after="120" w:before="0"/>
      </w:pPr>
      <w:r>
        <w:rPr>
          <w:rFonts w:ascii="Calibri" w:cs="Calibri" w:eastAsia="Calibri" w:hAnsi="Calibri"/>
          <w:b w:val="false"/>
          <w:bCs w:val="false"/>
          <w:i w:val="false"/>
          <w:iCs w:val="false"/>
          <w:color w:val="1B2432"/>
          <w:sz w:val="21"/>
          <w:szCs w:val="21"/>
        </w:rPr>
        <w:t xml:space="preserve">The tables in this section carry three columns for each stage: what is done, who owns it, and why that activity belongs in that stage. The third column is the one worth reading carefully, because it is what prevents work being pulled forward before its inputs exist or pushed back until its outputs are needed.</w:t>
      </w:r>
    </w:p>
    <w:p>
      <w:pPr>
        <w:pStyle w:val="Heading3"/>
        <w:spacing w:after="120" w:before="240"/>
      </w:pPr>
      <w:r>
        <w:rPr>
          <w:rFonts w:ascii="Calibri" w:cs="Calibri" w:eastAsia="Calibri" w:hAnsi="Calibri"/>
          <w:b/>
          <w:bCs/>
          <w:color w:val="1B2432"/>
          <w:sz w:val="23"/>
          <w:szCs w:val="23"/>
        </w:rPr>
        <w:t xml:space="preserve">Stage 1 — Partner Request</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Business need articulated across both use cases — agreement archival and regulated billing storage</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AGRIA product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Both use cases must enter as one request because they share one application identity; splitting them would duplicate every downstream security and capacity conversation.</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DOR workbook completed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AGRIA requestor</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workbook is the only structured input the intake team receives; anything omitted here is chased in stage 4 at far greater cost.</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Document types recorded — customer-uploaded agreements and system-generated billing records</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AGRIA requestor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type split is what the Imaging Governance determination is made against; it sets the entire content-processing design.</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Representative document samples identified and made available</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AGRIA requestor with 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Imaging Governance determines trusted versus untrusted by viewing documents on the flow, not from a description. Samples must exist by discovery or the determination cannot be made.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Document sizes and traits recorded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AGRIA requestor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Sizes and traits drive profile design and influence the ingestion approach.</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Volume expectations captured, including future scaling</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AGRIA requestor</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Volume drives capacity planning and determines whether load testing is required — a decision made much later but sourced from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Retention and regulatory obligations noted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AGRIA requestor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Regulatory retention determines whether a regulated repository is in scope; discovering this later invalidates repository design.</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Dependencies listed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AGRIA requestor</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Dependencies affect the LOB priority judgement in stage 3.</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Process explained and expectations set</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Setting expectations before submission is what prevents an incomplete package entering the queue.</w:t>
            </w:r>
          </w:p>
        </w:tc>
      </w:tr>
    </w:tbl>
    <w:p>
      <w:pPr>
        <w:pStyle w:val="Heading3"/>
        <w:spacing w:after="120" w:before="240"/>
      </w:pPr>
      <w:r>
        <w:rPr>
          <w:rFonts w:ascii="Calibri" w:cs="Calibri" w:eastAsia="Calibri" w:hAnsi="Calibri"/>
          <w:b/>
          <w:bCs/>
          <w:color w:val="1B2432"/>
          <w:sz w:val="23"/>
          <w:szCs w:val="23"/>
        </w:rPr>
        <w:t xml:space="preserve">Stage 2 — Intake Review</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Completeness and accuracy of the AGRIA submission validated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ECM intake team (L4/L3 PM)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Protects engineering capacity by refusing to prioritise a request nobody can yet evaluate.</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Triage state opened on the intake record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Intake coordinator</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Makes the intake visible in the triage queue; without it the request has no state.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Clarifications raised with the AGRIA team on assumptions</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ECM intake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Assumptions stated at intake become design constraints if not tested now.</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 owners, architects and SMEs identified for discovery</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L3 product manager</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Discovery cannot be scheduled until participants are named; a session held without the retention or classification SME produces a scope that must be revisited.</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Imaging Governance engagement anticipated for both document paths</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L3 product manager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Governance holds a decision right rather than providing a service; its determination gates the content-processing scope, so it must be scheduled into discovery rather than approached during build.</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Specialist involvement anticipated — classification, human-in-the-loop, records management, event framework, gateway</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L3 product manager</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This use case touches almost every specialist team; identifying them at intake rather than during discovery avoids sequential rediscovery.</w:t>
            </w:r>
          </w:p>
        </w:tc>
      </w:tr>
    </w:tbl>
    <w:p>
      <w:pPr>
        <w:pStyle w:val="Heading3"/>
        <w:spacing w:after="120" w:before="240"/>
      </w:pPr>
      <w:r>
        <w:rPr>
          <w:rFonts w:ascii="Calibri" w:cs="Calibri" w:eastAsia="Calibri" w:hAnsi="Calibri"/>
          <w:b/>
          <w:bCs/>
          <w:color w:val="1B2432"/>
          <w:sz w:val="23"/>
          <w:szCs w:val="23"/>
        </w:rPr>
        <w:t xml:space="preserve">Stage 3 — LOB Priority</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Business value assessed — elimination of manual email-based archival and improved user experience</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LOB sponsor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Value has to be stated by the business, not inferred by the platform team.</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Regulatory impact weighed — the billing use case carries a compliance obligation</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LOB sponsor</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 regulatory driver changes the priority conversation from discretionary to obligatory, which is the strongest argument available at capacity assessment.</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Operational risk assessed, including the risk of continuing the manual process</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LOB sponsor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risk of not doing the work is part of the ranking, and is frequently the deciding factor.</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Strategic alignment evaluated against RIA and Independent Solutions growth</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LOB sponsor</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Future scaling is an explicit outcome of this onboarding; alignment justifies investment beyond immediate need.</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Ranking established within the LOB portfolio</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LOB sponsor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ranking is a formal input to planning; without it the onboarding arrives at capacity assessment with no basis to argue for a slot.</w:t>
            </w:r>
          </w:p>
        </w:tc>
      </w:tr>
    </w:tbl>
    <w:p>
      <w:pPr>
        <w:pStyle w:val="Heading3"/>
        <w:spacing w:after="120" w:before="240"/>
      </w:pPr>
      <w:r>
        <w:rPr>
          <w:rFonts w:ascii="Calibri" w:cs="Calibri" w:eastAsia="Calibri" w:hAnsi="Calibri"/>
          <w:b/>
          <w:bCs/>
          <w:color w:val="1B2432"/>
          <w:sz w:val="23"/>
          <w:szCs w:val="23"/>
        </w:rPr>
        <w:t xml:space="preserve">Stage 4 — Discovery &amp; Triage</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Document samples presented on the flow for both paths</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 with AGRIA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determination is made by viewing documents on the flow; a description of the document type is not sufficient.</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Trusted versus untrusted determination made for each document path</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Imaging Governance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This single determination decides whether the virus-scan, classification and human-in-the-loop chain is in scope at all. Everything in the content-processing workstream depends on it, and it is a governance decision rather than an architectural preference.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Document category, type and subtype allocated for the trusted billing records</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Imaging Governance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allocated classification is what the platform applies on arrival and what retention schedules, search filters and audit retrieval are keyed to. Allocating it here rather than during build prevents repository and retention rework.</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Two ICMP profiles scoped — one trusted, one untrusted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Architects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Profile count and design must be agreed before any repository or metadata work starts.</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Gateway consumption and firewall connectivity from the partner zone identified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Architects with security</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Connectivity is long lead-time; identifying it here allows the request to be raised at the start of delivery rather than the middle.</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Event notification and reconciliation requirement confirmed, including retry and exception handling</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Architects with partner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Reconciliation is a stated business outcome; treating it as an implementation detail rather than scope causes it to be descoped under pressure.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Retention obligation confirmed — retention code, ten-year period, regulated repository</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Records Management SME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Regulated storage changes repository selection; discovering it after repository onboarding means redoing it.</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Metadata, search filter and retrieval requirements outlined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Architects with business users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Search and audit access are stated outcomes; metadata design cannot be retrofitted cheaply.</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Viewer integration requirement identified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Architects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Viewing is a stated capability for both partner and internal users.</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Volume profile refined — migration, business as usual, and peak</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 with partner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refined volume picture is the input to capacity planning and to the load-testing applicability decision.</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Area and impact labels applied — including AI classification impact</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Triage lead</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Labels are the routing mechanism; a missing impact label means a specialist team never sees the intake.</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Follow-up loop used where partner detail is outstanding</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Triage lead</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Holding the intake in an explicit waiting state is preferable to advancing an incomplete scope.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Triage completion recorded with date</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Triage lead</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Completion date is the measurable boundary of the stage.</w:t>
            </w:r>
          </w:p>
        </w:tc>
      </w:tr>
    </w:tbl>
    <w:p>
      <w:pPr>
        <w:pStyle w:val="Heading3"/>
        <w:spacing w:after="120" w:before="240"/>
      </w:pPr>
      <w:r>
        <w:rPr>
          <w:rFonts w:ascii="Calibri" w:cs="Calibri" w:eastAsia="Calibri" w:hAnsi="Calibri"/>
          <w:b/>
          <w:bCs/>
          <w:color w:val="1B2432"/>
          <w:sz w:val="23"/>
          <w:szCs w:val="23"/>
        </w:rPr>
        <w:t xml:space="preserve">Stage 5 — Product Epic Creation</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 epic raised representing the AGRIA onboarding</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L3 product manager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epic is what makes the demand visible inside the delivery organisation's planning system.</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Features decomposed by workstream — connectivity and security, event enablement, untrusted content, trusted content, records management, metadata and repository, search and viewing, capacity and load testing, testing, documentation</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L3 product manager with product owners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Decomposing by workstream rather than by use case allows each specialist team to commit to its own feature independently.</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User stories and work items created and linked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 owners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Stories are the unit that engineering estimates against at capacity assessment.</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Ownership assigned per feature</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L3 product manager</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Unowned features cannot be committed to; assigning ownership here prevents the gap surfacing in planning.</w:t>
            </w:r>
          </w:p>
        </w:tc>
      </w:tr>
    </w:tbl>
    <w:p>
      <w:pPr>
        <w:pStyle w:val="Heading3"/>
        <w:spacing w:after="120" w:before="240"/>
      </w:pPr>
      <w:r>
        <w:rPr>
          <w:rFonts w:ascii="Calibri" w:cs="Calibri" w:eastAsia="Calibri" w:hAnsi="Calibri"/>
          <w:b/>
          <w:bCs/>
          <w:color w:val="1B2432"/>
          <w:sz w:val="23"/>
          <w:szCs w:val="23"/>
        </w:rPr>
        <w:t xml:space="preserve">Stage 6 — Quarterly Big Room Planning</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AGRIA epic reviewed with L1 and L2 product owners</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L3 product manager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Commitment given without understanding is a scheduling assumption, not a commitment.</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Scope walked, covering both document paths and the specialist dependencies</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L3 product manager</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This onboarding depends on several specialist teams; each needs to see its own dependency.</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Queries clarified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L3 product manager</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Unresolved queries become blockers at capacity assessment.</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Feature-level review requested from each L1 product owner</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L1 product owners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Review has to be at feature level because that is the level at which capacity is held.</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Commitment positions sought against available capacity</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L1 and L2 product owners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Holding the conversation in one room forces trade-offs between competing epics to be made visibly.</w:t>
            </w:r>
          </w:p>
        </w:tc>
      </w:tr>
    </w:tbl>
    <w:p>
      <w:pPr>
        <w:pStyle w:val="Heading3"/>
        <w:spacing w:after="120" w:before="240"/>
      </w:pPr>
      <w:r>
        <w:rPr>
          <w:rFonts w:ascii="Calibri" w:cs="Calibri" w:eastAsia="Calibri" w:hAnsi="Calibri"/>
          <w:b/>
          <w:bCs/>
          <w:color w:val="1B2432"/>
          <w:sz w:val="23"/>
          <w:szCs w:val="23"/>
        </w:rPr>
        <w:t xml:space="preserve">Stage 7 — Capacity Assessment</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Capacity evaluated across the specialist and engineering teams involved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Enabling and engineering teams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This onboarding requires several teams to commit in the same increment; a single unavailable team blocks the whole flow.</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Competing priorities weighed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 teams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Capacity is finite and this onboarding is not the only demand.</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Technical dependencies checked across gateway, event framework, classification and records management</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 teams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Cross-team dependencies determine sequencing within the increment.</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Implementation readiness assessed against the triage outcome</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 teams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Scope that is not well enough defined cannot be estimated; this is the last check before build.</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Blockers identified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 teams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Early blocker visibility allows the LOB to re-prioritise or escalate.</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Commitment indicator returned per feature</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 teams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 stated position — including a negative one — is what allows the partner's expectations to be reset honestly.</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Delivery team allocation confirmed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Enabling teams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Team allocation determines where downstream capacity and load-testing tickets are raised, and determines how far through the environment ladder the partner can progress.</w:t>
            </w:r>
          </w:p>
        </w:tc>
      </w:tr>
    </w:tbl>
    <w:p>
      <w:pPr>
        <w:pStyle w:val="Heading3"/>
        <w:spacing w:after="120" w:before="240"/>
      </w:pPr>
      <w:r>
        <w:rPr>
          <w:rFonts w:ascii="Calibri" w:cs="Calibri" w:eastAsia="Calibri" w:hAnsi="Calibri"/>
          <w:b/>
          <w:bCs/>
          <w:color w:val="1B2432"/>
          <w:sz w:val="23"/>
          <w:szCs w:val="23"/>
        </w:rPr>
        <w:t xml:space="preserve">Stage 8 — Development &amp; Delivery</w:t>
      </w:r>
    </w:p>
    <w:p>
      <w:pPr>
        <w:spacing w:after="120" w:before="0"/>
      </w:pPr>
      <w:r>
        <w:rPr>
          <w:rFonts w:ascii="Calibri" w:cs="Calibri" w:eastAsia="Calibri" w:hAnsi="Calibri"/>
          <w:b w:val="false"/>
          <w:bCs w:val="false"/>
          <w:i w:val="false"/>
          <w:iCs w:val="false"/>
          <w:color w:val="1B2432"/>
          <w:sz w:val="21"/>
          <w:szCs w:val="21"/>
        </w:rPr>
        <w:t xml:space="preserve">The activities in this stage are grouped by workstream. All run in parallel and converge on a production-ready configuration.</w:t>
      </w:r>
    </w:p>
    <w:p>
      <w:pPr>
        <w:pStyle w:val="Heading4"/>
        <w:spacing w:after="100" w:before="200"/>
      </w:pPr>
      <w:r>
        <w:rPr>
          <w:rFonts w:ascii="Calibri" w:cs="Calibri" w:eastAsia="Calibri" w:hAnsi="Calibri"/>
          <w:b/>
          <w:bCs/>
          <w:color w:val="C05621"/>
          <w:sz w:val="21"/>
          <w:szCs w:val="21"/>
        </w:rPr>
        <w:t xml:space="preserve">Connectivity, security and foundational setup</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Application identity established and registered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Every downstream request — certificate, access, subscription — ties back to one application identity. Establishing it first prevents orphaned requests.</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Firewall connectivity opened from the partner zone to ICMP API services</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Security and network teams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Long lead-time item; must start early or it blocks integration testing.</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Certificates requested and installed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 with partner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Required before any secure service-to-service call can be made.</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Service accounts created and group membership provisioned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Service account requests route through the access request tooling in both environments regardless of environment.</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Human user access provisioned across non-production and production</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Human access routes differently from service accounts — by domain rather than by environment — and getting the route wrong costs the full queue delay.</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System and user security analysis completed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Security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Sign-off is a precondition of production progression.</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System Agreement completed and signed off</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agreement formalises the partner's use of ICMP; it is evidence at audit.</w:t>
            </w:r>
          </w:p>
        </w:tc>
      </w:tr>
    </w:tbl>
    <w:p>
      <w:pPr>
        <w:pStyle w:val="Heading4"/>
        <w:spacing w:after="100" w:before="200"/>
      </w:pPr>
      <w:r>
        <w:rPr>
          <w:rFonts w:ascii="Calibri" w:cs="Calibri" w:eastAsia="Calibri" w:hAnsi="Calibri"/>
          <w:b/>
          <w:bCs/>
          <w:color w:val="C05621"/>
          <w:sz w:val="21"/>
          <w:szCs w:val="21"/>
        </w:rPr>
        <w:t xml:space="preserve">Gateway and event enablement</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AGRIA onboarded to the Apigee marketplace</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 with partner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Gateway onboarding precedes API subscription.</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ICMP API products identified and subscribed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Subscription is what grants the partner the ability to call ICMP services.</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Apigee approvals obtained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Approvals are a stated responsibility of the onboarding role and gate the subscription.</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Apigee Onboarding Tracker maintained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tracker is the evidence trail for what was subscribed and approved.</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KEES engagement initiated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Kafka enablement is a separate engagement track with its own approvals and lead time.</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Consumer group created on the ICMP Kafka topic</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KEES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Consumer groups are what allow AGRIA to receive request-level and document-level notifications.</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Ingestion notifications enabled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KEES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Notifications are the mechanism by which reconciliation becomes possible.</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Reconciliation, retry and exception handling defined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team with architects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Reconciliation covering both success and failure is a stated business outcome, not an optional extra.</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Ingestion approach designed against volume</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Architects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ingestion design must accommodate the peak and migration volumes captured earlier.</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Kafka Onboarding Tracker maintained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Evidence trail for the event configuration.</w:t>
            </w:r>
          </w:p>
        </w:tc>
      </w:tr>
    </w:tbl>
    <w:p>
      <w:pPr>
        <w:pStyle w:val="Heading4"/>
        <w:spacing w:after="100" w:before="200"/>
      </w:pPr>
      <w:r>
        <w:rPr>
          <w:rFonts w:ascii="Calibri" w:cs="Calibri" w:eastAsia="Calibri" w:hAnsi="Calibri"/>
          <w:b/>
          <w:bCs/>
          <w:color w:val="C05621"/>
          <w:sz w:val="21"/>
          <w:szCs w:val="21"/>
        </w:rPr>
        <w:t xml:space="preserve">Content processing — untrusted path</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Untrusted determination carried forward from Imaging Governance</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whole untrusted chain exists because of the governance determination; configuring it against an assumed classification risks building a workstream that is not required, or omitting one that is.</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Virus scanning onboarded for all untrusted content</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Specialist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Untrusted content must be scanned before it reaches ICMP; this is a security precondition, not a preference.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AI classification engagement initiated and classification profiles developed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iDocs team with 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Classification profiles need document samples, which must be collected from the partner first.</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Human-in-the-loop engagement initiated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IRM team with 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Human validation is the fallback where AI classification cannot confirm; it must be configured even though it is invoked conditionally.</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Pre-capture and post-capture profiles designed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IRM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two profiles govern what happens before and after human review.</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Untrusted ICMP profile analysed and developed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profile is what ICMP applies to documents arriving on the untrusted path.</w:t>
            </w:r>
          </w:p>
        </w:tc>
      </w:tr>
    </w:tbl>
    <w:p>
      <w:pPr>
        <w:pStyle w:val="Heading4"/>
        <w:spacing w:after="100" w:before="200"/>
      </w:pPr>
      <w:r>
        <w:rPr>
          <w:rFonts w:ascii="Calibri" w:cs="Calibri" w:eastAsia="Calibri" w:hAnsi="Calibri"/>
          <w:b/>
          <w:bCs/>
          <w:color w:val="C05621"/>
          <w:sz w:val="21"/>
          <w:szCs w:val="21"/>
        </w:rPr>
        <w:t xml:space="preserve">Content processing — trusted path</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Document samples collected for the billing records</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 with partner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governance determination and the classification allocation both require representative samples viewed on the flow.</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Trusted determination confirmed and document category, type and subtype allocated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Imaging Governance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Trusted documents bypass the AI classification and human-in-the-loop workflow but still carry a governance-allocated classification. That classification is configured against the profile.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Allocated classification configured against the trusted profile</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governance allocation is only effective once it is configured; an allocated but unconfigured classification is a silent gap.</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Trusted ICMP profile analysed and developed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 separate profile is required because trusted and untrusted content are handled differently on arrival.</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New document types routed back to Imaging Governance</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 document type introduced after the original determination does not inherit an existing classification; it requires a fresh governance decision.</w:t>
            </w:r>
          </w:p>
        </w:tc>
      </w:tr>
    </w:tbl>
    <w:p>
      <w:pPr>
        <w:pStyle w:val="Heading4"/>
        <w:spacing w:after="100" w:before="200"/>
      </w:pPr>
      <w:r>
        <w:rPr>
          <w:rFonts w:ascii="Calibri" w:cs="Calibri" w:eastAsia="Calibri" w:hAnsi="Calibri"/>
          <w:b/>
          <w:bCs/>
          <w:color w:val="C05621"/>
          <w:sz w:val="21"/>
          <w:szCs w:val="21"/>
        </w:rPr>
        <w:t xml:space="preserve">Records management and retention</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Retention requirements gathered from the business</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Retention is a business obligation, not a technical parameter; it must be sourced from the accountable business owner.</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RM onboarding questionnaire drafted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questionnaire is the instrument that converts a business retention requirement into a configurable schedule.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RM review completed and approval secured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Records Management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RM approval gates the retention configuration.</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Implementation handed to the RM team</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Records Management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Configuration of retention schedules is an RM responsibility, not an engineering one.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Retention code and ten-year period configured for billing records</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Records Management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regulatory obligation is enforced by configuration, not by policy documentation.</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Regulatory write-once-read-many compliance enabled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Records Management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Required for the regulated repository path.</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Legal hold, audit and governance support confirmed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Records Management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Stated business outcomes that must be verifiable at go-live.</w:t>
            </w:r>
          </w:p>
        </w:tc>
      </w:tr>
    </w:tbl>
    <w:p>
      <w:pPr>
        <w:pStyle w:val="Heading4"/>
        <w:spacing w:after="100" w:before="200"/>
      </w:pPr>
      <w:r>
        <w:rPr>
          <w:rFonts w:ascii="Calibri" w:cs="Calibri" w:eastAsia="Calibri" w:hAnsi="Calibri"/>
          <w:b/>
          <w:bCs/>
          <w:color w:val="C05621"/>
          <w:sz w:val="21"/>
          <w:szCs w:val="21"/>
        </w:rPr>
        <w:t xml:space="preserve">Metadata, repository, search and viewing</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Metadata discovery workshops conducted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Architects with business users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Metadata determines what can be searched later; it cannot be retrofitted without reprocessing content.</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Search filters and retrieval requirements defined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Architects with business users</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Search and audit access are stated outcomes for both partner and internal users.</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Security keys, legal entity and RCC mappings identified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Architects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Mappings govern who can see what; they are a security control as much as a data design.</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Repository onboarding and metadata mapping completed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Repository configuration follows metadata design, not the other way round.</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Search and view APIs enabled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Exposes retrieval to AGRIA and internal users.</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Viewer integration evaluated and configured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 with partner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Viewing is a stated capability for both audiences.</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Access provided for business users, auditors and operational teams</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audit and governance outcomes depend on the right people having access.</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UI demonstration, user training and user manuals delivered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 with UI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Adoption depends on users being able to operate the interface; this is why the role owns it rather than engineering.</w:t>
            </w:r>
          </w:p>
        </w:tc>
      </w:tr>
    </w:tbl>
    <w:p>
      <w:pPr>
        <w:pStyle w:val="Heading4"/>
        <w:spacing w:after="100" w:before="200"/>
      </w:pPr>
      <w:r>
        <w:rPr>
          <w:rFonts w:ascii="Calibri" w:cs="Calibri" w:eastAsia="Calibri" w:hAnsi="Calibri"/>
          <w:b/>
          <w:bCs/>
          <w:color w:val="C05621"/>
          <w:sz w:val="21"/>
          <w:szCs w:val="21"/>
        </w:rPr>
        <w:t xml:space="preserve">Capacity engineering and load testing</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Migration, business-as-usual and peak volumes collected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three volume classes behave differently; migration in particular is a one-time peak that sizing must accommodate.</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Capacity planning completed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 with 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Capacity planning validates that the design holds at the stated volumes.</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Load-testing applicability determined from the volume profile</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Load testing is volume-driven, not universal; the determination avoids testing that is not warranted and avoids skipping testing that is.</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Load-testing assessment conducted and approvals obtained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SPLI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Approval is a gate on production progression where load testing applies.</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Capacity and load-testing tickets raised against the allocated delivery team</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These tickets belong to the allocated scrum team's own project, resolved from the intake — not to the intake project, and never guessed.</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Scalability validated for future growth</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Future scaling of the RIA and Independent Solutions businesses is a stated outcome.</w:t>
            </w:r>
          </w:p>
        </w:tc>
      </w:tr>
    </w:tbl>
    <w:p>
      <w:pPr>
        <w:pStyle w:val="Heading4"/>
        <w:spacing w:after="100" w:before="200"/>
      </w:pPr>
      <w:r>
        <w:rPr>
          <w:rFonts w:ascii="Calibri" w:cs="Calibri" w:eastAsia="Calibri" w:hAnsi="Calibri"/>
          <w:b/>
          <w:bCs/>
          <w:color w:val="C05621"/>
          <w:sz w:val="21"/>
          <w:szCs w:val="21"/>
        </w:rPr>
        <w:t xml:space="preserve">Testing and defect resolution</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Unit testing</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Catches component-level defects while the configuration is still cheap to change.</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Integration testing across partner system, gateway, ICMP, event framework, scanning and classification</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 with partner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This is where mismatched assumptions between independently configured systems surface.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End-to-end reconciliation testing across success and failure scenarios</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team with engineering</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Reconciliation is a stated outcome; failure-path behaviour must be proven, not assumed.</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User acceptance testing</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Business users with partner team</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Validates the solution against the business objectives stated at intake — the only test that closes that loop.</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Load testing where applicable</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SPLI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Catches the failure class that only appears at volume.</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Defect and conflict resolution across all cycles</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 with engineering and partner</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Resolution requires someone who can work across both sides and communicate the outcome — a stated responsibility of the role.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Production-readiness validation</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 with 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Final check before progression.</w:t>
            </w:r>
          </w:p>
        </w:tc>
      </w:tr>
    </w:tbl>
    <w:p>
      <w:pPr>
        <w:pStyle w:val="Heading4"/>
        <w:spacing w:after="100" w:before="200"/>
      </w:pPr>
      <w:r>
        <w:rPr>
          <w:rFonts w:ascii="Calibri" w:cs="Calibri" w:eastAsia="Calibri" w:hAnsi="Calibri"/>
          <w:b/>
          <w:bCs/>
          <w:color w:val="C05621"/>
          <w:sz w:val="21"/>
          <w:szCs w:val="21"/>
        </w:rPr>
        <w:t xml:space="preserve">Environment progression</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Progression through the fixed environment ladder</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 with 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ladder is fixed and no step is skipped; each environment validates something the previous one cannot.</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Environment-appropriate service accounts applied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Lower environments and production use different accounts; using the wrong one fails late and confusingly.</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Delivery team allocation confirmed as a precondition of full progression</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Enabling teams</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 partner with no allocated team is constrained to the first environment, which makes the stage 7 outcome a hard gate here.</w:t>
            </w:r>
          </w:p>
        </w:tc>
      </w:tr>
    </w:tbl>
    <w:p>
      <w:pPr>
        <w:pStyle w:val="Heading4"/>
        <w:spacing w:after="100" w:before="200"/>
      </w:pPr>
      <w:r>
        <w:rPr>
          <w:rFonts w:ascii="Calibri" w:cs="Calibri" w:eastAsia="Calibri" w:hAnsi="Calibri"/>
          <w:b/>
          <w:bCs/>
          <w:color w:val="C05621"/>
          <w:sz w:val="21"/>
          <w:szCs w:val="21"/>
        </w:rPr>
        <w:t xml:space="preserve">Documentation and operational readiness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Technical design documentation and technology notes produced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Architects with 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Design documentation is the basis of the support handover.</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User guides and operational runbooks produced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Runbooks are what allow Platform Support to operate a solution they did not build.</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Technical and business validation sign-offs completed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Sign-offs are the evidence that go-live approval rests on.</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Trackers maintained and current</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trackers are the audit trail for gateway and event configuration.</w:t>
            </w:r>
          </w:p>
        </w:tc>
      </w:tr>
    </w:tbl>
    <w:p>
      <w:pPr>
        <w:pStyle w:val="Heading3"/>
        <w:spacing w:after="120" w:before="240"/>
      </w:pPr>
      <w:r>
        <w:rPr>
          <w:rFonts w:ascii="Calibri" w:cs="Calibri" w:eastAsia="Calibri" w:hAnsi="Calibri"/>
          <w:b/>
          <w:bCs/>
          <w:color w:val="1B2432"/>
          <w:sz w:val="23"/>
          <w:szCs w:val="23"/>
        </w:rPr>
        <w:t xml:space="preserve">Stage 9 — Partner Live</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400"/>
        <w:gridCol w:w="2100"/>
        <w:gridCol w:w="3860"/>
      </w:tblGrid>
      <w:tr>
        <w:trPr>
          <w:tblHeader/>
        </w:trPr>
        <w:tc>
          <w:tcPr>
            <w:tcW w:type="dxa" w:w="3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Activity</w:t>
            </w:r>
          </w:p>
        </w:tc>
        <w:tc>
          <w:tcPr>
            <w:tcW w:type="dxa" w:w="21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Owner</w:t>
            </w:r>
          </w:p>
        </w:tc>
        <w:tc>
          <w:tcPr>
            <w:tcW w:type="dxa" w:w="38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Why here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Release Transition page created with group-specific application information</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This is the primary instrument transferring ownership from the project team to Platform Support, Delivery Management and Cloud and Hosting Engineering.</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Release Transition documentation finalised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Completeness matters more than length; gaps become support incidents.</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UAT sign-off confirmed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Confirms the solution meets the objectives stated at intake.</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Production-support readiness confirmed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 with Platform Support</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Support cannot accept a solution it is not ready to operate.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Deployed changes confirmed in the production-support handoff and Release Transition call</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Ensures nothing deployed is unknown to support.</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Go-live sign-offs obtained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Formal authorisation to deploy.</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Production deployment executed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Engineering with release management</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deployment itself.</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Release-night and implementation activities supported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Issues at release night need someone who knows the configuration; that is why the role stays engaged rather than handing over in advance.</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Deployment validation call attended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Production-specific failures are diagnosable in minutes by the people who built the configuration.</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Final production call verified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Confirms the solution is operating as expected in production.</w:t>
            </w:r>
          </w:p>
        </w:tc>
      </w:tr>
      <w:tr>
        <w:tc>
          <w:tcPr>
            <w:tcW w:type="dxa" w:w="3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Operational validation completed</w:t>
            </w:r>
          </w:p>
        </w:tc>
        <w:tc>
          <w:tcPr>
            <w:tcW w:type="dxa" w:w="21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Platform Support with partner team</w:t>
            </w:r>
          </w:p>
        </w:tc>
        <w:tc>
          <w:tcPr>
            <w:tcW w:type="dxa" w:w="38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Confirms support can observe and operate the solution.</w:t>
            </w:r>
          </w:p>
        </w:tc>
      </w:tr>
      <w:tr>
        <w:tc>
          <w:tcPr>
            <w:tcW w:type="dxa" w:w="3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Handover to Platform Support completed</w:t>
            </w:r>
          </w:p>
        </w:tc>
        <w:tc>
          <w:tcPr>
            <w:tcW w:type="dxa" w:w="21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Onboarding Resource</w:t>
            </w:r>
          </w:p>
        </w:tc>
        <w:tc>
          <w:tcPr>
            <w:tcW w:type="dxa" w:w="38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Closes the onboarding and transitions the effort into business-as-usual.</w:t>
            </w:r>
          </w:p>
        </w:tc>
      </w:tr>
    </w:tbl>
    <w:p>
      <w:pPr>
        <w:pStyle w:val="Heading2"/>
        <w:spacing w:after="160" w:before="300"/>
      </w:pPr>
      <w:r>
        <w:rPr>
          <w:rFonts w:ascii="Cambria" w:cs="Cambria" w:eastAsia="Cambria" w:hAnsi="Cambria"/>
          <w:b/>
          <w:bCs/>
          <w:color w:val="1E2761"/>
          <w:sz w:val="26"/>
          <w:szCs w:val="26"/>
        </w:rPr>
        <w:t xml:space="preserve">2.5 Success Criteria</w:t>
      </w:r>
    </w:p>
    <w:p>
      <w:pPr>
        <w:pStyle w:val="ListParagraph"/>
        <w:numPr>
          <w:ilvl w:val="0"/>
          <w:numId w:val="2"/>
        </w:numPr>
        <w:spacing w:after="70"/>
      </w:pPr>
      <w:r>
        <w:rPr>
          <w:rFonts w:ascii="Calibri" w:cs="Calibri" w:eastAsia="Calibri" w:hAnsi="Calibri"/>
          <w:color w:val="1B2432"/>
          <w:sz w:val="21"/>
          <w:szCs w:val="21"/>
        </w:rPr>
        <w:t xml:space="preserve">AGRIA successfully archives FinTech agreements through ICMP APIs.</w:t>
      </w:r>
    </w:p>
    <w:p>
      <w:pPr>
        <w:pStyle w:val="ListParagraph"/>
        <w:numPr>
          <w:ilvl w:val="0"/>
          <w:numId w:val="2"/>
        </w:numPr>
        <w:spacing w:after="70"/>
      </w:pPr>
      <w:r>
        <w:rPr>
          <w:rFonts w:ascii="Calibri" w:cs="Calibri" w:eastAsia="Calibri" w:hAnsi="Calibri"/>
          <w:color w:val="1B2432"/>
          <w:sz w:val="21"/>
          <w:szCs w:val="21"/>
        </w:rPr>
        <w:t xml:space="preserve">Event notifications enable successful reconciliation, including on failure paths.</w:t>
      </w:r>
    </w:p>
    <w:p>
      <w:pPr>
        <w:pStyle w:val="ListParagraph"/>
        <w:numPr>
          <w:ilvl w:val="0"/>
          <w:numId w:val="2"/>
        </w:numPr>
        <w:spacing w:after="70"/>
      </w:pPr>
      <w:r>
        <w:rPr>
          <w:rFonts w:ascii="Calibri" w:cs="Calibri" w:eastAsia="Calibri" w:hAnsi="Calibri"/>
          <w:color w:val="1B2432"/>
          <w:sz w:val="21"/>
          <w:szCs w:val="21"/>
        </w:rPr>
        <w:t xml:space="preserve">Untrusted content is classified through the AI classification and human-in-the-loop workflows.</w:t>
      </w:r>
    </w:p>
    <w:p>
      <w:pPr>
        <w:pStyle w:val="ListParagraph"/>
        <w:numPr>
          <w:ilvl w:val="0"/>
          <w:numId w:val="2"/>
        </w:numPr>
        <w:spacing w:after="70"/>
      </w:pPr>
      <w:r>
        <w:rPr>
          <w:rFonts w:ascii="Calibri" w:cs="Calibri" w:eastAsia="Calibri" w:hAnsi="Calibri"/>
          <w:color w:val="1B2432"/>
          <w:sz w:val="21"/>
          <w:szCs w:val="21"/>
        </w:rPr>
        <w:t xml:space="preserve">Trusted billing documents are archived under the document category, type and subtype allocated by Imaging Governance, and under the applicable compliance classification.</w:t>
      </w:r>
    </w:p>
    <w:p>
      <w:pPr>
        <w:pStyle w:val="ListParagraph"/>
        <w:numPr>
          <w:ilvl w:val="0"/>
          <w:numId w:val="2"/>
        </w:numPr>
        <w:spacing w:after="70"/>
      </w:pPr>
      <w:r>
        <w:rPr>
          <w:rFonts w:ascii="Calibri" w:cs="Calibri" w:eastAsia="Calibri" w:hAnsi="Calibri"/>
          <w:color w:val="1B2432"/>
          <w:sz w:val="21"/>
          <w:szCs w:val="21"/>
        </w:rPr>
        <w:t xml:space="preserve">Regulatory retention requirements are enforced by configuration.</w:t>
      </w:r>
    </w:p>
    <w:p>
      <w:pPr>
        <w:pStyle w:val="ListParagraph"/>
        <w:numPr>
          <w:ilvl w:val="0"/>
          <w:numId w:val="2"/>
        </w:numPr>
        <w:spacing w:after="70"/>
      </w:pPr>
      <w:r>
        <w:rPr>
          <w:rFonts w:ascii="Calibri" w:cs="Calibri" w:eastAsia="Calibri" w:hAnsi="Calibri"/>
          <w:color w:val="1B2432"/>
          <w:sz w:val="21"/>
          <w:szCs w:val="21"/>
        </w:rPr>
        <w:t xml:space="preserve">Documents are searchable, retrievable and viewable through approved channels by both partner and internal users.</w:t>
      </w:r>
    </w:p>
    <w:p>
      <w:pPr>
        <w:pStyle w:val="ListParagraph"/>
        <w:numPr>
          <w:ilvl w:val="0"/>
          <w:numId w:val="2"/>
        </w:numPr>
        <w:spacing w:after="70"/>
      </w:pPr>
      <w:r>
        <w:rPr>
          <w:rFonts w:ascii="Calibri" w:cs="Calibri" w:eastAsia="Calibri" w:hAnsi="Calibri"/>
          <w:color w:val="1B2432"/>
          <w:sz w:val="21"/>
          <w:szCs w:val="21"/>
        </w:rPr>
        <w:t xml:space="preserve">Manual email-based upload processes are eliminated.</w:t>
      </w:r>
    </w:p>
    <w:p>
      <w:pPr>
        <w:pStyle w:val="ListParagraph"/>
        <w:numPr>
          <w:ilvl w:val="0"/>
          <w:numId w:val="2"/>
        </w:numPr>
        <w:spacing w:after="70"/>
      </w:pPr>
      <w:r>
        <w:rPr>
          <w:rFonts w:ascii="Calibri" w:cs="Calibri" w:eastAsia="Calibri" w:hAnsi="Calibri"/>
          <w:color w:val="1B2432"/>
          <w:sz w:val="21"/>
          <w:szCs w:val="21"/>
        </w:rPr>
        <w:t xml:space="preserve">The platform scales to support future growth of the RIA and Independent Solutions businesses.</w:t>
      </w:r>
    </w:p>
    <w:p>
      <w:pPr>
        <w:pStyle w:val="Heading2"/>
        <w:spacing w:after="160" w:before="300"/>
      </w:pPr>
      <w:r>
        <w:rPr>
          <w:rFonts w:ascii="Cambria" w:cs="Cambria" w:eastAsia="Cambria" w:hAnsi="Cambria"/>
          <w:b/>
          <w:bCs/>
          <w:color w:val="1E2761"/>
          <w:sz w:val="26"/>
          <w:szCs w:val="26"/>
        </w:rPr>
        <w:t xml:space="preserve">2.6 What This Use Case Demonstrates</w:t>
      </w:r>
    </w:p>
    <w:p>
      <w:pPr>
        <w:spacing w:after="120" w:before="0"/>
      </w:pPr>
      <w:r>
        <w:rPr>
          <w:rFonts w:ascii="Calibri" w:cs="Calibri" w:eastAsia="Calibri" w:hAnsi="Calibri"/>
          <w:b w:val="false"/>
          <w:bCs w:val="false"/>
          <w:i w:val="false"/>
          <w:iCs w:val="false"/>
          <w:color w:val="1B2432"/>
          <w:sz w:val="21"/>
          <w:szCs w:val="21"/>
        </w:rPr>
        <w:t xml:space="preserve">A single onboarding for one partner application touches nine stages, ten parallel workstreams, five team groups, and roughly a dozen distinct systems. Every routing rule, approval path, and artefact described in Part 1 is exercised at least once.</w:t>
      </w:r>
    </w:p>
    <w:p>
      <w:pPr>
        <w:spacing w:after="120" w:before="0"/>
      </w:pPr>
      <w:r>
        <w:rPr>
          <w:rFonts w:ascii="Calibri" w:cs="Calibri" w:eastAsia="Calibri" w:hAnsi="Calibri"/>
          <w:b w:val="false"/>
          <w:bCs w:val="false"/>
          <w:i w:val="false"/>
          <w:iCs w:val="false"/>
          <w:color w:val="1B2432"/>
          <w:sz w:val="21"/>
          <w:szCs w:val="21"/>
        </w:rPr>
        <w:t xml:space="preserve">Two observations follow from that, and both matter for Part 3.</w:t>
      </w:r>
    </w:p>
    <w:p>
      <w:pPr>
        <w:pStyle w:val="ListParagraph"/>
        <w:numPr>
          <w:ilvl w:val="0"/>
          <w:numId w:val="2"/>
        </w:numPr>
        <w:spacing w:after="70"/>
      </w:pPr>
      <w:r>
        <w:rPr>
          <w:rFonts w:ascii="Calibri" w:cs="Calibri" w:eastAsia="Calibri" w:hAnsi="Calibri"/>
          <w:b/>
          <w:bCs/>
          <w:i w:val="false"/>
          <w:iCs w:val="false"/>
          <w:color w:val="1B2432"/>
          <w:sz w:val="21"/>
          <w:szCs w:val="21"/>
        </w:rPr>
        <w:t xml:space="preserve">The work is highly structured but not automated. </w:t>
      </w:r>
      <w:r>
        <w:rPr>
          <w:rFonts w:ascii="Calibri" w:cs="Calibri" w:eastAsia="Calibri" w:hAnsi="Calibri"/>
          <w:b w:val="false"/>
          <w:bCs w:val="false"/>
          <w:i w:val="false"/>
          <w:iCs w:val="false"/>
          <w:color w:val="1B2432"/>
          <w:sz w:val="21"/>
          <w:szCs w:val="21"/>
        </w:rPr>
        <w:t xml:space="preserve">Almost every activity in this use case follows a rule that can be written down — which access route applies to which request type, which project a ticket belongs to, which profile a document path requires, whether load testing is warranted at a given volume. The rules exist and are known. They are simply applied by people, from memory, one onboarding at a time.</w:t>
      </w:r>
    </w:p>
    <w:p>
      <w:pPr>
        <w:pStyle w:val="ListParagraph"/>
        <w:numPr>
          <w:ilvl w:val="0"/>
          <w:numId w:val="2"/>
        </w:numPr>
        <w:spacing w:after="70"/>
      </w:pPr>
      <w:r>
        <w:rPr>
          <w:rFonts w:ascii="Calibri" w:cs="Calibri" w:eastAsia="Calibri" w:hAnsi="Calibri"/>
          <w:b/>
          <w:bCs/>
          <w:i w:val="false"/>
          <w:iCs w:val="false"/>
          <w:color w:val="1B2432"/>
          <w:sz w:val="21"/>
          <w:szCs w:val="21"/>
        </w:rPr>
        <w:t xml:space="preserve">A small number of genuine decisions sit inside the procedure. </w:t>
      </w:r>
      <w:r>
        <w:rPr>
          <w:rFonts w:ascii="Calibri" w:cs="Calibri" w:eastAsia="Calibri" w:hAnsi="Calibri"/>
          <w:b w:val="false"/>
          <w:bCs w:val="false"/>
          <w:i w:val="false"/>
          <w:iCs w:val="false"/>
          <w:color w:val="1B2432"/>
          <w:sz w:val="21"/>
          <w:szCs w:val="21"/>
        </w:rPr>
        <w:t xml:space="preserve">The Imaging Governance determination is not a rule that can be looked up — it requires a team to view the documents on the flow and decide. Distinguishing the decisions from the procedure matters, because the procedure around a decision can be prepared, tracked and carried forward even where the decision itself cannot be automated.</w:t>
      </w:r>
    </w:p>
    <w:p>
      <w:pPr>
        <w:pStyle w:val="ListParagraph"/>
        <w:numPr>
          <w:ilvl w:val="0"/>
          <w:numId w:val="2"/>
        </w:numPr>
        <w:spacing w:after="70"/>
      </w:pPr>
      <w:r>
        <w:rPr>
          <w:rFonts w:ascii="Calibri" w:cs="Calibri" w:eastAsia="Calibri" w:hAnsi="Calibri"/>
          <w:b/>
          <w:bCs/>
          <w:i w:val="false"/>
          <w:iCs w:val="false"/>
          <w:color w:val="1B2432"/>
          <w:sz w:val="21"/>
          <w:szCs w:val="21"/>
        </w:rPr>
        <w:t xml:space="preserve">The variability is in the content, not the shape. </w:t>
      </w:r>
      <w:r>
        <w:rPr>
          <w:rFonts w:ascii="Calibri" w:cs="Calibri" w:eastAsia="Calibri" w:hAnsi="Calibri"/>
          <w:b w:val="false"/>
          <w:bCs w:val="false"/>
          <w:i w:val="false"/>
          <w:iCs w:val="false"/>
          <w:color w:val="1B2432"/>
          <w:sz w:val="21"/>
          <w:szCs w:val="21"/>
        </w:rPr>
        <w:t xml:space="preserve">The next partner onboarding will differ in document types, volumes, retention codes and business objectives. It will not differ in the sequence of stages, the workstreams, the artefacts, or the routing rules. That is precisely the profile of a process that benefits from agent-assisted execution: stable procedure, variable input.</w:t>
      </w:r>
    </w:p>
    <w:p>
      <w:r>
        <w:br w:type="page"/>
      </w:r>
    </w:p>
    <w:p>
      <w:pPr>
        <w:pStyle w:val="Heading1"/>
        <w:spacing w:after="200" w:before="360"/>
      </w:pPr>
      <w:r>
        <w:rPr>
          <w:rFonts w:ascii="Cambria" w:cs="Cambria" w:eastAsia="Cambria" w:hAnsi="Cambria"/>
          <w:b/>
          <w:bCs/>
          <w:color w:val="1E2761"/>
          <w:sz w:val="32"/>
          <w:szCs w:val="32"/>
        </w:rPr>
        <w:t xml:space="preserve">Part 3 — Target State: Onboard360AI on iDocs Canvas</w:t>
      </w:r>
    </w:p>
    <w:p>
      <w:pPr>
        <w:spacing w:after="120" w:before="0"/>
      </w:pPr>
      <w:r>
        <w:rPr>
          <w:rFonts w:ascii="Calibri" w:cs="Calibri" w:eastAsia="Calibri" w:hAnsi="Calibri"/>
          <w:b w:val="false"/>
          <w:bCs w:val="false"/>
          <w:i w:val="false"/>
          <w:iCs w:val="false"/>
          <w:color w:val="1B2432"/>
          <w:sz w:val="21"/>
          <w:szCs w:val="21"/>
        </w:rPr>
        <w:t xml:space="preserve">Parts 1 and 2 established that partner onboarding is a stable procedure applied to variable input, coordinated end to end by a single human role. This part sets out how that procedure is encoded as an agent-assisted capability on iDocs Canvas, what components are required, and which skills each type of user draws on.</w:t>
      </w:r>
    </w:p>
    <w:p>
      <w:pPr>
        <w:pStyle w:val="Heading2"/>
        <w:spacing w:after="160" w:before="300"/>
      </w:pPr>
      <w:r>
        <w:rPr>
          <w:rFonts w:ascii="Cambria" w:cs="Cambria" w:eastAsia="Cambria" w:hAnsi="Cambria"/>
          <w:b/>
          <w:bCs/>
          <w:color w:val="1E2761"/>
          <w:sz w:val="26"/>
          <w:szCs w:val="26"/>
        </w:rPr>
        <w:t xml:space="preserve">3.1 Platform Context</w:t>
      </w:r>
    </w:p>
    <w:p>
      <w:pPr>
        <w:spacing w:after="120" w:before="0"/>
      </w:pPr>
      <w:r>
        <w:rPr>
          <w:rFonts w:ascii="Calibri" w:cs="Calibri" w:eastAsia="Calibri" w:hAnsi="Calibri"/>
          <w:b w:val="false"/>
          <w:bCs w:val="false"/>
          <w:i w:val="false"/>
          <w:iCs w:val="false"/>
          <w:color w:val="1B2432"/>
          <w:sz w:val="21"/>
          <w:szCs w:val="21"/>
        </w:rPr>
        <w:t xml:space="preserve">iDocs Canvas is the enterprise document intelligence platform. It is built on the Tachyon SDK, which provides config-driven runtime composition — agents and their capabilities are assembled from configuration at runtime rather than hard-coded — together with support for local tools and MCP-based tools, and pre-condition and post-condition contracts on every invocation.</w:t>
      </w:r>
    </w:p>
    <w:p>
      <w:pPr>
        <w:spacing w:after="120" w:before="0"/>
      </w:pPr>
      <w:r>
        <w:rPr>
          <w:rFonts w:ascii="Calibri" w:cs="Calibri" w:eastAsia="Calibri" w:hAnsi="Calibri"/>
          <w:b w:val="false"/>
          <w:bCs w:val="false"/>
          <w:i w:val="false"/>
          <w:iCs w:val="false"/>
          <w:color w:val="1B2432"/>
          <w:sz w:val="21"/>
          <w:szCs w:val="21"/>
        </w:rPr>
        <w:t xml:space="preserve">The platform already carries a Platform Specialist Agent. Onboard360AI is introduced as an orchestrating sub-agent beneath it.</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600"/>
        <w:gridCol w:w="6760"/>
      </w:tblGrid>
      <w:tr>
        <w:trPr>
          <w:tblHeader/>
        </w:trPr>
        <w:tc>
          <w:tcPr>
            <w:tcW w:type="dxa" w:w="2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Layer</w:t>
            </w:r>
          </w:p>
        </w:tc>
        <w:tc>
          <w:tcPr>
            <w:tcW w:type="dxa" w:w="67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Role</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iDocs Canvas</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Enterprise document intelligence platform. Provides the runtime, the tool surface, the conversational interface, and the governance controls.</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Tachyon SDK</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Config-driven runtime composition; local and MCP tool integration; pre and post contracts on invocation.</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Platform Specialist Agent</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Existing agent. Owns platform-level assistance across iDocs Canvas capabilities.</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Onboard360AI — Master Onboarding Agent</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New orchestrating sub-agent. Owns the partner onboarding journey end to end, routes to specialised sub-agents, and maintains onboarding state across stages.</w:t>
            </w:r>
          </w:p>
        </w:tc>
      </w:tr>
      <w:tr>
        <w:tc>
          <w:tcPr>
            <w:tcW w:type="dxa" w:w="26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Sub-agents</w:t>
            </w:r>
          </w:p>
        </w:tc>
        <w:tc>
          <w:tcPr>
            <w:tcW w:type="dxa" w:w="67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Goal-bearing components. Each owns an outcome within the onboarding journey and may invoke multiple skills.</w:t>
            </w:r>
          </w:p>
        </w:tc>
      </w:tr>
      <w:tr>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Skills</w:t>
            </w:r>
          </w:p>
        </w:tc>
        <w:tc>
          <w:tcPr>
            <w:tcW w:type="dxa" w:w="67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Knowledge and procedure components. Each encodes a single procedure, rule set, or knowledge domain and returns a result.</w:t>
            </w:r>
          </w:p>
        </w:tc>
      </w:tr>
    </w:tbl>
    <w:p>
      <w:pPr>
        <w:spacing w:after="120"/>
      </w:pPr>
      <w:r>
        <w:t xml:space="preserve"/>
      </w:r>
    </w:p>
    <w:p>
      <w:pPr>
        <w:pStyle w:val="Heading2"/>
        <w:spacing w:after="160" w:before="300"/>
      </w:pPr>
      <w:r>
        <w:rPr>
          <w:rFonts w:ascii="Cambria" w:cs="Cambria" w:eastAsia="Cambria" w:hAnsi="Cambria"/>
          <w:b/>
          <w:bCs/>
          <w:color w:val="1E2761"/>
          <w:sz w:val="26"/>
          <w:szCs w:val="26"/>
        </w:rPr>
        <w:t xml:space="preserve">3.2 The Governing Design Rule</w:t>
      </w:r>
    </w:p>
    <w:tbl>
      <w:tblPr>
        <w:tblW w:type="dxa" w:w="9360"/>
        <w:tblBorders>
          <w:top w:val="single" w:color="C05621" w:sz="6"/>
          <w:left w:val="single" w:color="C05621" w:sz="6"/>
          <w:bottom w:val="single" w:color="C05621" w:sz="6"/>
          <w:right w:val="single" w:color="C05621" w:sz="6"/>
          <w:insideH w:val="none"/>
          <w:insideV w:val="none"/>
        </w:tblBorders>
      </w:tblPr>
      <w:tblGrid>
        <w:gridCol w:w="9360"/>
      </w:tblGrid>
      <w:tr>
        <w:tc>
          <w:tcPr>
            <w:tcW w:type="dxa" w:w="9360"/>
            <w:shd w:fill="FDF6F1" w:color="auto" w:val="clear"/>
            <w:tcMar>
              <w:top w:type="dxa" w:w="140"/>
              <w:left w:type="dxa" w:w="160"/>
              <w:bottom w:type="dxa" w:w="140"/>
              <w:right w:type="dxa" w:w="160"/>
            </w:tcMar>
          </w:tcPr>
          <w:p>
            <w:pPr>
              <w:spacing w:after="80"/>
            </w:pPr>
            <w:r>
              <w:rPr>
                <w:rFonts w:ascii="Calibri" w:cs="Calibri" w:eastAsia="Calibri" w:hAnsi="Calibri"/>
                <w:b/>
                <w:bCs/>
                <w:color w:val="C05621"/>
                <w:sz w:val="20"/>
                <w:szCs w:val="20"/>
              </w:rPr>
              <w:t xml:space="preserve">SUB-AGENT OR SKILL — THE TEST</w:t>
            </w:r>
          </w:p>
          <w:p>
            <w:pPr>
              <w:spacing w:after="60"/>
            </w:pPr>
            <w:r>
              <w:rPr>
                <w:rFonts w:ascii="Calibri" w:cs="Calibri" w:eastAsia="Calibri" w:hAnsi="Calibri"/>
                <w:color w:val="1B2432"/>
                <w:sz w:val="20"/>
                <w:szCs w:val="20"/>
              </w:rPr>
              <w:t xml:space="preserve">Goal-bearing components are sub-agents. If the component owns an outcome, has to decide between courses of action, and may need several steps and several tools to get there, it is a sub-agent.</w:t>
            </w:r>
          </w:p>
          <w:p>
            <w:pPr>
              <w:spacing w:after="60"/>
            </w:pPr>
            <w:r>
              <w:rPr>
                <w:rFonts w:ascii="Calibri" w:cs="Calibri" w:eastAsia="Calibri" w:hAnsi="Calibri"/>
                <w:color w:val="1B2432"/>
                <w:sz w:val="20"/>
                <w:szCs w:val="20"/>
              </w:rPr>
              <w:t xml:space="preserve">Knowledge and procedure components are skills. If the component encodes a procedure, a rule set, a template, or a body of domain knowledge and returns a result without owning an outcome, it is a skill.</w:t>
            </w:r>
          </w:p>
          <w:p>
            <w:pPr>
              <w:spacing w:after="60"/>
            </w:pPr>
            <w:r>
              <w:rPr>
                <w:rFonts w:ascii="Calibri" w:cs="Calibri" w:eastAsia="Calibri" w:hAnsi="Calibri"/>
                <w:color w:val="1B2432"/>
                <w:sz w:val="20"/>
                <w:szCs w:val="20"/>
              </w:rPr>
              <w:t xml:space="preserve">Applied here: 'get this partner through foundational setup' is a goal, so it is a sub-agent. 'Determine which access route applies to this request type' is a rule, so it is a skill.</w:t>
            </w:r>
          </w:p>
        </w:tc>
      </w:tr>
    </w:tbl>
    <w:p>
      <w:pPr>
        <w:spacing w:after="120" w:before="0"/>
      </w:pPr>
      <w:r>
        <w:rPr>
          <w:rFonts w:ascii="Calibri" w:cs="Calibri" w:eastAsia="Calibri" w:hAnsi="Calibri"/>
          <w:b w:val="false"/>
          <w:bCs w:val="false"/>
          <w:i w:val="false"/>
          <w:iCs w:val="false"/>
          <w:color w:val="1B2432"/>
          <w:sz w:val="21"/>
          <w:szCs w:val="21"/>
        </w:rPr>
        <w:t xml:space="preserve">The practical consequence of the rule is that skills are small, testable, reusable across sub-agents, and independently versionable. A rule such as access routing is written once and invoked by every sub-agent that needs it, rather than being restated in each.</w:t>
      </w:r>
    </w:p>
    <w:p>
      <w:pPr>
        <w:pStyle w:val="Heading2"/>
        <w:spacing w:after="160" w:before="300"/>
      </w:pPr>
      <w:r>
        <w:rPr>
          <w:rFonts w:ascii="Cambria" w:cs="Cambria" w:eastAsia="Cambria" w:hAnsi="Cambria"/>
          <w:b/>
          <w:bCs/>
          <w:color w:val="1E2761"/>
          <w:sz w:val="26"/>
          <w:szCs w:val="26"/>
        </w:rPr>
        <w:t xml:space="preserve">3.3 Integration Maturity — Three Phases</w:t>
      </w:r>
    </w:p>
    <w:p>
      <w:pPr>
        <w:spacing w:after="120" w:before="0"/>
      </w:pPr>
      <w:r>
        <w:rPr>
          <w:rFonts w:ascii="Calibri" w:cs="Calibri" w:eastAsia="Calibri" w:hAnsi="Calibri"/>
          <w:b w:val="false"/>
          <w:bCs w:val="false"/>
          <w:i w:val="false"/>
          <w:iCs w:val="false"/>
          <w:color w:val="1B2432"/>
          <w:sz w:val="21"/>
          <w:szCs w:val="21"/>
        </w:rPr>
        <w:t xml:space="preserve">Not every system in the onboarding landscape can be integrated at once, and pretending otherwise produces agents that promise more than they deliver. Every skill and sub-agent is therefore built against a declared integration phase.</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400"/>
        <w:gridCol w:w="2600"/>
        <w:gridCol w:w="5360"/>
      </w:tblGrid>
      <w:tr>
        <w:trPr>
          <w:tblHeader/>
        </w:trPr>
        <w:tc>
          <w:tcPr>
            <w:tcW w:type="dxa" w:w="1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c>
          <w:tcPr>
            <w:tcW w:type="dxa" w:w="26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Integration level</w:t>
            </w:r>
          </w:p>
        </w:tc>
        <w:tc>
          <w:tcPr>
            <w:tcW w:type="dxa" w:w="53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the agent can do</w:t>
            </w:r>
          </w:p>
        </w:tc>
      </w:tr>
      <w:tr>
        <w:tc>
          <w:tcPr>
            <w:tcW w:type="dxa" w:w="1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P1</w:t>
            </w:r>
          </w:p>
        </w:tc>
        <w:tc>
          <w:tcPr>
            <w:tcW w:type="dxa" w:w="2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Link</w:t>
            </w:r>
          </w:p>
        </w:tc>
        <w:tc>
          <w:tcPr>
            <w:tcW w:type="dxa" w:w="53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Points the user to the authoritative Confluence or knowledge base page. The agent knows where the procedure is documented but does not read it.</w:t>
            </w:r>
          </w:p>
        </w:tc>
      </w:tr>
      <w:tr>
        <w:tc>
          <w:tcPr>
            <w:tcW w:type="dxa" w:w="1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P2</w:t>
            </w:r>
          </w:p>
        </w:tc>
        <w:tc>
          <w:tcPr>
            <w:tcW w:type="dxa" w:w="26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Read and guide</w:t>
            </w:r>
          </w:p>
        </w:tc>
        <w:tc>
          <w:tcPr>
            <w:tcW w:type="dxa" w:w="53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Reads the authoritative pages and guides the user through the procedure step by step, answering questions against the source content. No system is written to.</w:t>
            </w:r>
          </w:p>
        </w:tc>
      </w:tr>
      <w:tr>
        <w:tc>
          <w:tcPr>
            <w:tcW w:type="dxa" w:w="1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P3</w:t>
            </w:r>
          </w:p>
        </w:tc>
        <w:tc>
          <w:tcPr>
            <w:tcW w:type="dxa" w:w="26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Direct integration</w:t>
            </w:r>
          </w:p>
        </w:tc>
        <w:tc>
          <w:tcPr>
            <w:tcW w:type="dxa" w:w="53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Calls the target system directly through MCP or API. Retrieves live state and, where authorised, performs the action.</w:t>
            </w:r>
          </w:p>
        </w:tc>
      </w:tr>
    </w:tbl>
    <w:p>
      <w:pPr>
        <w:spacing w:after="120"/>
      </w:pPr>
      <w:r>
        <w:t xml:space="preserve"/>
      </w:r>
    </w:p>
    <w:p>
      <w:pPr>
        <w:pStyle w:val="Heading3"/>
        <w:spacing w:after="120" w:before="240"/>
      </w:pPr>
      <w:r>
        <w:rPr>
          <w:rFonts w:ascii="Calibri" w:cs="Calibri" w:eastAsia="Calibri" w:hAnsi="Calibri"/>
          <w:b/>
          <w:bCs/>
          <w:color w:val="1B2432"/>
          <w:sz w:val="23"/>
          <w:szCs w:val="23"/>
        </w:rPr>
        <w:t xml:space="preserve">The runtime disclosure rule</w:t>
      </w:r>
    </w:p>
    <w:p>
      <w:pPr>
        <w:spacing w:after="120" w:before="0"/>
      </w:pPr>
      <w:r>
        <w:rPr>
          <w:rFonts w:ascii="Calibri" w:cs="Calibri" w:eastAsia="Calibri" w:hAnsi="Calibri"/>
          <w:b w:val="false"/>
          <w:bCs w:val="false"/>
          <w:i w:val="false"/>
          <w:iCs w:val="false"/>
          <w:color w:val="1B2432"/>
          <w:sz w:val="21"/>
          <w:szCs w:val="21"/>
        </w:rPr>
        <w:t xml:space="preserve">Every agent and skill must state, in its opening message, what is integrated today and what the next phase will add. This is not a courtesy — it is what prevents a user assuming an action was performed when the agent only described it. An agent operating at P2 must say so before it starts guiding, so that the user knows they are the one who will click the button.</w:t>
      </w:r>
    </w:p>
    <w:p>
      <w:pPr>
        <w:pStyle w:val="Heading2"/>
        <w:spacing w:after="160" w:before="300"/>
      </w:pPr>
      <w:r>
        <w:rPr>
          <w:rFonts w:ascii="Cambria" w:cs="Cambria" w:eastAsia="Cambria" w:hAnsi="Cambria"/>
          <w:b/>
          <w:bCs/>
          <w:color w:val="1E2761"/>
          <w:sz w:val="26"/>
          <w:szCs w:val="26"/>
        </w:rPr>
        <w:t xml:space="preserve">3.4 Sub-Agent Roster</w:t>
      </w:r>
    </w:p>
    <w:p>
      <w:pPr>
        <w:spacing w:after="120" w:before="0"/>
      </w:pPr>
      <w:r>
        <w:rPr>
          <w:rFonts w:ascii="Calibri" w:cs="Calibri" w:eastAsia="Calibri" w:hAnsi="Calibri"/>
          <w:b w:val="false"/>
          <w:bCs w:val="false"/>
          <w:i w:val="false"/>
          <w:iCs w:val="false"/>
          <w:color w:val="1B2432"/>
          <w:sz w:val="21"/>
          <w:szCs w:val="21"/>
        </w:rPr>
        <w:t xml:space="preserve">The MVP1 build establishes eight sub-agents. Extending Onboard360AI to cover the full intake-to-go-live flow described in Part 1 requires a further eleven. The full roster is set out below, mapped to the stages each serves.</w:t>
      </w:r>
    </w:p>
    <w:p>
      <w:pPr>
        <w:pStyle w:val="Heading3"/>
        <w:spacing w:after="120" w:before="240"/>
      </w:pPr>
      <w:r>
        <w:rPr>
          <w:rFonts w:ascii="Calibri" w:cs="Calibri" w:eastAsia="Calibri" w:hAnsi="Calibri"/>
          <w:b/>
          <w:bCs/>
          <w:color w:val="1B2432"/>
          <w:sz w:val="23"/>
          <w:szCs w:val="23"/>
        </w:rPr>
        <w:t xml:space="preserve">MVP1 baseline sub-agents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900"/>
        <w:gridCol w:w="1400"/>
        <w:gridCol w:w="5060"/>
      </w:tblGrid>
      <w:tr>
        <w:trPr>
          <w:tblHeader/>
        </w:trPr>
        <w:tc>
          <w:tcPr>
            <w:tcW w:type="dxa" w:w="29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Sub-agent</w:t>
            </w:r>
          </w:p>
        </w:tc>
        <w:tc>
          <w:tcPr>
            <w:tcW w:type="dxa" w:w="1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Stages</w:t>
            </w:r>
          </w:p>
        </w:tc>
        <w:tc>
          <w:tcPr>
            <w:tcW w:type="dxa" w:w="50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Goal it owns</w:t>
            </w:r>
          </w:p>
        </w:tc>
      </w:tr>
      <w:tr>
        <w:tc>
          <w:tcPr>
            <w:tcW w:type="dxa" w:w="2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POC Assistance</w:t>
            </w:r>
          </w:p>
        </w:tc>
        <w:tc>
          <w:tcPr>
            <w:tcW w:type="dxa" w:w="1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1, 4</w:t>
            </w:r>
          </w:p>
        </w:tc>
        <w:tc>
          <w:tcPr>
            <w:tcW w:type="dxa" w:w="50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Get a prospective partner from initial interest to a working proof of concept, drawing on knowledge base content, application registration, certificates, access tooling, identity management, local tools, platform APIs and the gateway.</w:t>
            </w:r>
          </w:p>
        </w:tc>
      </w:tr>
      <w:tr>
        <w:tc>
          <w:tcPr>
            <w:tcW w:type="dxa" w:w="2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Intake Verification</w:t>
            </w:r>
          </w:p>
        </w:tc>
        <w:tc>
          <w:tcPr>
            <w:tcW w:type="dxa" w:w="1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2</w:t>
            </w:r>
          </w:p>
        </w:tc>
        <w:tc>
          <w:tcPr>
            <w:tcW w:type="dxa" w:w="50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Establish that an intake is complete, accurate and ready to advance, and place it in the correct triage state.</w:t>
            </w:r>
          </w:p>
        </w:tc>
      </w:tr>
      <w:tr>
        <w:tc>
          <w:tcPr>
            <w:tcW w:type="dxa" w:w="2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Foundational Setup</w:t>
            </w:r>
          </w:p>
        </w:tc>
        <w:tc>
          <w:tcPr>
            <w:tcW w:type="dxa" w:w="1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8</w:t>
            </w:r>
          </w:p>
        </w:tc>
        <w:tc>
          <w:tcPr>
            <w:tcW w:type="dxa" w:w="50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Get the partner from zero to a working, credentialled, connected application identity across the required environments.</w:t>
            </w:r>
          </w:p>
        </w:tc>
      </w:tr>
      <w:tr>
        <w:tc>
          <w:tcPr>
            <w:tcW w:type="dxa" w:w="2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Volume Assessment</w:t>
            </w:r>
          </w:p>
        </w:tc>
        <w:tc>
          <w:tcPr>
            <w:tcW w:type="dxa" w:w="1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4, 7, 8</w:t>
            </w:r>
          </w:p>
        </w:tc>
        <w:tc>
          <w:tcPr>
            <w:tcW w:type="dxa" w:w="50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Establish the partner's migration, business-as-usual and peak volume profile using the volume assessment service, and produce a capacity position from it.</w:t>
            </w:r>
          </w:p>
        </w:tc>
      </w:tr>
      <w:tr>
        <w:tc>
          <w:tcPr>
            <w:tcW w:type="dxa" w:w="2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Load Testing</w:t>
            </w:r>
          </w:p>
        </w:tc>
        <w:tc>
          <w:tcPr>
            <w:tcW w:type="dxa" w:w="1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8</w:t>
            </w:r>
          </w:p>
        </w:tc>
        <w:tc>
          <w:tcPr>
            <w:tcW w:type="dxa" w:w="50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Determine whether load testing applies, run the engagement, and obtain the approvals it gates.</w:t>
            </w:r>
          </w:p>
        </w:tc>
      </w:tr>
      <w:tr>
        <w:tc>
          <w:tcPr>
            <w:tcW w:type="dxa" w:w="2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Apigee Subscription</w:t>
            </w:r>
          </w:p>
        </w:tc>
        <w:tc>
          <w:tcPr>
            <w:tcW w:type="dxa" w:w="1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8</w:t>
            </w:r>
          </w:p>
        </w:tc>
        <w:tc>
          <w:tcPr>
            <w:tcW w:type="dxa" w:w="50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Get the partner application onboarded to the marketplace and subscribed to the correct API products, with approvals obtained.</w:t>
            </w:r>
          </w:p>
        </w:tc>
      </w:tr>
      <w:tr>
        <w:tc>
          <w:tcPr>
            <w:tcW w:type="dxa" w:w="2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Postman Collection Generation</w:t>
            </w:r>
          </w:p>
        </w:tc>
        <w:tc>
          <w:tcPr>
            <w:tcW w:type="dxa" w:w="1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8</w:t>
            </w:r>
          </w:p>
        </w:tc>
        <w:tc>
          <w:tcPr>
            <w:tcW w:type="dxa" w:w="50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Produce a working, partner-specific API collection so the partner can call ICMP services without hand-building requests.</w:t>
            </w:r>
          </w:p>
        </w:tc>
      </w:tr>
      <w:tr>
        <w:tc>
          <w:tcPr>
            <w:tcW w:type="dxa" w:w="2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Environment Progression</w:t>
            </w:r>
          </w:p>
        </w:tc>
        <w:tc>
          <w:tcPr>
            <w:tcW w:type="dxa" w:w="1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8</w:t>
            </w:r>
          </w:p>
        </w:tc>
        <w:tc>
          <w:tcPr>
            <w:tcW w:type="dxa" w:w="50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Move the partner through the fixed environment ladder, enforcing the gates at each step.</w:t>
            </w:r>
          </w:p>
        </w:tc>
      </w:tr>
    </w:tbl>
    <w:p>
      <w:pPr>
        <w:spacing w:after="120"/>
      </w:pPr>
      <w:r>
        <w:t xml:space="preserve"/>
      </w:r>
    </w:p>
    <w:p>
      <w:pPr>
        <w:pStyle w:val="Heading3"/>
        <w:spacing w:after="120" w:before="240"/>
      </w:pPr>
      <w:r>
        <w:rPr>
          <w:rFonts w:ascii="Calibri" w:cs="Calibri" w:eastAsia="Calibri" w:hAnsi="Calibri"/>
          <w:b/>
          <w:bCs/>
          <w:color w:val="1B2432"/>
          <w:sz w:val="23"/>
          <w:szCs w:val="23"/>
        </w:rPr>
        <w:t xml:space="preserve">Extension sub-agents for full lifecycle coverage</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900"/>
        <w:gridCol w:w="1400"/>
        <w:gridCol w:w="5060"/>
      </w:tblGrid>
      <w:tr>
        <w:trPr>
          <w:tblHeader/>
        </w:trPr>
        <w:tc>
          <w:tcPr>
            <w:tcW w:type="dxa" w:w="29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Sub-agent</w:t>
            </w:r>
          </w:p>
        </w:tc>
        <w:tc>
          <w:tcPr>
            <w:tcW w:type="dxa" w:w="1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Stages</w:t>
            </w:r>
          </w:p>
        </w:tc>
        <w:tc>
          <w:tcPr>
            <w:tcW w:type="dxa" w:w="50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Goal it owns</w:t>
            </w:r>
          </w:p>
        </w:tc>
      </w:tr>
      <w:tr>
        <w:tc>
          <w:tcPr>
            <w:tcW w:type="dxa" w:w="2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Intake Authoring Assistance</w:t>
            </w:r>
          </w:p>
        </w:tc>
        <w:tc>
          <w:tcPr>
            <w:tcW w:type="dxa" w:w="1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w:t>
            </w:r>
          </w:p>
        </w:tc>
        <w:tc>
          <w:tcPr>
            <w:tcW w:type="dxa" w:w="50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Get a requestor from a business need to a complete, submittable Definition of Ready package.</w:t>
            </w:r>
          </w:p>
        </w:tc>
      </w:tr>
      <w:tr>
        <w:tc>
          <w:tcPr>
            <w:tcW w:type="dxa" w:w="2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Triage Classification</w:t>
            </w:r>
          </w:p>
        </w:tc>
        <w:tc>
          <w:tcPr>
            <w:tcW w:type="dxa" w:w="1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2, 4</w:t>
            </w:r>
          </w:p>
        </w:tc>
        <w:tc>
          <w:tcPr>
            <w:tcW w:type="dxa" w:w="50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Derive the correct area labels, impact tags and routing from the intake content, and drive the label state machine to completion.</w:t>
            </w:r>
          </w:p>
        </w:tc>
      </w:tr>
      <w:tr>
        <w:tc>
          <w:tcPr>
            <w:tcW w:type="dxa" w:w="2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Prioritisation Support</w:t>
            </w:r>
          </w:p>
        </w:tc>
        <w:tc>
          <w:tcPr>
            <w:tcW w:type="dxa" w:w="1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3</w:t>
            </w:r>
          </w:p>
        </w:tc>
        <w:tc>
          <w:tcPr>
            <w:tcW w:type="dxa" w:w="50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 the evidence a Line of Business sponsor needs to rank the demand — value, regulatory driver, risk, alignment.</w:t>
            </w:r>
          </w:p>
        </w:tc>
      </w:tr>
      <w:tr>
        <w:tc>
          <w:tcPr>
            <w:tcW w:type="dxa" w:w="2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Epic &amp; Feature Composition</w:t>
            </w:r>
          </w:p>
        </w:tc>
        <w:tc>
          <w:tcPr>
            <w:tcW w:type="dxa" w:w="1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5, 6</w:t>
            </w:r>
          </w:p>
        </w:tc>
        <w:tc>
          <w:tcPr>
            <w:tcW w:type="dxa" w:w="50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Turn an agreed triage outcome into a decomposed epic, feature and story hierarchy with ownership assigned, and assemble the planning pack.</w:t>
            </w:r>
          </w:p>
        </w:tc>
      </w:tr>
      <w:tr>
        <w:tc>
          <w:tcPr>
            <w:tcW w:type="dxa" w:w="2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KEES Enablement</w:t>
            </w:r>
          </w:p>
        </w:tc>
        <w:tc>
          <w:tcPr>
            <w:tcW w:type="dxa" w:w="1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8</w:t>
            </w:r>
          </w:p>
        </w:tc>
        <w:tc>
          <w:tcPr>
            <w:tcW w:type="dxa" w:w="50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Get the partner through Kafka enablement — engagement, consumer groups, notifications, reconciliation, retry and exception handling.</w:t>
            </w:r>
          </w:p>
        </w:tc>
      </w:tr>
      <w:tr>
        <w:tc>
          <w:tcPr>
            <w:tcW w:type="dxa" w:w="2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Imaging Governance Liaison</w:t>
            </w:r>
          </w:p>
        </w:tc>
        <w:tc>
          <w:tcPr>
            <w:tcW w:type="dxa" w:w="1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1, 4, 8</w:t>
            </w:r>
          </w:p>
        </w:tc>
        <w:tc>
          <w:tcPr>
            <w:tcW w:type="dxa" w:w="50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Get a determination from the Imaging Governance team — assemble the submission, ensure samples are available on the flow, track the decision, and register the allocated document category, type and subtype so downstream configuration keys to it.</w:t>
            </w:r>
          </w:p>
        </w:tc>
      </w:tr>
      <w:tr>
        <w:tc>
          <w:tcPr>
            <w:tcW w:type="dxa" w:w="2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Content Processing Configuration</w:t>
            </w:r>
          </w:p>
        </w:tc>
        <w:tc>
          <w:tcPr>
            <w:tcW w:type="dxa" w:w="1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4, 8</w:t>
            </w:r>
          </w:p>
        </w:tc>
        <w:tc>
          <w:tcPr>
            <w:tcW w:type="dxa" w:w="50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Establish the trusted and untrusted paths — scanning, classification, human-in-the-loop, and the corresponding platform profiles — against the registered governance determination rather than an assumed one.</w:t>
            </w:r>
          </w:p>
        </w:tc>
      </w:tr>
      <w:tr>
        <w:tc>
          <w:tcPr>
            <w:tcW w:type="dxa" w:w="2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Records &amp; Retention</w:t>
            </w:r>
          </w:p>
        </w:tc>
        <w:tc>
          <w:tcPr>
            <w:tcW w:type="dxa" w:w="1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4, 8</w:t>
            </w:r>
          </w:p>
        </w:tc>
        <w:tc>
          <w:tcPr>
            <w:tcW w:type="dxa" w:w="50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Get from a business retention obligation to an enforced, approved retention configuration.</w:t>
            </w:r>
          </w:p>
        </w:tc>
      </w:tr>
      <w:tr>
        <w:tc>
          <w:tcPr>
            <w:tcW w:type="dxa" w:w="2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Metadata &amp; Retrieval Design</w:t>
            </w:r>
          </w:p>
        </w:tc>
        <w:tc>
          <w:tcPr>
            <w:tcW w:type="dxa" w:w="1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8</w:t>
            </w:r>
          </w:p>
        </w:tc>
        <w:tc>
          <w:tcPr>
            <w:tcW w:type="dxa" w:w="50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Establish the metadata model, security mappings, search filters, retrieval APIs and viewer integration.</w:t>
            </w:r>
          </w:p>
        </w:tc>
      </w:tr>
      <w:tr>
        <w:tc>
          <w:tcPr>
            <w:tcW w:type="dxa" w:w="29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Test Orchestration</w:t>
            </w:r>
          </w:p>
        </w:tc>
        <w:tc>
          <w:tcPr>
            <w:tcW w:type="dxa" w:w="14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8</w:t>
            </w:r>
          </w:p>
        </w:tc>
        <w:tc>
          <w:tcPr>
            <w:tcW w:type="dxa" w:w="50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Sequence and track the four test cycles and reconciliation testing, and route defects and conflicts to resolution.</w:t>
            </w:r>
          </w:p>
        </w:tc>
      </w:tr>
      <w:tr>
        <w:tc>
          <w:tcPr>
            <w:tcW w:type="dxa" w:w="29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Release Readiness</w:t>
            </w:r>
          </w:p>
        </w:tc>
        <w:tc>
          <w:tcPr>
            <w:tcW w:type="dxa" w:w="14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9</w:t>
            </w:r>
          </w:p>
        </w:tc>
        <w:tc>
          <w:tcPr>
            <w:tcW w:type="dxa" w:w="50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Get from a tested solution to a supported production service — transition page, sign-offs, validation calls, handover.</w:t>
            </w:r>
          </w:p>
        </w:tc>
      </w:tr>
    </w:tbl>
    <w:p>
      <w:pPr>
        <w:spacing w:after="120"/>
      </w:pPr>
      <w:r>
        <w:t xml:space="preserve"/>
      </w:r>
    </w:p>
    <w:tbl>
      <w:tblPr>
        <w:tblW w:type="dxa" w:w="9360"/>
        <w:tblBorders>
          <w:top w:val="single" w:color="C05621" w:sz="6"/>
          <w:left w:val="single" w:color="C05621" w:sz="6"/>
          <w:bottom w:val="single" w:color="C05621" w:sz="6"/>
          <w:right w:val="single" w:color="C05621" w:sz="6"/>
          <w:insideH w:val="none"/>
          <w:insideV w:val="none"/>
        </w:tblBorders>
      </w:tblPr>
      <w:tblGrid>
        <w:gridCol w:w="9360"/>
      </w:tblGrid>
      <w:tr>
        <w:tc>
          <w:tcPr>
            <w:tcW w:type="dxa" w:w="9360"/>
            <w:shd w:fill="FDF6F1" w:color="auto" w:val="clear"/>
            <w:tcMar>
              <w:top w:type="dxa" w:w="140"/>
              <w:left w:type="dxa" w:w="160"/>
              <w:bottom w:type="dxa" w:w="140"/>
              <w:right w:type="dxa" w:w="160"/>
            </w:tcMar>
          </w:tcPr>
          <w:p>
            <w:pPr>
              <w:spacing w:after="80"/>
            </w:pPr>
            <w:r>
              <w:rPr>
                <w:rFonts w:ascii="Calibri" w:cs="Calibri" w:eastAsia="Calibri" w:hAnsi="Calibri"/>
                <w:b/>
                <w:bCs/>
                <w:color w:val="C05621"/>
                <w:sz w:val="20"/>
                <w:szCs w:val="20"/>
              </w:rPr>
              <w:t xml:space="preserve">WHY THE ORCHESTRATOR IS NECESSARY AND NOT JUST A ROUTER</w:t>
            </w:r>
          </w:p>
          <w:p>
            <w:pPr>
              <w:spacing w:after="60"/>
            </w:pPr>
            <w:r>
              <w:rPr>
                <w:rFonts w:ascii="Calibri" w:cs="Calibri" w:eastAsia="Calibri" w:hAnsi="Calibri"/>
                <w:color w:val="1B2432"/>
                <w:sz w:val="20"/>
                <w:szCs w:val="20"/>
              </w:rPr>
              <w:t xml:space="preserve">Onboarding state is cross-cutting. The volume profile captured at intake determines the load-testing decision three stages later. The Imaging Governance determination made at discovery sets the entire content-processing configuration, and for trusted content fixes the document category, type and subtype that retention and search are keyed to. The delivery team allocated at capacity assessment decides both where tickets are raised and how far the environment ladder can be climbed.</w:t>
            </w:r>
          </w:p>
          <w:p>
            <w:pPr>
              <w:spacing w:after="60"/>
            </w:pPr>
            <w:r>
              <w:rPr>
                <w:rFonts w:ascii="Calibri" w:cs="Calibri" w:eastAsia="Calibri" w:hAnsi="Calibri"/>
                <w:color w:val="1B2432"/>
                <w:sz w:val="20"/>
                <w:szCs w:val="20"/>
              </w:rPr>
              <w:t xml:space="preserve">No single sub-agent can hold that. Onboard360AI holds the onboarding record, carries determinations forward, and prevents a downstream sub-agent from acting on an assumption the upstream stage never confirmed.</w:t>
            </w:r>
          </w:p>
          <w:p>
            <w:pPr>
              <w:spacing w:after="60"/>
            </w:pPr>
            <w:r>
              <w:rPr>
                <w:rFonts w:ascii="Calibri" w:cs="Calibri" w:eastAsia="Calibri" w:hAnsi="Calibri"/>
                <w:color w:val="1B2432"/>
                <w:sz w:val="20"/>
                <w:szCs w:val="20"/>
              </w:rPr>
              <w:t xml:space="preserve">This is precisely the context that today lives in one person's working memory.</w:t>
            </w:r>
          </w:p>
        </w:tc>
      </w:tr>
    </w:tbl>
    <w:p>
      <w:r>
        <w:br w:type="page"/>
      </w:r>
    </w:p>
    <w:p>
      <w:pPr>
        <w:pStyle w:val="Heading2"/>
        <w:spacing w:after="160" w:before="300"/>
      </w:pPr>
      <w:r>
        <w:rPr>
          <w:rFonts w:ascii="Cambria" w:cs="Cambria" w:eastAsia="Cambria" w:hAnsi="Cambria"/>
          <w:b/>
          <w:bCs/>
          <w:color w:val="1E2761"/>
          <w:sz w:val="26"/>
          <w:szCs w:val="26"/>
        </w:rPr>
        <w:t xml:space="preserve">3.5 Complete Skills Catalogue</w:t>
      </w:r>
    </w:p>
    <w:p>
      <w:pPr>
        <w:spacing w:after="120" w:before="0"/>
      </w:pPr>
      <w:r>
        <w:rPr>
          <w:rFonts w:ascii="Calibri" w:cs="Calibri" w:eastAsia="Calibri" w:hAnsi="Calibri"/>
          <w:b w:val="false"/>
          <w:bCs w:val="false"/>
          <w:i w:val="false"/>
          <w:iCs w:val="false"/>
          <w:color w:val="1B2432"/>
          <w:sz w:val="21"/>
          <w:szCs w:val="21"/>
        </w:rPr>
        <w:t xml:space="preserve">The catalogue below covers the full onboarding flow. Skills are grouped by domain. Each carries an identifier, a description of what it does, and its target integration phase. Skills are invoked by sub-agents, and many are invoked by more than one — the reuse is deliberate.</w:t>
      </w:r>
    </w:p>
    <w:p>
      <w:pPr>
        <w:pStyle w:val="Heading3"/>
        <w:spacing w:after="120" w:before="240"/>
      </w:pPr>
      <w:r>
        <w:rPr>
          <w:rFonts w:ascii="Calibri" w:cs="Calibri" w:eastAsia="Calibri" w:hAnsi="Calibri"/>
          <w:b/>
          <w:bCs/>
          <w:color w:val="1B2432"/>
          <w:sz w:val="23"/>
          <w:szCs w:val="23"/>
        </w:rPr>
        <w:t xml:space="preserve">A. Intake and Definition of Ready — SK-IN</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300"/>
        <w:gridCol w:w="2700"/>
        <w:gridCol w:w="4160"/>
        <w:gridCol w:w="1200"/>
      </w:tblGrid>
      <w:tr>
        <w:trPr>
          <w:tblHeader/>
        </w:trPr>
        <w:tc>
          <w:tcPr>
            <w:tcW w:type="dxa" w:w="13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ID</w:t>
            </w:r>
          </w:p>
        </w:tc>
        <w:tc>
          <w:tcPr>
            <w:tcW w:type="dxa" w:w="27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name</w:t>
            </w:r>
          </w:p>
        </w:tc>
        <w:tc>
          <w:tcPr>
            <w:tcW w:type="dxa" w:w="4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does</w:t>
            </w:r>
          </w:p>
        </w:tc>
        <w:tc>
          <w:tcPr>
            <w:tcW w:type="dxa" w:w="1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DOR Workbook Walkthrough</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Guides a requestor section by section through the Definition of Ready workbook, explaining what each field is used for downstream.</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Business Objective Elicitation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Draws out and structures the business objective in terms a product team can evaluate, rather than a feature request.</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Document Profile Capture</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Captures document types, sizes and traits, and explains how each affects later profile and classification design.</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SK-IN-13</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Sample Availability Check</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Establishes whether representative document samples exist for each document path, and flags that Imaging Governance requires documents viewed on the flow rather than described.</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SK-IN-04</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Volume Profile Capture</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Captures migration, business-as-usual and peak volumes separately, and flags where estimates are missing.</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SK-IN-05</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Trusted vs Untrusted Pre-Assessment</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Returns an indicative trusted or untrusted position from the described document sources, explicitly flagged as provisional pending the Imaging Governance determination. Never presented as the determination itself.</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SK-IN-06</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Retention Requirement Capture</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Captures retention obligations, regulatory drivers, retention period and legal hold requirements.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SK-IN-07</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Dependency &amp; Downstream Impact Capture</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Identifies dependent systems, programmes, regulatory deadlines and downstream consumers.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SK-IN-08</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Capability Requirement Mapping</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Maps stated business needs to the specific platform capabilities required — archival, retention, search, retrieval, viewing, notification.</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SK-IN-09</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Intake Completeness Pre-Check</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Runs the intake against the minimum criteria before submission and returns a gap list, so incomplete packages never enter the queue.</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SK-IN-10</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Intake Ticket Creation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Creates the intake record against the fixed intake project, in the required format.</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SK-IN-11</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System Agreement Primer</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Explains the agreement, what the partner is committing to, and what evidence of sign-off is required.</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P1</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SK-IN-12</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Onboarding Journey Explainer</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Explains the nine stages, what happens at each, and what the partner will be asked to do and when.</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bl>
    <w:p>
      <w:pPr>
        <w:pStyle w:val="Heading3"/>
        <w:spacing w:after="120" w:before="240"/>
      </w:pPr>
      <w:r>
        <w:rPr>
          <w:rFonts w:ascii="Calibri" w:cs="Calibri" w:eastAsia="Calibri" w:hAnsi="Calibri"/>
          <w:b/>
          <w:bCs/>
          <w:color w:val="1B2432"/>
          <w:sz w:val="23"/>
          <w:szCs w:val="23"/>
        </w:rPr>
        <w:t xml:space="preserve">B. Intake Verification and Triage — SK-TR</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300"/>
        <w:gridCol w:w="2700"/>
        <w:gridCol w:w="4160"/>
        <w:gridCol w:w="1200"/>
      </w:tblGrid>
      <w:tr>
        <w:trPr>
          <w:tblHeader/>
        </w:trPr>
        <w:tc>
          <w:tcPr>
            <w:tcW w:type="dxa" w:w="13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ID</w:t>
            </w:r>
          </w:p>
        </w:tc>
        <w:tc>
          <w:tcPr>
            <w:tcW w:type="dxa" w:w="27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name</w:t>
            </w:r>
          </w:p>
        </w:tc>
        <w:tc>
          <w:tcPr>
            <w:tcW w:type="dxa" w:w="4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does</w:t>
            </w:r>
          </w:p>
        </w:tc>
        <w:tc>
          <w:tcPr>
            <w:tcW w:type="dxa" w:w="1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Intake Completeness Validation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Validates a submitted intake against the minimum criteria and returns a pass or a structured gap list.</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Missing-Detail Gap Report</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Produces the clarification request to send to the requestor, itemised and prioritised.</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Triage Label State Transition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Applies the correct label transition for the requested state change, removing superseded labels rather than adding alongside them.</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SK-TR-04</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Area Label Derivation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Derives the applicable area labels from the intake content and returns them with the reasoning for each.</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SK-TR-05</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Impact Tag Derivation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Derives impact tags — image capture, document generation, print-and-mail data flow, downstream reporting, AI classification, impacted components — from the requirements.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SK-TR-06</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Triage Completion Field Set</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Performs the full completion sequence — label removal, label addition, area labels, completion date — as one atomic action rather than four manual edits.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SK-TR-07</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Follow-Up Loop Registration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Registers the awaiting-details state with the follow-up tags, the responsible party and the note explaining what is needed and by when.</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SK-TR-08</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Follow-Up Nudge &amp; Ageing Report</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Tracks intakes in the awaiting-details state, ages them, and prompts before the follow-up date passes.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SK-TR-09</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SME &amp; Participant Identification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Derives from the intake content which product owners, architects and specialist SMEs must attend discovery.</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SK-TR-10</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Triage Readiness Brief</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Assembles a pre-read brief for the discovery session from the intake, so participants arrive informed.</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SK-TR-11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Triage Audit Trail</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Records who changed which label, when, and why, producing a defensible history of the triage decision.</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bl>
    <w:p>
      <w:pPr>
        <w:pStyle w:val="Heading3"/>
        <w:spacing w:after="120" w:before="240"/>
      </w:pPr>
      <w:r>
        <w:rPr>
          <w:rFonts w:ascii="Calibri" w:cs="Calibri" w:eastAsia="Calibri" w:hAnsi="Calibri"/>
          <w:b/>
          <w:bCs/>
          <w:color w:val="1B2432"/>
          <w:sz w:val="23"/>
          <w:szCs w:val="23"/>
        </w:rPr>
        <w:t xml:space="preserve">C. Prioritisation and Planning — SK-PL</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300"/>
        <w:gridCol w:w="2700"/>
        <w:gridCol w:w="4160"/>
        <w:gridCol w:w="1200"/>
      </w:tblGrid>
      <w:tr>
        <w:trPr>
          <w:tblHeader/>
        </w:trPr>
        <w:tc>
          <w:tcPr>
            <w:tcW w:type="dxa" w:w="13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ID</w:t>
            </w:r>
          </w:p>
        </w:tc>
        <w:tc>
          <w:tcPr>
            <w:tcW w:type="dxa" w:w="27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name</w:t>
            </w:r>
          </w:p>
        </w:tc>
        <w:tc>
          <w:tcPr>
            <w:tcW w:type="dxa" w:w="4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does</w:t>
            </w:r>
          </w:p>
        </w:tc>
        <w:tc>
          <w:tcPr>
            <w:tcW w:type="dxa" w:w="1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LOB Priority Evidence Pack</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Assembles the value, regulatory, risk and alignment evidence a sponsor needs to rank the demand.</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Regulatory Driver Summary</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Summarises the compliance obligations the onboarding satisfies and the consequence of not doing it.</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Operational Risk Framing</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Frames the risk of the current state alongside the risk of the change.</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SK-PL-04</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 Epic Draft Generation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Drafts the product epic from the triage outcome, in the required structure.</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SK-PL-05</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Feature Decomposition by Workstream</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Decomposes the epic into features aligned to the delivery workstreams, so each specialist team can commit independently.</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SK-PL-06</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User Story Generation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Generates stories and work items beneath each feature, sized for estimation.</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SK-PL-07</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Hierarchy Linkage Validation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Validates that every feature is linked to the epic, every story to a feature, and every feature has an owner.</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SK-PL-08</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Big Room Planning Pack</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Assembles the scope walkthrough, dependency map and open queries for the planning session.</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SK-PL-09</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Commitment Indicator Explainer</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Explains the commitment indicators, what each implies for the partner, and what would move a position.</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P1</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SK-PL-10</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Cross-Team Dependency Map</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Identifies which specialist teams must commit in the same increment for the onboarding to proceed.</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bl>
    <w:p>
      <w:pPr>
        <w:pStyle w:val="Heading3"/>
        <w:spacing w:after="120" w:before="240"/>
      </w:pPr>
      <w:r>
        <w:rPr>
          <w:rFonts w:ascii="Calibri" w:cs="Calibri" w:eastAsia="Calibri" w:hAnsi="Calibri"/>
          <w:b/>
          <w:bCs/>
          <w:color w:val="1B2432"/>
          <w:sz w:val="23"/>
          <w:szCs w:val="23"/>
        </w:rPr>
        <w:t xml:space="preserve">D. Volume, Capacity and Load Testing — SK-CP</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300"/>
        <w:gridCol w:w="2700"/>
        <w:gridCol w:w="4160"/>
        <w:gridCol w:w="1200"/>
      </w:tblGrid>
      <w:tr>
        <w:trPr>
          <w:tblHeader/>
        </w:trPr>
        <w:tc>
          <w:tcPr>
            <w:tcW w:type="dxa" w:w="13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ID</w:t>
            </w:r>
          </w:p>
        </w:tc>
        <w:tc>
          <w:tcPr>
            <w:tcW w:type="dxa" w:w="27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name</w:t>
            </w:r>
          </w:p>
        </w:tc>
        <w:tc>
          <w:tcPr>
            <w:tcW w:type="dxa" w:w="4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does</w:t>
            </w:r>
          </w:p>
        </w:tc>
        <w:tc>
          <w:tcPr>
            <w:tcW w:type="dxa" w:w="1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Volume Assessment Execution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Runs the volume assessment through the volume assessment service and returns the profile.</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Volume Class Modelling</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Models migration, business-as-usual and peak separately, and highlights where migration creates a one-time peak that sizing must absorb.</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Capacity Planning Request Assembly</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Assembles the capacity planning request from the volume profile and the design.</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SK-CP-04</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Delivery Team Resolution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Resolves the allocated delivery team and its project key from the intake record. Never guesses, and fails explicitly if unresolvable.</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SK-CP-05</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Capacity Planning Ticket Creation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Creates the capacity planning ticket against the resolved delivery team's own project, not the intake project.</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SK-CP-06</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Load Testing Applicability Determination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Applies the volume thresholds to determine whether load testing is required, and returns the determination with its basis.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SK-CP-07</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Load Testing Engagement Request</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Raises the load-testing engagement and its ticket against the resolved delivery team's project.</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SK-CP-08</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Load Testing Approval Tracking</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Tracks the load-testing approval status and surfaces it as a gate on environment progression.</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SK-CP-09</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Ingestion Sizing Guidance</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Advises on the event ingestion approach given the volume profile.</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SK-CP-10</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Scalability Validation Checklist</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Checks the design against stated future growth expectations.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bl>
    <w:p>
      <w:pPr>
        <w:pStyle w:val="Heading3"/>
        <w:spacing w:after="120" w:before="240"/>
      </w:pPr>
      <w:r>
        <w:rPr>
          <w:rFonts w:ascii="Calibri" w:cs="Calibri" w:eastAsia="Calibri" w:hAnsi="Calibri"/>
          <w:b/>
          <w:bCs/>
          <w:color w:val="1B2432"/>
          <w:sz w:val="23"/>
          <w:szCs w:val="23"/>
        </w:rPr>
        <w:t xml:space="preserve">E. Foundational Setup, Access and Security — SK-FS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300"/>
        <w:gridCol w:w="2700"/>
        <w:gridCol w:w="4160"/>
        <w:gridCol w:w="1200"/>
      </w:tblGrid>
      <w:tr>
        <w:trPr>
          <w:tblHeader/>
        </w:trPr>
        <w:tc>
          <w:tcPr>
            <w:tcW w:type="dxa" w:w="13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ID</w:t>
            </w:r>
          </w:p>
        </w:tc>
        <w:tc>
          <w:tcPr>
            <w:tcW w:type="dxa" w:w="27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name</w:t>
            </w:r>
          </w:p>
        </w:tc>
        <w:tc>
          <w:tcPr>
            <w:tcW w:type="dxa" w:w="4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does</w:t>
            </w:r>
          </w:p>
        </w:tc>
        <w:tc>
          <w:tcPr>
            <w:tcW w:type="dxa" w:w="1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Application Identity Lookup &amp; Registration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Looks up or registers the application identity, and links every downstream request to it.</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Certificate Request Guidance</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Guides the certificate request through the certificate management system, with the correct attributes for the environment.</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Certificate Lifecycle Advisory</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Advises on renewal windows and the consequence of expiry in each environment.</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P1</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SK-FS-04</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Service Account Creation Request</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Raises service account creation through the access request tooling. Applies in both environments regardless of environment.</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SK-FS-05</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Service Account Group Membership Request</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Raises group membership for service accounts through the access request tooling, in both environments.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SK-FS-06</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Human User Access Routing</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Applies the routing rule for human user access — access request tooling for one domain, identity management for the other — and raises the request on the correct path.</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SK-FS-07</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Access Route Determination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Given a request type and target, returns the correct routing path with the rule that produced it. Invoked by every access-related skill.</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SK-FS-08</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Environment Account Mapping</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Returns which service account applies to which environment, and flags the internal-only environment as out of scope for partners.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SK-FS-09</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Firewall Connectivity Request</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Assembles and raises the connectivity request from the partner zone to platform services.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SK-FS-10</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System Security Analysis Checklist</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Walks the system security analysis and tracks its completion.</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SK-FS-11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User Security Analysis Checklist</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Walks the user security analysis and tracks its completion.</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SK-FS-12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Access Request Status Tracking</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Tracks all outstanding access, certificate and connectivity requests in one view with ageing.</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SK-FS-13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Partner System Agreement Assembly</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Assembles the agreement, captures sign-off evidence and files it against the onboarding record.</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bl>
    <w:p>
      <w:pPr>
        <w:pStyle w:val="Heading3"/>
        <w:spacing w:after="120" w:before="240"/>
      </w:pPr>
      <w:r>
        <w:rPr>
          <w:rFonts w:ascii="Calibri" w:cs="Calibri" w:eastAsia="Calibri" w:hAnsi="Calibri"/>
          <w:b/>
          <w:bCs/>
          <w:color w:val="1B2432"/>
          <w:sz w:val="23"/>
          <w:szCs w:val="23"/>
        </w:rPr>
        <w:t xml:space="preserve">F. Gateway and Event Enablement — SK-AK</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300"/>
        <w:gridCol w:w="2700"/>
        <w:gridCol w:w="4160"/>
        <w:gridCol w:w="1200"/>
      </w:tblGrid>
      <w:tr>
        <w:trPr>
          <w:tblHeader/>
        </w:trPr>
        <w:tc>
          <w:tcPr>
            <w:tcW w:type="dxa" w:w="13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ID</w:t>
            </w:r>
          </w:p>
        </w:tc>
        <w:tc>
          <w:tcPr>
            <w:tcW w:type="dxa" w:w="27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name</w:t>
            </w:r>
          </w:p>
        </w:tc>
        <w:tc>
          <w:tcPr>
            <w:tcW w:type="dxa" w:w="4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does</w:t>
            </w:r>
          </w:p>
        </w:tc>
        <w:tc>
          <w:tcPr>
            <w:tcW w:type="dxa" w:w="1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Marketplace Onboarding Walkthrough</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Guides the partner application through gateway marketplace onboarding.</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API Product Discovery</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Identifies which platform API products the partner needs given their capability requirements.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Application Registration &amp; Subscription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Registers the partner application and subscribes it to the identified API products.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SK-AK-04</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Subscription Approval Tracking</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Tracks subscription approval status and surfaces blockers.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SK-AK-05</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Gateway Onboarding Tracker Maintenance</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Keeps the gateway onboarding tracker current as subscriptions and approvals progress.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SK-AK-06</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Postman Collection Generation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Generates a partner-specific API collection with the correct endpoints, authentication and sample payloads.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SK-AK-07</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KEES Engagement Initiation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Initiates the Kafka enablement engagement and explains its approval path and lead time.</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SK-AK-08</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Topic &amp; Consumer Group Design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Designs the consumer group configuration against the partner's reconciliation requirements.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SK-AK-09</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Consumer Group Provisioning</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Raises the consumer group creation request on the relevant topic.</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SK-AK-10</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Ingestion Notification Configuration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Configures request-level and document-level notification delivery.</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SK-AK-11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Reconciliation Pattern Guidance</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Advises on the reconciliation design covering both successful and failed archival scenarios.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SK-AK-12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Retry &amp; Exception Handling Design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Advises on retry policy, dead-letter handling and exception routing.</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SK-AK-13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Event Onboarding Tracker Maintenance</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Keeps the event onboarding tracker current.</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bl>
    <w:p>
      <w:pPr>
        <w:pStyle w:val="Heading3"/>
        <w:spacing w:after="120" w:before="240"/>
      </w:pPr>
      <w:r>
        <w:rPr>
          <w:rFonts w:ascii="Calibri" w:cs="Calibri" w:eastAsia="Calibri" w:hAnsi="Calibri"/>
          <w:b/>
          <w:bCs/>
          <w:color w:val="1B2432"/>
          <w:sz w:val="23"/>
          <w:szCs w:val="23"/>
        </w:rPr>
        <w:t xml:space="preserve">G. Content Processing and Classification — SK-CN</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300"/>
        <w:gridCol w:w="2700"/>
        <w:gridCol w:w="4160"/>
        <w:gridCol w:w="1200"/>
      </w:tblGrid>
      <w:tr>
        <w:trPr>
          <w:tblHeader/>
        </w:trPr>
        <w:tc>
          <w:tcPr>
            <w:tcW w:type="dxa" w:w="13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ID</w:t>
            </w:r>
          </w:p>
        </w:tc>
        <w:tc>
          <w:tcPr>
            <w:tcW w:type="dxa" w:w="27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name</w:t>
            </w:r>
          </w:p>
        </w:tc>
        <w:tc>
          <w:tcPr>
            <w:tcW w:type="dxa" w:w="4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does</w:t>
            </w:r>
          </w:p>
        </w:tc>
        <w:tc>
          <w:tcPr>
            <w:tcW w:type="dxa" w:w="1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SK-CN-01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Untrusted Profile Design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Designs the platform profile applied to documents arriving on the untrusted path.</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SK-CN-02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Trusted Profile Design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Designs the platform profile applied to system-generated content.</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SK-CN-03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Virus Scanning Onboarding</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Onboards untrusted content to the scanning service and confirms coverage.</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SK-CN-04</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Classification Engagement Initiation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Initiates the AI classification engagement and sets out what the classification team needs from the partner.</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SK-CN-05</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Document Sample Collection Guidance</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Specifies how many samples of which types are needed, and validates what the partner supplies.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SK-CN-06</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Classification Profile Development Support</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Supports development of the classification profile against the collected samples.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SK-CN-07</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Human-in-the-Loop Engagement</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Initiates the human validation engagement and explains when it is invoked.</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SK-CN-08</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Pre-Capture Profile Design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Designs the pre-capture profile governing what happens before human review.</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SK-CN-09</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Post-Capture Profile Design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Designs the post-capture profile governing what happens after human review.</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SK-CN-10</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Classification Path Explainer</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Explains which documents take which path and why trusted content bypasses classification.</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P1</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Profile Configuration Validation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Validates that the trusted and untrusted profile configurations are complete and mutually consistent.</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Imaging Governance Submission Pack</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Assembles what the governance team needs to make the determination — the document paths, representative samples, how the documents appear on the flow, and the source and generation method for each type.</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Governance Determination Tracking</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Tracks the determination request through to decision, ages it, and surfaces it as a gate on content-processing design and on stage advancement.</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SK-CN-14</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Document Classification Registration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Records the document category, type and subtype allocated by Imaging Governance against the onboarding record, so downstream profile, retention and search configuration key to the allocated values rather than to assumptions.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SK-CN-15</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Classification Taxonomy Lookup</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Returns the existing category, type and subtype taxonomy so the partner and the onboarding resource can describe their content in the terms governance uses.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SK-CN-16</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New Document Type Re-Review Trigger</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Detects a document type introduced after the original determination and routes it back to Imaging Governance rather than allowing it to inherit an existing classification.</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bl>
    <w:p>
      <w:pPr>
        <w:pStyle w:val="Heading3"/>
        <w:spacing w:after="120" w:before="240"/>
      </w:pPr>
      <w:r>
        <w:rPr>
          <w:rFonts w:ascii="Calibri" w:cs="Calibri" w:eastAsia="Calibri" w:hAnsi="Calibri"/>
          <w:b/>
          <w:bCs/>
          <w:color w:val="1B2432"/>
          <w:sz w:val="23"/>
          <w:szCs w:val="23"/>
        </w:rPr>
        <w:t xml:space="preserve">H. Records Management and Retention — SK-RM</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300"/>
        <w:gridCol w:w="2700"/>
        <w:gridCol w:w="4160"/>
        <w:gridCol w:w="1200"/>
      </w:tblGrid>
      <w:tr>
        <w:trPr>
          <w:tblHeader/>
        </w:trPr>
        <w:tc>
          <w:tcPr>
            <w:tcW w:type="dxa" w:w="13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ID</w:t>
            </w:r>
          </w:p>
        </w:tc>
        <w:tc>
          <w:tcPr>
            <w:tcW w:type="dxa" w:w="27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name</w:t>
            </w:r>
          </w:p>
        </w:tc>
        <w:tc>
          <w:tcPr>
            <w:tcW w:type="dxa" w:w="4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does</w:t>
            </w:r>
          </w:p>
        </w:tc>
        <w:tc>
          <w:tcPr>
            <w:tcW w:type="dxa" w:w="1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SK-RM-01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Retention Requirement Gathering</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Structures the retention conversation with the accountable business owner.</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SK-RM-02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RM Questionnaire Drafting</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Drafts the records management onboarding questionnaire from the captured requirements.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SK-RM-03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RM Review &amp; Approval Tracking</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Tracks the questionnaire through review and approval, surfacing it as a gate.</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SK-RM-04</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Retention Code Advisory</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Advises on the applicable retention code and period for the document classes in scope.</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SK-RM-05</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Retention Schedule Configuration Handoff</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Prepares the implementation handoff to the records management team.</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SK-RM-06</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Regulatory Storage Compliance Check</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Checks whether regulated write-once storage applies and what it requires.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SK-RM-07</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Legal Hold &amp; Governance Support</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Confirms legal hold, audit and governance requirements are addressed in the configuration.</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SK-RM-08</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Destruction Policy Advisory</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Advises on destruction policy configuration alongside retention.</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bl>
    <w:p>
      <w:pPr>
        <w:pStyle w:val="Heading3"/>
        <w:spacing w:after="120" w:before="240"/>
      </w:pPr>
      <w:r>
        <w:rPr>
          <w:rFonts w:ascii="Calibri" w:cs="Calibri" w:eastAsia="Calibri" w:hAnsi="Calibri"/>
          <w:b/>
          <w:bCs/>
          <w:color w:val="1B2432"/>
          <w:sz w:val="23"/>
          <w:szCs w:val="23"/>
        </w:rPr>
        <w:t xml:space="preserve">I. Metadata, Repository and Retrieval — SK-MD</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300"/>
        <w:gridCol w:w="2700"/>
        <w:gridCol w:w="4160"/>
        <w:gridCol w:w="1200"/>
      </w:tblGrid>
      <w:tr>
        <w:trPr>
          <w:tblHeader/>
        </w:trPr>
        <w:tc>
          <w:tcPr>
            <w:tcW w:type="dxa" w:w="13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ID</w:t>
            </w:r>
          </w:p>
        </w:tc>
        <w:tc>
          <w:tcPr>
            <w:tcW w:type="dxa" w:w="27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name</w:t>
            </w:r>
          </w:p>
        </w:tc>
        <w:tc>
          <w:tcPr>
            <w:tcW w:type="dxa" w:w="4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does</w:t>
            </w:r>
          </w:p>
        </w:tc>
        <w:tc>
          <w:tcPr>
            <w:tcW w:type="dxa" w:w="1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SK-MD-01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Metadata Discovery Facilitation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Structures and facilitates the metadata discovery workshop with business users.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SK-MD-02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Search Filter Definition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Defines search filters against the stated retrieval and audit requirements.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SK-MD-03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Security Key &amp; Entity Mapping</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Identifies security keys, legal entity mappings and organisational mappings.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SK-MD-04</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Repository Onboarding Support</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Supports repository onboarding and metadata mapping.</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SK-MD-05</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Search API Enablement</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Enables and validates search API access for the partner.</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SK-MD-06</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View API Enablement</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Enables and validates view API access.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SK-MD-07</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Viewer Integration Advisory</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Advises on viewer integration options and configuration.</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SK-MD-08</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Business &amp; Audit Access Provisioning</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Provisions access for business users, auditors and operational teams.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SK-MD-09</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UI Demonstration Pack</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Assembles the demonstration content for the partner and business users.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SK-MD-10</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User Manual Generation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Generates the partner-specific user manual from the configured capabilities.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bl>
    <w:p>
      <w:pPr>
        <w:pStyle w:val="Heading3"/>
        <w:spacing w:after="120" w:before="240"/>
      </w:pPr>
      <w:r>
        <w:rPr>
          <w:rFonts w:ascii="Calibri" w:cs="Calibri" w:eastAsia="Calibri" w:hAnsi="Calibri"/>
          <w:b/>
          <w:bCs/>
          <w:color w:val="1B2432"/>
          <w:sz w:val="23"/>
          <w:szCs w:val="23"/>
        </w:rPr>
        <w:t xml:space="preserve">J. Testing, Defects and Environment Progression — SK-TE</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300"/>
        <w:gridCol w:w="2700"/>
        <w:gridCol w:w="4160"/>
        <w:gridCol w:w="1200"/>
      </w:tblGrid>
      <w:tr>
        <w:trPr>
          <w:tblHeader/>
        </w:trPr>
        <w:tc>
          <w:tcPr>
            <w:tcW w:type="dxa" w:w="13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ID</w:t>
            </w:r>
          </w:p>
        </w:tc>
        <w:tc>
          <w:tcPr>
            <w:tcW w:type="dxa" w:w="27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name</w:t>
            </w:r>
          </w:p>
        </w:tc>
        <w:tc>
          <w:tcPr>
            <w:tcW w:type="dxa" w:w="4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does</w:t>
            </w:r>
          </w:p>
        </w:tc>
        <w:tc>
          <w:tcPr>
            <w:tcW w:type="dxa" w:w="1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Unit Test Scope Advisory</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Advises on unit test coverage for the configured components.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P1</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Integration Test Plan Assembly</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Assembles the integration test plan across partner system, gateway, platform, event framework, scanning and classification.</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Reconciliation Test Design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Designs end-to-end reconciliation tests covering both success and failure paths.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SK-TE-04</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UAT Plan &amp; Sign-Off Tracking</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Assembles the UAT plan against the objectives stated at intake and tracks sign-off.</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SK-TE-05</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Load Test Execution Support</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Supports load test execution and interprets the results against the volume profile.</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SK-TE-06</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Defect Triage &amp; Routing</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Classifies a raised defect and routes it to the correct team with the context needed to act.</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SK-TE-07</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Configuration Conflict Detection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Detects incompatible assumptions between independently configured systems before integration testing surfaces them.</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SK-TE-08</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Production Readiness Validation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Runs the production readiness checklist and reports gaps.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SK-TE-09</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Environment Gate Check</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Checks all gates for the requested environment promotion and blocks where a gate is unmet.</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SK-TE-10</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Promotion Ladder Enforcement</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Enforces the fixed ladder and refuses skip requests, explaining what the skipped environment validates.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SK-TE-11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Delivery Team Allocation Check</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Checks whether a delivery team is allocated and applies the first-environment-only constraint where it is not.</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SK-TE-12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Environment Account Validation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Validates that the correct environment service account is in use before promotion.</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bl>
    <w:p>
      <w:pPr>
        <w:pStyle w:val="Heading3"/>
        <w:spacing w:after="120" w:before="240"/>
      </w:pPr>
      <w:r>
        <w:rPr>
          <w:rFonts w:ascii="Calibri" w:cs="Calibri" w:eastAsia="Calibri" w:hAnsi="Calibri"/>
          <w:b/>
          <w:bCs/>
          <w:color w:val="1B2432"/>
          <w:sz w:val="23"/>
          <w:szCs w:val="23"/>
        </w:rPr>
        <w:t xml:space="preserve">K. Release Readiness and Handover — SK-RL</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300"/>
        <w:gridCol w:w="2700"/>
        <w:gridCol w:w="4160"/>
        <w:gridCol w:w="1200"/>
      </w:tblGrid>
      <w:tr>
        <w:trPr>
          <w:tblHeader/>
        </w:trPr>
        <w:tc>
          <w:tcPr>
            <w:tcW w:type="dxa" w:w="13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ID</w:t>
            </w:r>
          </w:p>
        </w:tc>
        <w:tc>
          <w:tcPr>
            <w:tcW w:type="dxa" w:w="27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name</w:t>
            </w:r>
          </w:p>
        </w:tc>
        <w:tc>
          <w:tcPr>
            <w:tcW w:type="dxa" w:w="4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does</w:t>
            </w:r>
          </w:p>
        </w:tc>
        <w:tc>
          <w:tcPr>
            <w:tcW w:type="dxa" w:w="1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Release Transition Page Generation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Generates the transition page from the onboarding record, populating the group-specific application information for each support team.</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Release Transition Completeness Check</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Checks the transition page against what each support team needs and reports gaps.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Production Support Readiness Checklist</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Walks the readiness checklist with the support organisation.</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SK-RL-04</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Sign-Off Tracking</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Tracks technical, business and go-live sign-offs and surfaces outstanding approvals.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SK-RL-05</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Deployment Validation Call Brief</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Assembles the brief for the validation call — what was deployed, what to check, what failure looks like.</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SK-RL-06</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Release-Night Runbook Assembly</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Assembles the runbook for release night from the configuration record.</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SK-RL-07</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Technical Design Documentation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Generates technical design documentation and technology notes from the onboarding record.</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SK-RL-08</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Operational Runbook Generation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Generates the operational runbook for business-as-usual support.</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SK-RL-09</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Platform Support Handover Pack</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Assembles the complete handover pack and confirms acceptance.</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SK-RL-10</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Post-Go-Live Validation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Runs post-deployment validation and confirms the solution operates as expected.</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bl>
    <w:p>
      <w:pPr>
        <w:pStyle w:val="Heading3"/>
        <w:spacing w:after="120" w:before="240"/>
      </w:pPr>
      <w:r>
        <w:rPr>
          <w:rFonts w:ascii="Calibri" w:cs="Calibri" w:eastAsia="Calibri" w:hAnsi="Calibri"/>
          <w:b/>
          <w:bCs/>
          <w:color w:val="1B2432"/>
          <w:sz w:val="23"/>
          <w:szCs w:val="23"/>
        </w:rPr>
        <w:t xml:space="preserve">L. Cross-Cutting — SK-XC</w:t>
      </w:r>
    </w:p>
    <w:p>
      <w:pPr>
        <w:spacing w:after="140" w:before="0"/>
      </w:pPr>
      <w:r>
        <w:rPr>
          <w:rFonts w:ascii="Calibri" w:cs="Calibri" w:eastAsia="Calibri" w:hAnsi="Calibri"/>
          <w:b w:val="false"/>
          <w:bCs w:val="false"/>
          <w:i w:val="false"/>
          <w:iCs w:val="false"/>
          <w:color w:val="1B2432"/>
          <w:sz w:val="21"/>
          <w:szCs w:val="21"/>
        </w:rPr>
        <w:t xml:space="preserve">These skills are invoked across every stage and by every sub-agent. They are the mechanism by which onboarding state is carried forward rather than rebuilt.</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300"/>
        <w:gridCol w:w="2700"/>
        <w:gridCol w:w="4160"/>
        <w:gridCol w:w="1200"/>
      </w:tblGrid>
      <w:tr>
        <w:trPr>
          <w:tblHeader/>
        </w:trPr>
        <w:tc>
          <w:tcPr>
            <w:tcW w:type="dxa" w:w="13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ID</w:t>
            </w:r>
          </w:p>
        </w:tc>
        <w:tc>
          <w:tcPr>
            <w:tcW w:type="dxa" w:w="27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 name</w:t>
            </w:r>
          </w:p>
        </w:tc>
        <w:tc>
          <w:tcPr>
            <w:tcW w:type="dxa" w:w="4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does</w:t>
            </w:r>
          </w:p>
        </w:tc>
        <w:tc>
          <w:tcPr>
            <w:tcW w:type="dxa" w:w="1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Onboarding Status View</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Returns the current state of an onboarding across all nine stages, with outstanding items and their owners.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Stage Gate Readiness Check</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Checks whether the exit criteria for the current stage are met before allowing advancement.</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SK-XC-03</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Ticket Routing Guard</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Resolves the correct project for any ticket type and refuses to create one where the project cannot be resolved from the intake.</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SK-XC-04</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Determination Carry-Forward</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Retrieves upstream determinations — trusted/untrusted, volume profile, retention position, team allocation — so downstream skills act on confirmed facts rather than assumptions.</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SK-XC-05</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Runtime Integration Disclosure</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Emits the current integration phase and what the next phase adds, at the start of every agent and skill interaction.</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SK-XC-06</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Stakeholder Notification</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Notifies the accountable party when an item is raised, blocked, approved or overdue.</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SK-XC-07</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Artefact Index</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Maintains the index of onboarding artefacts — agreement, questionnaire, trackers, transition page, sign-offs — with status and location.</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SK-XC-08</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Audit Trail Capture</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Records every action taken by an agent, the rule that authorised it and the human who approved it.</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SK-XC-09</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Knowledge Base Citation</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Resolves and cites the authoritative source page for any procedure the agent describes.</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P2</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SK-XC-10</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Escalation Path Advisory</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Returns the escalation path for a blocked item, by item type and by ageing.</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P1</w:t>
            </w:r>
          </w:p>
        </w:tc>
      </w:tr>
      <w:tr>
        <w:tc>
          <w:tcPr>
            <w:tcW w:type="dxa" w:w="13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SK-XC-11</w:t>
            </w:r>
          </w:p>
        </w:tc>
        <w:tc>
          <w:tcPr>
            <w:tcW w:type="dxa" w:w="27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Ageing &amp; Bottleneck Report</w:t>
            </w:r>
          </w:p>
        </w:tc>
        <w:tc>
          <w:tcPr>
            <w:tcW w:type="dxa" w:w="4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Reports stage dwell time across active onboardings and identifies where they are accumulating.</w:t>
            </w:r>
          </w:p>
        </w:tc>
        <w:tc>
          <w:tcPr>
            <w:tcW w:type="dxa" w:w="1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r>
        <w:tc>
          <w:tcPr>
            <w:tcW w:type="dxa" w:w="13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SK-XC-12</w:t>
            </w:r>
          </w:p>
        </w:tc>
        <w:tc>
          <w:tcPr>
            <w:tcW w:type="dxa" w:w="27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Onboarding Pattern Reuse</w:t>
            </w:r>
          </w:p>
        </w:tc>
        <w:tc>
          <w:tcPr>
            <w:tcW w:type="dxa" w:w="4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Surfaces prior onboardings with a comparable profile and what was decided, so precedent is reused rather than re-derived.</w:t>
            </w:r>
          </w:p>
        </w:tc>
        <w:tc>
          <w:tcPr>
            <w:tcW w:type="dxa" w:w="1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P3</w:t>
            </w:r>
          </w:p>
        </w:tc>
      </w:tr>
    </w:tbl>
    <w:p>
      <w:pPr>
        <w:spacing w:after="120"/>
      </w:pPr>
      <w:r>
        <w:t xml:space="preserve"/>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3080"/>
        <w:gridCol w:w="308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Domain</w:t>
            </w:r>
          </w:p>
        </w:tc>
        <w:tc>
          <w:tcPr>
            <w:tcW w:type="dxa" w:w="308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w:t>
            </w:r>
          </w:p>
        </w:tc>
        <w:tc>
          <w:tcPr>
            <w:tcW w:type="dxa" w:w="308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Primary sub-agents served</w:t>
            </w:r>
          </w:p>
        </w:tc>
      </w:tr>
      <w:tr>
        <w:tc>
          <w:tcPr>
            <w:tcW w:type="dxa" w:w="32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 — Intake and DOR</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13</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Intake Authoring Assistance; POC Assistance</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B — Intake Verification and Triage</w:t>
            </w:r>
          </w:p>
        </w:tc>
        <w:tc>
          <w:tcPr>
            <w:tcW w:type="dxa" w:w="308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11</w:t>
            </w:r>
          </w:p>
        </w:tc>
        <w:tc>
          <w:tcPr>
            <w:tcW w:type="dxa" w:w="308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Intake Verification; Triage Classification</w:t>
            </w:r>
          </w:p>
        </w:tc>
      </w:tr>
      <w:tr>
        <w:tc>
          <w:tcPr>
            <w:tcW w:type="dxa" w:w="32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C — Prioritisation and Planning</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10</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Prioritisation Support; Epic &amp; Feature Composition</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D — Volume, Capacity and Load Testing</w:t>
            </w:r>
          </w:p>
        </w:tc>
        <w:tc>
          <w:tcPr>
            <w:tcW w:type="dxa" w:w="308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10</w:t>
            </w:r>
          </w:p>
        </w:tc>
        <w:tc>
          <w:tcPr>
            <w:tcW w:type="dxa" w:w="308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Volume Assessment; Load Testing</w:t>
            </w:r>
          </w:p>
        </w:tc>
      </w:tr>
      <w:tr>
        <w:tc>
          <w:tcPr>
            <w:tcW w:type="dxa" w:w="32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 — Foundational Setup, Access and Security</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13</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Foundational Setup; POC Assistance</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F — Gateway and Event Enablement</w:t>
            </w:r>
          </w:p>
        </w:tc>
        <w:tc>
          <w:tcPr>
            <w:tcW w:type="dxa" w:w="308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13</w:t>
            </w:r>
          </w:p>
        </w:tc>
        <w:tc>
          <w:tcPr>
            <w:tcW w:type="dxa" w:w="308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Apigee Subscription; Postman Collection Generation; KEES Enablement</w:t>
            </w:r>
          </w:p>
        </w:tc>
      </w:tr>
      <w:tr>
        <w:tc>
          <w:tcPr>
            <w:tcW w:type="dxa" w:w="32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G — Content Processing and Classification</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16</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Content Processing Configuration; Imaging Governance Liaison</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H — Records Management and Retention</w:t>
            </w:r>
          </w:p>
        </w:tc>
        <w:tc>
          <w:tcPr>
            <w:tcW w:type="dxa" w:w="308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8</w:t>
            </w:r>
          </w:p>
        </w:tc>
        <w:tc>
          <w:tcPr>
            <w:tcW w:type="dxa" w:w="308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Records &amp; Retention</w:t>
            </w:r>
          </w:p>
        </w:tc>
      </w:tr>
      <w:tr>
        <w:tc>
          <w:tcPr>
            <w:tcW w:type="dxa" w:w="32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 — Metadata, Repository and Retrieval</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10</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Metadata &amp; Retrieval Design</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J — Testing, Defects and Environment Progression</w:t>
            </w:r>
          </w:p>
        </w:tc>
        <w:tc>
          <w:tcPr>
            <w:tcW w:type="dxa" w:w="308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12</w:t>
            </w:r>
          </w:p>
        </w:tc>
        <w:tc>
          <w:tcPr>
            <w:tcW w:type="dxa" w:w="308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Test Orchestration; Environment Progression</w:t>
            </w:r>
          </w:p>
        </w:tc>
      </w:tr>
      <w:tr>
        <w:tc>
          <w:tcPr>
            <w:tcW w:type="dxa" w:w="32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K — Release Readiness and Handover</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10</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Release Readiness</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L — Cross-Cutting</w:t>
            </w:r>
          </w:p>
        </w:tc>
        <w:tc>
          <w:tcPr>
            <w:tcW w:type="dxa" w:w="308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12</w:t>
            </w:r>
          </w:p>
        </w:tc>
        <w:tc>
          <w:tcPr>
            <w:tcW w:type="dxa" w:w="308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All sub-agents and the orchestrator</w:t>
            </w:r>
          </w:p>
        </w:tc>
      </w:tr>
      <w:tr>
        <w:tc>
          <w:tcPr>
            <w:tcW w:type="dxa" w:w="32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Total</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138</w:t>
            </w:r>
          </w:p>
        </w:tc>
        <w:tc>
          <w:tcPr>
            <w:tcW w:type="dxa" w:w="308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
            </w:r>
          </w:p>
        </w:tc>
      </w:tr>
    </w:tbl>
    <w:p>
      <w:r>
        <w:br w:type="page"/>
      </w:r>
    </w:p>
    <w:p>
      <w:pPr>
        <w:pStyle w:val="Heading2"/>
        <w:spacing w:after="160" w:before="300"/>
      </w:pPr>
      <w:r>
        <w:rPr>
          <w:rFonts w:ascii="Cambria" w:cs="Cambria" w:eastAsia="Cambria" w:hAnsi="Cambria"/>
          <w:b/>
          <w:bCs/>
          <w:color w:val="1E2761"/>
          <w:sz w:val="26"/>
          <w:szCs w:val="26"/>
        </w:rPr>
        <w:t xml:space="preserve">3.6 Skills by User Type</w:t>
      </w:r>
    </w:p>
    <w:p>
      <w:pPr>
        <w:spacing w:after="120" w:before="0"/>
      </w:pPr>
      <w:r>
        <w:rPr>
          <w:rFonts w:ascii="Calibri" w:cs="Calibri" w:eastAsia="Calibri" w:hAnsi="Calibri"/>
          <w:b w:val="false"/>
          <w:bCs w:val="false"/>
          <w:i w:val="false"/>
          <w:iCs w:val="false"/>
          <w:color w:val="1B2432"/>
          <w:sz w:val="21"/>
          <w:szCs w:val="21"/>
        </w:rPr>
        <w:t xml:space="preserve">Different users enter Onboard360AI with different goals and different authority. The orchestrator resolves the user type on entry and exposes only the skills appropriate to it. The sections below set out, for each user type, what they come to do and which skills they draw on.</w:t>
      </w:r>
    </w:p>
    <w:p>
      <w:pPr>
        <w:pStyle w:val="Heading3"/>
        <w:spacing w:after="120" w:before="240"/>
      </w:pPr>
      <w:r>
        <w:rPr>
          <w:rFonts w:ascii="Calibri" w:cs="Calibri" w:eastAsia="Calibri" w:hAnsi="Calibri"/>
          <w:b/>
          <w:bCs/>
          <w:color w:val="1B2432"/>
          <w:sz w:val="23"/>
          <w:szCs w:val="23"/>
        </w:rPr>
        <w:t xml:space="preserve">3.6.1 Partner and application team users — the requestor</w:t>
      </w:r>
    </w:p>
    <w:p>
      <w:pPr>
        <w:spacing w:after="120" w:before="0"/>
      </w:pPr>
      <w:r>
        <w:rPr>
          <w:rFonts w:ascii="Calibri" w:cs="Calibri" w:eastAsia="Calibri" w:hAnsi="Calibri"/>
          <w:b w:val="false"/>
          <w:bCs w:val="false"/>
          <w:i w:val="false"/>
          <w:iCs w:val="false"/>
          <w:color w:val="1B2432"/>
          <w:sz w:val="21"/>
          <w:szCs w:val="21"/>
        </w:rPr>
        <w:t xml:space="preserve">Comes to Onboard360AI to understand what onboarding involves and to produce a complete intake package. Has no authority over platform configuration and should never be exposed to skills that write to platform systems.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Understand what onboarding involves</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SK-IN-12 Onboarding Journey Explainer; SK-PL-09 Commitment Indicator Explainer; SK-XC-05 Runtime Integration Disclosure</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Articulate the business need</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SK-IN-02 Business Objective Elicitation; SK-IN-08 Capability Requirement Mapping</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Complete the DOR workbook</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SK-IN-01 DOR Workbook Walkthrough; SK-IN-03 Document Profile Capture; SK-IN-04 Volume Profile Capture; SK-IN-06 Retention Requirement Capture; SK-IN-07 Dependency Capture</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Understand content handling</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SK-IN-05 Trusted vs Untrusted Pre-Assessment; SK-CN-10 Classification Path Explainer; SK-CN-15 Classification Taxonomy Lookup</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Prepare samples for governance review</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SK-IN-13 Sample Availability Check; SK-CN-05 Document Sample Collection Guidance</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Check before submitting</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SK-IN-09 Intake Completeness Pre-Check</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Submit</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SK-IN-10 Intake Ticket Creation; SK-IN-11 Partner System Agreement Primer</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Track progress</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SK-XC-01 Onboarding Status View; SK-XC-06 Stakeholder Notification</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Supply what is asked for during delivery</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SK-CN-05 Document Sample Collection Guidance; SK-AK-06 Postman Collection Generation; SK-MD-09 UI Demonstration Pack; SK-MD-10 User Manual Generation</w:t>
            </w:r>
          </w:p>
        </w:tc>
      </w:tr>
    </w:tbl>
    <w:p>
      <w:pPr>
        <w:pStyle w:val="Heading3"/>
        <w:spacing w:after="120" w:before="240"/>
      </w:pPr>
      <w:r>
        <w:rPr>
          <w:rFonts w:ascii="Calibri" w:cs="Calibri" w:eastAsia="Calibri" w:hAnsi="Calibri"/>
          <w:b/>
          <w:bCs/>
          <w:color w:val="1B2432"/>
          <w:sz w:val="23"/>
          <w:szCs w:val="23"/>
        </w:rPr>
        <w:t xml:space="preserve">3.6.2 ECM intake team — L4 and L3 product managers</w:t>
      </w:r>
    </w:p>
    <w:p>
      <w:pPr>
        <w:spacing w:after="120" w:before="0"/>
      </w:pPr>
      <w:r>
        <w:rPr>
          <w:rFonts w:ascii="Calibri" w:cs="Calibri" w:eastAsia="Calibri" w:hAnsi="Calibri"/>
          <w:b w:val="false"/>
          <w:bCs w:val="false"/>
          <w:i w:val="false"/>
          <w:iCs w:val="false"/>
          <w:color w:val="1B2432"/>
          <w:sz w:val="21"/>
          <w:szCs w:val="21"/>
        </w:rPr>
        <w:t xml:space="preserve">Comes to validate intakes, open the triage state, and identify discovery participants.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Validate the submission</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SK-TR-01 Intake Completeness Validation; SK-TR-02 Missing-Detail Gap Report</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Open triage state</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SK-TR-03 Triage Label State Transition</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Identify participants</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SK-TR-09 SME &amp; Participant Identification; SK-PL-10 Cross-Team Dependency Map</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Prepare discovery</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SK-TR-10 Triage Readiness Brief</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Manage the queue</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SK-TR-08 Follow-Up Nudge &amp; Ageing Report; SK-XC-11 Ageing &amp; Bottleneck Report</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Create the epic hierarchy</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SK-PL-04 Product Epic Draft Generation; SK-PL-05 Feature Decomposition; SK-PL-06 User Story Generation; SK-PL-07 Hierarchy Linkage Validation</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Run planning</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SK-PL-08 Big Room Planning Pack</w:t>
            </w:r>
          </w:p>
        </w:tc>
      </w:tr>
    </w:tbl>
    <w:p>
      <w:pPr>
        <w:pStyle w:val="Heading3"/>
        <w:spacing w:after="120" w:before="240"/>
      </w:pPr>
      <w:r>
        <w:rPr>
          <w:rFonts w:ascii="Calibri" w:cs="Calibri" w:eastAsia="Calibri" w:hAnsi="Calibri"/>
          <w:b/>
          <w:bCs/>
          <w:color w:val="1B2432"/>
          <w:sz w:val="23"/>
          <w:szCs w:val="23"/>
        </w:rPr>
        <w:t xml:space="preserve">3.6.3 Triage leads</w:t>
      </w:r>
    </w:p>
    <w:p>
      <w:pPr>
        <w:spacing w:after="120" w:before="0"/>
      </w:pPr>
      <w:r>
        <w:rPr>
          <w:rFonts w:ascii="Calibri" w:cs="Calibri" w:eastAsia="Calibri" w:hAnsi="Calibri"/>
          <w:b w:val="false"/>
          <w:bCs w:val="false"/>
          <w:i w:val="false"/>
          <w:iCs w:val="false"/>
          <w:color w:val="1B2432"/>
          <w:sz w:val="21"/>
          <w:szCs w:val="21"/>
        </w:rPr>
        <w:t xml:space="preserve">Comes to complete triage — deriving the correct routing and driving the label state machine to completion.</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Derive routing</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SK-TR-04 Area Label Derivation; SK-TR-05 Impact Tag Derivation</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Handle incomplete intakes</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SK-TR-07 Follow-Up Loop Registration; SK-TR-02 Missing-Detail Gap Report</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Complete triage</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SK-TR-06 Triage Completion Field Set</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 the decision</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SK-TR-11 Triage Audit Trail; SK-XC-08 Audit Trail Capture</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Confirm scope determinations</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SK-CN-13 Governance Determination Tracking; SK-RM-06 Regulatory Storage Compliance Check</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Check readiness to advance</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SK-XC-02 Stage Gate Readiness Check</w:t>
            </w:r>
          </w:p>
        </w:tc>
      </w:tr>
    </w:tbl>
    <w:p>
      <w:pPr>
        <w:pStyle w:val="Heading3"/>
        <w:spacing w:after="120" w:before="240"/>
      </w:pPr>
      <w:r>
        <w:rPr>
          <w:rFonts w:ascii="Calibri" w:cs="Calibri" w:eastAsia="Calibri" w:hAnsi="Calibri"/>
          <w:b/>
          <w:bCs/>
          <w:color w:val="1B2432"/>
          <w:sz w:val="23"/>
          <w:szCs w:val="23"/>
        </w:rPr>
        <w:t xml:space="preserve">3.6.4 LOB sponsors and liaisons</w:t>
      </w:r>
    </w:p>
    <w:p>
      <w:pPr>
        <w:spacing w:after="120" w:before="0"/>
      </w:pPr>
      <w:r>
        <w:rPr>
          <w:rFonts w:ascii="Calibri" w:cs="Calibri" w:eastAsia="Calibri" w:hAnsi="Calibri"/>
          <w:b w:val="false"/>
          <w:bCs w:val="false"/>
          <w:i w:val="false"/>
          <w:iCs w:val="false"/>
          <w:color w:val="1B2432"/>
          <w:sz w:val="21"/>
          <w:szCs w:val="21"/>
        </w:rPr>
        <w:t xml:space="preserve">Comes to rank demand. Needs evidence, not procedure.</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Understand the demand</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SK-PL-01 LOB Priority Evidence Pack</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Assess the regulatory position</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SK-PL-02 Regulatory Driver Summary</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Assess risk</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SK-PL-03 Operational Risk Framing</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Understand delivery confidence</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SK-PL-09 Commitment Indicator Explainer</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See the portfolio position</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SK-XC-01 Onboarding Status View; SK-XC-11 Ageing &amp; Bottleneck Report</w:t>
            </w:r>
          </w:p>
        </w:tc>
      </w:tr>
    </w:tbl>
    <w:p>
      <w:pPr>
        <w:pStyle w:val="Heading3"/>
        <w:spacing w:after="120" w:before="240"/>
      </w:pPr>
      <w:r>
        <w:rPr>
          <w:rFonts w:ascii="Calibri" w:cs="Calibri" w:eastAsia="Calibri" w:hAnsi="Calibri"/>
          <w:b/>
          <w:bCs/>
          <w:color w:val="1B2432"/>
          <w:sz w:val="23"/>
          <w:szCs w:val="23"/>
        </w:rPr>
        <w:t xml:space="preserve">3.6.5 Enabler users — the Partner Onboarding Resource</w:t>
      </w:r>
    </w:p>
    <w:p>
      <w:pPr>
        <w:spacing w:after="120" w:before="0"/>
      </w:pPr>
      <w:r>
        <w:rPr>
          <w:rFonts w:ascii="Calibri" w:cs="Calibri" w:eastAsia="Calibri" w:hAnsi="Calibri"/>
          <w:b w:val="false"/>
          <w:bCs w:val="false"/>
          <w:i w:val="false"/>
          <w:iCs w:val="false"/>
          <w:color w:val="1B2432"/>
          <w:sz w:val="21"/>
          <w:szCs w:val="21"/>
        </w:rPr>
        <w:t xml:space="preserve">This is the primary persona. The enabler user is engaged in eight of the nine stages and is the user for whom Onboard360AI delivers the most value, because it is their working memory that the orchestrator externalises. The enabler user has the broadest skill access of any persona and is the only persona that spans every domain.</w:t>
      </w:r>
    </w:p>
    <w:p>
      <w:pPr>
        <w:pStyle w:val="Heading4"/>
        <w:spacing w:after="100" w:before="200"/>
      </w:pPr>
      <w:r>
        <w:rPr>
          <w:rFonts w:ascii="Calibri" w:cs="Calibri" w:eastAsia="Calibri" w:hAnsi="Calibri"/>
          <w:b/>
          <w:bCs/>
          <w:color w:val="C05621"/>
          <w:sz w:val="21"/>
          <w:szCs w:val="21"/>
        </w:rPr>
        <w:t xml:space="preserve">Entry — establishing context</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Resume an onboarding</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SK-XC-01 Onboarding Status View; SK-XC-04 Determination Carry-Forward</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Understand what is integrated</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SK-XC-05 Runtime Integration Disclosure</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See what is blocked or ageing</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SK-XC-11 Ageing &amp; Bottleneck Report; SK-XC-10 Escalation Path Advisory</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Find precedent</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SK-XC-12 Onboarding Pattern Reuse</w:t>
            </w:r>
          </w:p>
        </w:tc>
      </w:tr>
    </w:tbl>
    <w:p>
      <w:pPr>
        <w:pStyle w:val="Heading4"/>
        <w:spacing w:after="100" w:before="200"/>
      </w:pPr>
      <w:r>
        <w:rPr>
          <w:rFonts w:ascii="Calibri" w:cs="Calibri" w:eastAsia="Calibri" w:hAnsi="Calibri"/>
          <w:b/>
          <w:bCs/>
          <w:color w:val="C05621"/>
          <w:sz w:val="21"/>
          <w:szCs w:val="21"/>
        </w:rPr>
        <w:t xml:space="preserve">Front of the flow — stages 1 to 4</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Set partner expectations</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SK-IN-12 Onboarding Journey Explainer; SK-IN-11 Partner System Agreement Primer</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Help the partner produce a complete package</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SK-IN-01 through SK-IN-09</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Support triage</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SK-TR-04 Area Label Derivation; SK-TR-05 Impact Tag Derivation; SK-TR-10 Triage Readiness Brief</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Refine the volume picture</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SK-CP-01 Volume Assessment Execution; SK-CP-02 Volume Class Modelling</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Prepare the governance determination</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SK-IN-13 Sample Availability Check; SK-CN-15 Classification Taxonomy Lookup; SK-CN-12 Imaging Governance Submission Pack</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Track the determination to a decision</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SK-CN-13 Governance Determination Tracking; SK-CN-14 Document Classification Registration</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Confirm content and retention position</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SK-IN-05 Trusted vs Untrusted Pre-Assessment; SK-RM-01 Retention Requirement Gathering; SK-RM-06 Regulatory Storage Compliance Check</w:t>
            </w:r>
          </w:p>
        </w:tc>
      </w:tr>
    </w:tbl>
    <w:p>
      <w:pPr>
        <w:pStyle w:val="Heading4"/>
        <w:spacing w:after="100" w:before="200"/>
      </w:pPr>
      <w:r>
        <w:rPr>
          <w:rFonts w:ascii="Calibri" w:cs="Calibri" w:eastAsia="Calibri" w:hAnsi="Calibri"/>
          <w:b/>
          <w:bCs/>
          <w:color w:val="C05621"/>
          <w:sz w:val="21"/>
          <w:szCs w:val="21"/>
        </w:rPr>
        <w:t xml:space="preserve">Middle — stages 5 to 7</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Support epic and feature composition</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SK-PL-05 Feature Decomposition; SK-PL-10 Cross-Team Dependency Map</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Prepare for planning</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SK-PL-08 Big Room Planning Pack</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Drive capacity</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SK-CP-03 Capacity Planning Request Assembly; SK-CP-04 Delivery Team Resolution; SK-CP-05 Capacity Planning Ticket Creation</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Determine load testing</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SK-CP-06 Load Testing Applicability Determination; SK-CP-07 Load Testing Engagement Request</w:t>
            </w:r>
          </w:p>
        </w:tc>
      </w:tr>
    </w:tbl>
    <w:p>
      <w:pPr>
        <w:pStyle w:val="Heading4"/>
        <w:spacing w:after="100" w:before="200"/>
      </w:pPr>
      <w:r>
        <w:rPr>
          <w:rFonts w:ascii="Calibri" w:cs="Calibri" w:eastAsia="Calibri" w:hAnsi="Calibri"/>
          <w:b/>
          <w:bCs/>
          <w:color w:val="C05621"/>
          <w:sz w:val="21"/>
          <w:szCs w:val="21"/>
        </w:rPr>
        <w:t xml:space="preserve">Delivery — stage 8, foundational and access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Establish application identity</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SK-FS-01 Application Identity Lookup &amp; Registration</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Obtain certificates</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SK-FS-02 Certificate Request Guidance; SK-FS-03 Certificate Lifecycle Advisory</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Provision service accounts</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SK-FS-07 Access Route Determination; SK-FS-04 Service Account Creation; SK-FS-05 Group Membership Request</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Provision human access</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SK-FS-07 Access Route Determination; SK-FS-06 Human User Access Routing</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Open connectivity</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SK-FS-09 Firewall Connectivity Request</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Complete security analysis</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SK-FS-10 System Security Analysis; SK-FS-11 User Security Analysis</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Track everything outstanding</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SK-FS-12 Access Request Status Tracking</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Complete the agreement</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SK-FS-13 Partner System Agreement Assembly</w:t>
            </w:r>
          </w:p>
        </w:tc>
      </w:tr>
    </w:tbl>
    <w:p>
      <w:pPr>
        <w:pStyle w:val="Heading4"/>
        <w:spacing w:after="100" w:before="200"/>
      </w:pPr>
      <w:r>
        <w:rPr>
          <w:rFonts w:ascii="Calibri" w:cs="Calibri" w:eastAsia="Calibri" w:hAnsi="Calibri"/>
          <w:b/>
          <w:bCs/>
          <w:color w:val="C05621"/>
          <w:sz w:val="21"/>
          <w:szCs w:val="21"/>
        </w:rPr>
        <w:t xml:space="preserve">Delivery — stage 8, gateway, events, content and records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Gateway onboarding and subscription</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SK-AK-01 through SK-AK-05</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Enable partner testing</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SK-AK-06 Postman Collection Generation</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Kafka enablement</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SK-AK-07 through SK-AK-13</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Configure content processing against the registered determination</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SK-CN-01 through SK-CN-11; SK-XC-04 Determination Carry-Forward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Handle new document types</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SK-CN-16 New Document Type Re-Review Trigger</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Drive records management</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SK-RM-01 through SK-RM-08</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Metadata and retrieval</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SK-MD-01 through SK-MD-10</w:t>
            </w:r>
          </w:p>
        </w:tc>
      </w:tr>
    </w:tbl>
    <w:p>
      <w:pPr>
        <w:pStyle w:val="Heading4"/>
        <w:spacing w:after="100" w:before="200"/>
      </w:pPr>
      <w:r>
        <w:rPr>
          <w:rFonts w:ascii="Calibri" w:cs="Calibri" w:eastAsia="Calibri" w:hAnsi="Calibri"/>
          <w:b/>
          <w:bCs/>
          <w:color w:val="C05621"/>
          <w:sz w:val="21"/>
          <w:szCs w:val="21"/>
        </w:rPr>
        <w:t xml:space="preserve">Delivery — stage 8, testing and progression</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Plan and sequence testing</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SK-TE-02 Integration Test Plan; SK-TE-03 Reconciliation Test Design; SK-TE-04 UAT Plan &amp; Sign-Off Tracking</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Pre-empt conflicts</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SK-TE-07 Configuration Conflict Detection</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Route defects</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SK-TE-06 Defect Triage &amp; Routing</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Promote environments</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SK-TE-09 Environment Gate Check; SK-TE-10 Promotion Ladder Enforcement; SK-TE-11 Delivery Team Allocation Check; SK-TE-12 Environment Account Validation</w:t>
            </w:r>
          </w:p>
        </w:tc>
      </w:tr>
    </w:tbl>
    <w:p>
      <w:pPr>
        <w:pStyle w:val="Heading4"/>
        <w:spacing w:after="100" w:before="200"/>
      </w:pPr>
      <w:r>
        <w:rPr>
          <w:rFonts w:ascii="Calibri" w:cs="Calibri" w:eastAsia="Calibri" w:hAnsi="Calibri"/>
          <w:b/>
          <w:bCs/>
          <w:color w:val="C05621"/>
          <w:sz w:val="21"/>
          <w:szCs w:val="21"/>
        </w:rPr>
        <w:t xml:space="preserve">Go-live — stage 9</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Produce the transition page</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SK-RL-01 Release Transition Page Generation; SK-RL-02 Completeness Check</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Confirm readiness</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SK-RL-03 Production Support Readiness Checklist; SK-TE-08 Production Readiness Validation</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Track approvals</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SK-RL-04 Sign-Off Tracking</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Support the release</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SK-RL-05 Deployment Validation Call Brief; SK-RL-06 Release-Night Runbook Assembly</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Produce documentation</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SK-RL-07 Technical Design Documentation; SK-RL-08 Operational Runbook Generation</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Hand over</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SK-RL-09 Platform Support Handover Pack; SK-RL-10 Post-Go-Live Validation</w:t>
            </w:r>
          </w:p>
        </w:tc>
      </w:tr>
    </w:tbl>
    <w:p>
      <w:pPr>
        <w:pStyle w:val="Heading3"/>
        <w:spacing w:after="120" w:before="240"/>
      </w:pPr>
      <w:r>
        <w:rPr>
          <w:rFonts w:ascii="Calibri" w:cs="Calibri" w:eastAsia="Calibri" w:hAnsi="Calibri"/>
          <w:b/>
          <w:bCs/>
          <w:color w:val="1B2432"/>
          <w:sz w:val="23"/>
          <w:szCs w:val="23"/>
        </w:rPr>
        <w:t xml:space="preserve">3.6.6 Engineering and enabling teams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Understand committed scope</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SK-XC-01 Onboarding Status View; SK-XC-04 Determination Carry-Forward</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Assess capacity</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SK-CP-03 Capacity Planning Request Assembly; SK-PL-10 Cross-Team Dependency Map</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Build against confirmed determinations</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SK-CN-11 Profile Configuration Validation; SK-MD-04 Repository Onboarding Support</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Test</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SK-TE-01 through SK-TE-05</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Resolve defects</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SK-TE-06 Defect Triage &amp; Routing; SK-TE-07 Configuration Conflict Detection</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Promote</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SK-TE-09 Environment Gate Check; SK-TE-12 Environment Account Validation</w:t>
            </w:r>
          </w:p>
        </w:tc>
      </w:tr>
    </w:tbl>
    <w:p>
      <w:pPr>
        <w:pStyle w:val="Heading3"/>
        <w:spacing w:after="120" w:before="240"/>
      </w:pPr>
      <w:r>
        <w:rPr>
          <w:rFonts w:ascii="Calibri" w:cs="Calibri" w:eastAsia="Calibri" w:hAnsi="Calibri"/>
          <w:b/>
          <w:bCs/>
          <w:color w:val="1B2432"/>
          <w:sz w:val="23"/>
          <w:szCs w:val="23"/>
        </w:rPr>
        <w:t xml:space="preserve">3.6.7 Imaging Governance team</w:t>
      </w:r>
    </w:p>
    <w:p>
      <w:pPr>
        <w:spacing w:after="120" w:before="0"/>
      </w:pPr>
      <w:r>
        <w:rPr>
          <w:rFonts w:ascii="Calibri" w:cs="Calibri" w:eastAsia="Calibri" w:hAnsi="Calibri"/>
          <w:b w:val="false"/>
          <w:bCs w:val="false"/>
          <w:i w:val="false"/>
          <w:iCs w:val="false"/>
          <w:color w:val="1B2432"/>
          <w:sz w:val="21"/>
          <w:szCs w:val="21"/>
        </w:rPr>
        <w:t xml:space="preserve">Enters to make a determination, not to consume a service. The team needs the documents as they appear on the flow, the context of both document paths, and the existing classification taxonomy. It does not need the delivery procedure.</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Receive the determination request</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SK-CN-12 Imaging Governance Submission Pack; SK-IN-13 Sample Availability Check</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Understand the document paths in context</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SK-IN-03 Document Profile Capture; SK-XC-04 Determination Carry-Forward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Reference the existing taxonomy</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SK-CN-15 Classification Taxonomy Lookup</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 the determination and allocated classification</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SK-CN-14 Document Classification Registration; SK-XC-08 Audit Trail Capture</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Handle types introduced later</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SK-CN-16 New Document Type Re-Review Trigger</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See what is awaiting a decision</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SK-CN-13 Governance Determination Tracking; SK-XC-11 Ageing &amp; Bottleneck Report</w:t>
            </w:r>
          </w:p>
        </w:tc>
      </w:tr>
    </w:tbl>
    <w:p>
      <w:pPr>
        <w:pStyle w:val="Heading3"/>
        <w:spacing w:after="120" w:before="240"/>
      </w:pPr>
      <w:r>
        <w:rPr>
          <w:rFonts w:ascii="Calibri" w:cs="Calibri" w:eastAsia="Calibri" w:hAnsi="Calibri"/>
          <w:b/>
          <w:bCs/>
          <w:color w:val="1B2432"/>
          <w:sz w:val="23"/>
          <w:szCs w:val="23"/>
        </w:rPr>
        <w:t xml:space="preserve">3.6.8 Specialist and platform teams</w:t>
      </w:r>
    </w:p>
    <w:p>
      <w:pPr>
        <w:spacing w:after="120" w:before="0"/>
      </w:pPr>
      <w:r>
        <w:rPr>
          <w:rFonts w:ascii="Calibri" w:cs="Calibri" w:eastAsia="Calibri" w:hAnsi="Calibri"/>
          <w:b w:val="false"/>
          <w:bCs w:val="false"/>
          <w:i w:val="false"/>
          <w:iCs w:val="false"/>
          <w:color w:val="1B2432"/>
          <w:sz w:val="21"/>
          <w:szCs w:val="21"/>
        </w:rPr>
        <w:t xml:space="preserve">Records management, classification, human-in-the-loop, Kafka enablement, gateway, load testing and security teams enter for their own workstream and should see only what is relevant to it. Imaging Governance is treated separately above because it holds a decision right rather than providing a service.</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Specialist team</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Records Management</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SK-RM-02 through SK-RM-08; SK-XC-04 Determination Carry-Forward</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Classification</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SK-CN-04 through SK-CN-06; SK-CN-11; SK-XC-04 Determination Carry-Forward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Human-in-the-loop</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SK-CN-07 through SK-CN-09</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Kafka enablement</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SK-AK-07 through SK-AK-13</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Gateway</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SK-AK-01 through SK-AK-05</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Load testing</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SK-CP-06 through SK-CP-08; SK-TE-05 Load Test Execution Support</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Security</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SK-FS-07 Access Route Determination; SK-FS-09 through SK-FS-12</w:t>
            </w:r>
          </w:p>
        </w:tc>
      </w:tr>
    </w:tbl>
    <w:p>
      <w:pPr>
        <w:pStyle w:val="Heading3"/>
        <w:spacing w:after="120" w:before="240"/>
      </w:pPr>
      <w:r>
        <w:rPr>
          <w:rFonts w:ascii="Calibri" w:cs="Calibri" w:eastAsia="Calibri" w:hAnsi="Calibri"/>
          <w:b/>
          <w:bCs/>
          <w:color w:val="1B2432"/>
          <w:sz w:val="23"/>
          <w:szCs w:val="23"/>
        </w:rPr>
        <w:t xml:space="preserve">3.6.9 Platform Support</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200"/>
        <w:gridCol w:w="6160"/>
      </w:tblGrid>
      <w:tr>
        <w:trPr>
          <w:tblHeader/>
        </w:trPr>
        <w:tc>
          <w:tcPr>
            <w:tcW w:type="dxa" w:w="32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Journey step</w:t>
            </w:r>
          </w:p>
        </w:tc>
        <w:tc>
          <w:tcPr>
            <w:tcW w:type="dxa" w:w="61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Skills invoked</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Assess incoming handover</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SK-RL-02 Release Transition Completeness Check; SK-RL-03 Production Support Readiness Checklist</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Receive the handover</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SK-RL-09 Platform Support Handover Pack</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Understand the configuration</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SK-RL-07 Technical Design Documentation; SK-RL-08 Operational Runbook Generation</w:t>
            </w:r>
          </w:p>
        </w:tc>
      </w:tr>
      <w:tr>
        <w:tc>
          <w:tcPr>
            <w:tcW w:type="dxa" w:w="32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Validate after go-live</w:t>
            </w:r>
          </w:p>
        </w:tc>
        <w:tc>
          <w:tcPr>
            <w:tcW w:type="dxa" w:w="61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SK-RL-10 Post-Go-Live Validation</w:t>
            </w:r>
          </w:p>
        </w:tc>
      </w:tr>
      <w:tr>
        <w:tc>
          <w:tcPr>
            <w:tcW w:type="dxa" w:w="32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Look up onboarding history</w:t>
            </w:r>
          </w:p>
        </w:tc>
        <w:tc>
          <w:tcPr>
            <w:tcW w:type="dxa" w:w="61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SK-XC-01 Onboarding Status View; SK-XC-07 Artefact Index</w:t>
            </w:r>
          </w:p>
        </w:tc>
      </w:tr>
    </w:tbl>
    <w:p>
      <w:r>
        <w:br w:type="page"/>
      </w:r>
    </w:p>
    <w:p>
      <w:pPr>
        <w:pStyle w:val="Heading2"/>
        <w:spacing w:after="160" w:before="300"/>
      </w:pPr>
      <w:r>
        <w:rPr>
          <w:rFonts w:ascii="Cambria" w:cs="Cambria" w:eastAsia="Cambria" w:hAnsi="Cambria"/>
          <w:b/>
          <w:bCs/>
          <w:color w:val="1E2761"/>
          <w:sz w:val="26"/>
          <w:szCs w:val="26"/>
        </w:rPr>
        <w:t xml:space="preserve">3.7 Governance Rules Encoded as Skills</w:t>
      </w:r>
    </w:p>
    <w:p>
      <w:pPr>
        <w:spacing w:after="120" w:before="0"/>
      </w:pPr>
      <w:r>
        <w:rPr>
          <w:rFonts w:ascii="Calibri" w:cs="Calibri" w:eastAsia="Calibri" w:hAnsi="Calibri"/>
          <w:b w:val="false"/>
          <w:bCs w:val="false"/>
          <w:i w:val="false"/>
          <w:iCs w:val="false"/>
          <w:color w:val="1B2432"/>
          <w:sz w:val="21"/>
          <w:szCs w:val="21"/>
        </w:rPr>
        <w:t xml:space="preserve">Several rules in this process are frequently applied incorrectly, and every one of them fails silently rather than loudly. Encoding them as skills rather than as documentation is the single highest-value part of this design, because it converts a rule that has to be remembered into a rule that is enforced.</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800"/>
        <w:gridCol w:w="6560"/>
      </w:tblGrid>
      <w:tr>
        <w:trPr>
          <w:tblHeader/>
        </w:trPr>
        <w:tc>
          <w:tcPr>
            <w:tcW w:type="dxa" w:w="28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Rule</w:t>
            </w:r>
          </w:p>
        </w:tc>
        <w:tc>
          <w:tcPr>
            <w:tcW w:type="dxa" w:w="65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How it is enforced</w:t>
            </w:r>
          </w:p>
        </w:tc>
      </w:tr>
      <w:tr>
        <w:tc>
          <w:tcPr>
            <w:tcW w:type="dxa" w:w="28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Ticket routing</w:t>
            </w:r>
          </w:p>
        </w:tc>
        <w:tc>
          <w:tcPr>
            <w:tcW w:type="dxa" w:w="65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SK-XC-03 Ticket Routing Guard resolves the correct project for every ticket type. Intakes go to the fixed intake project. Capacity and load-testing tickets go to the allocated delivery team's own project, resolved from the intake. The skill refuses to create a ticket where the project cannot be resolved rather than defaulting or guessing.</w:t>
            </w:r>
          </w:p>
        </w:tc>
      </w:tr>
      <w:tr>
        <w:tc>
          <w:tcPr>
            <w:tcW w:type="dxa" w:w="28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Access routing</w:t>
            </w:r>
          </w:p>
        </w:tc>
        <w:tc>
          <w:tcPr>
            <w:tcW w:type="dxa" w:w="65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SK-FS-07 Access Route Determination applies the routing rule by request type rather than by environment. Service accounts and their group membership route one way in both environments; human user access routes by domain. Every access skill calls it first.</w:t>
            </w:r>
          </w:p>
        </w:tc>
      </w:tr>
      <w:tr>
        <w:tc>
          <w:tcPr>
            <w:tcW w:type="dxa" w:w="28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Environment accounts</w:t>
            </w:r>
          </w:p>
        </w:tc>
        <w:tc>
          <w:tcPr>
            <w:tcW w:type="dxa" w:w="65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SK-FS-08 Environment Account Mapping and SK-TE-12 Environment Account Validation ensure the correct account is used per environment, and that the internal-only environment is excluded from partner progression.</w:t>
            </w:r>
          </w:p>
        </w:tc>
      </w:tr>
      <w:tr>
        <w:tc>
          <w:tcPr>
            <w:tcW w:type="dxa" w:w="28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Promotion ladder</w:t>
            </w:r>
          </w:p>
        </w:tc>
        <w:tc>
          <w:tcPr>
            <w:tcW w:type="dxa" w:w="65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SK-TE-10 Promotion Ladder Enforcement refuses skip requests and explains what the skipped environment validates. SK-TE-11 applies the first-environment-only constraint where no delivery team is allocated.</w:t>
            </w:r>
          </w:p>
        </w:tc>
      </w:tr>
      <w:tr>
        <w:tc>
          <w:tcPr>
            <w:tcW w:type="dxa" w:w="28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Triage completion</w:t>
            </w:r>
          </w:p>
        </w:tc>
        <w:tc>
          <w:tcPr>
            <w:tcW w:type="dxa" w:w="65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SK-TR-06 Triage Completion Field Set performs the full completion sequence atomically, so a partial completion is not possible.</w:t>
            </w:r>
          </w:p>
        </w:tc>
      </w:tr>
      <w:tr>
        <w:tc>
          <w:tcPr>
            <w:tcW w:type="dxa" w:w="28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Determination integrity</w:t>
            </w:r>
          </w:p>
        </w:tc>
        <w:tc>
          <w:tcPr>
            <w:tcW w:type="dxa" w:w="65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SK-XC-04 Determination Carry-Forward ensures downstream skills act on confirmed upstream determinations rather than re-deriving or assuming them.</w:t>
            </w:r>
          </w:p>
        </w:tc>
      </w:tr>
      <w:tr>
        <w:tc>
          <w:tcPr>
            <w:tcW w:type="dxa" w:w="28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Governance determination precedence</w:t>
            </w:r>
          </w:p>
        </w:tc>
        <w:tc>
          <w:tcPr>
            <w:tcW w:type="dxa" w:w="65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SK-CN-14 Document Classification Registration is the only source of the trusted/untrusted position and the allocated category, type and subtype. SK-IN-05 returns an indicative view only and is explicitly labelled provisional, so no downstream skill can act on a pre-assessment as though it were the determination.</w:t>
            </w:r>
          </w:p>
        </w:tc>
      </w:tr>
      <w:tr>
        <w:tc>
          <w:tcPr>
            <w:tcW w:type="dxa" w:w="28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New type re-review</w:t>
            </w:r>
          </w:p>
        </w:tc>
        <w:tc>
          <w:tcPr>
            <w:tcW w:type="dxa" w:w="65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SK-CN-16 detects document types introduced after the determination and routes them back to Imaging Governance, preventing silent inheritance of an existing classification.</w:t>
            </w:r>
          </w:p>
        </w:tc>
      </w:tr>
      <w:tr>
        <w:tc>
          <w:tcPr>
            <w:tcW w:type="dxa" w:w="28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Disclosure</w:t>
            </w:r>
          </w:p>
        </w:tc>
        <w:tc>
          <w:tcPr>
            <w:tcW w:type="dxa" w:w="65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SK-XC-05 Runtime Integration Disclosure states the current integration phase before any interaction begins, so a user never assumes an action was performed when it was only described.</w:t>
            </w:r>
          </w:p>
        </w:tc>
      </w:tr>
      <w:tr>
        <w:tc>
          <w:tcPr>
            <w:tcW w:type="dxa" w:w="28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Auditability</w:t>
            </w:r>
          </w:p>
        </w:tc>
        <w:tc>
          <w:tcPr>
            <w:tcW w:type="dxa" w:w="65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SK-XC-08 Audit Trail Capture records every agent action, the rule that authorised it and the human who approved it.</w:t>
            </w:r>
          </w:p>
        </w:tc>
      </w:tr>
    </w:tbl>
    <w:p>
      <w:pPr>
        <w:spacing w:after="120"/>
      </w:pPr>
      <w:r>
        <w:t xml:space="preserve"/>
      </w:r>
    </w:p>
    <w:p>
      <w:pPr>
        <w:pStyle w:val="Heading2"/>
        <w:spacing w:after="160" w:before="300"/>
      </w:pPr>
      <w:r>
        <w:rPr>
          <w:rFonts w:ascii="Cambria" w:cs="Cambria" w:eastAsia="Cambria" w:hAnsi="Cambria"/>
          <w:b/>
          <w:bCs/>
          <w:color w:val="1E2761"/>
          <w:sz w:val="26"/>
          <w:szCs w:val="26"/>
        </w:rPr>
        <w:t xml:space="preserve">3.8 Human Authority and Approval</w:t>
      </w:r>
    </w:p>
    <w:p>
      <w:pPr>
        <w:spacing w:after="120" w:before="0"/>
      </w:pPr>
      <w:r>
        <w:rPr>
          <w:rFonts w:ascii="Calibri" w:cs="Calibri" w:eastAsia="Calibri" w:hAnsi="Calibri"/>
          <w:b w:val="false"/>
          <w:bCs w:val="false"/>
          <w:i w:val="false"/>
          <w:iCs w:val="false"/>
          <w:color w:val="1B2432"/>
          <w:sz w:val="21"/>
          <w:szCs w:val="21"/>
        </w:rPr>
        <w:t xml:space="preserve">Onboard360AI assists and enforces. It does not approve. The distinction matters because the process contains decisions that carry business, regulatory and security consequence, and those remain with named humans.</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3000"/>
        <w:gridCol w:w="6360"/>
      </w:tblGrid>
      <w:tr>
        <w:trPr>
          <w:tblHeader/>
        </w:trPr>
        <w:tc>
          <w:tcPr>
            <w:tcW w:type="dxa" w:w="30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Decision</w:t>
            </w:r>
          </w:p>
        </w:tc>
        <w:tc>
          <w:tcPr>
            <w:tcW w:type="dxa" w:w="63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Who decides</w:t>
            </w:r>
          </w:p>
        </w:tc>
      </w:tr>
      <w:tr>
        <w:tc>
          <w:tcPr>
            <w:tcW w:type="dxa" w:w="30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Whether the demand is worth doing</w:t>
            </w:r>
          </w:p>
        </w:tc>
        <w:tc>
          <w:tcPr>
            <w:tcW w:type="dxa" w:w="63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LOB sponsor. The agent assembles the evidence; it does not rank.</w:t>
            </w:r>
          </w:p>
        </w:tc>
      </w:tr>
      <w:tr>
        <w:tc>
          <w:tcPr>
            <w:tcW w:type="dxa" w:w="30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Whether the intake is complete enough to advance</w:t>
            </w:r>
          </w:p>
        </w:tc>
        <w:tc>
          <w:tcPr>
            <w:tcW w:type="dxa" w:w="63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ECM intake team. The agent validates against criteria and reports; the judgement call on a marginal intake is human.</w:t>
            </w:r>
          </w:p>
        </w:tc>
      </w:tr>
      <w:tr>
        <w:tc>
          <w:tcPr>
            <w:tcW w:type="dxa" w:w="30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The trusted versus untrusted determination</w:t>
            </w:r>
          </w:p>
        </w:tc>
        <w:tc>
          <w:tcPr>
            <w:tcW w:type="dxa" w:w="63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Imaging Governance team, by viewing the documents on the flow. The agent assembles the submission, confirms samples are available, tracks the request and registers the outcome. It does not determine, and its pre-assessment is labelled provisional so it cannot be mistaken for the decision.</w:t>
            </w:r>
          </w:p>
        </w:tc>
      </w:tr>
      <w:tr>
        <w:tc>
          <w:tcPr>
            <w:tcW w:type="dxa" w:w="30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Document category, type and subtype for trusted content</w:t>
            </w:r>
          </w:p>
        </w:tc>
        <w:tc>
          <w:tcPr>
            <w:tcW w:type="dxa" w:w="63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Imaging Governance team. The agent supplies the taxonomy, records the allocation and keys downstream configuration to it.</w:t>
            </w:r>
          </w:p>
        </w:tc>
      </w:tr>
      <w:tr>
        <w:tc>
          <w:tcPr>
            <w:tcW w:type="dxa" w:w="30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Retention position</w:t>
            </w:r>
          </w:p>
        </w:tc>
        <w:tc>
          <w:tcPr>
            <w:tcW w:type="dxa" w:w="63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Records management, on a business requirement sourced from the accountable business owner.</w:t>
            </w:r>
          </w:p>
        </w:tc>
      </w:tr>
      <w:tr>
        <w:tc>
          <w:tcPr>
            <w:tcW w:type="dxa" w:w="30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Capacity commitment</w:t>
            </w:r>
          </w:p>
        </w:tc>
        <w:tc>
          <w:tcPr>
            <w:tcW w:type="dxa" w:w="63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Enabling and engineering teams. The agent assembles the request and resolves routing; the commitment is theirs.</w:t>
            </w:r>
          </w:p>
        </w:tc>
      </w:tr>
      <w:tr>
        <w:tc>
          <w:tcPr>
            <w:tcW w:type="dxa" w:w="30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Security and access approval</w:t>
            </w:r>
          </w:p>
        </w:tc>
        <w:tc>
          <w:tcPr>
            <w:tcW w:type="dxa" w:w="63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Security teams through the existing approval tooling. The agent routes correctly and tracks; it does not grant.</w:t>
            </w:r>
          </w:p>
        </w:tc>
      </w:tr>
      <w:tr>
        <w:tc>
          <w:tcPr>
            <w:tcW w:type="dxa" w:w="30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Go-live authorisation</w:t>
            </w:r>
          </w:p>
        </w:tc>
        <w:tc>
          <w:tcPr>
            <w:tcW w:type="dxa" w:w="63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Named sign-off holders. The agent tracks outstanding sign-offs and blocks progression without them.</w:t>
            </w:r>
          </w:p>
        </w:tc>
      </w:tr>
    </w:tbl>
    <w:p>
      <w:pPr>
        <w:spacing w:after="120"/>
      </w:pPr>
      <w:r>
        <w:t xml:space="preserve"/>
      </w:r>
    </w:p>
    <w:p>
      <w:pPr>
        <w:pStyle w:val="Heading2"/>
        <w:spacing w:after="160" w:before="300"/>
      </w:pPr>
      <w:r>
        <w:rPr>
          <w:rFonts w:ascii="Cambria" w:cs="Cambria" w:eastAsia="Cambria" w:hAnsi="Cambria"/>
          <w:b/>
          <w:bCs/>
          <w:color w:val="1E2761"/>
          <w:sz w:val="26"/>
          <w:szCs w:val="26"/>
        </w:rPr>
        <w:t xml:space="preserve">3.9 Where the Benefit Comes From</w:t>
      </w:r>
    </w:p>
    <w:p>
      <w:pPr>
        <w:spacing w:after="120" w:before="0"/>
      </w:pPr>
      <w:r>
        <w:rPr>
          <w:rFonts w:ascii="Calibri" w:cs="Calibri" w:eastAsia="Calibri" w:hAnsi="Calibri"/>
          <w:b w:val="false"/>
          <w:bCs w:val="false"/>
          <w:i w:val="false"/>
          <w:iCs w:val="false"/>
          <w:color w:val="1B2432"/>
          <w:sz w:val="21"/>
          <w:szCs w:val="21"/>
        </w:rPr>
        <w:t xml:space="preserve">The benefit case does not rest on replacing human judgement. It rests on four specific effects, each traceable to a named part of the design.</w:t>
      </w:r>
    </w:p>
    <w:p>
      <w:pPr>
        <w:pStyle w:val="Heading4"/>
        <w:spacing w:after="100" w:before="200"/>
      </w:pPr>
      <w:r>
        <w:rPr>
          <w:rFonts w:ascii="Calibri" w:cs="Calibri" w:eastAsia="Calibri" w:hAnsi="Calibri"/>
          <w:b/>
          <w:bCs/>
          <w:color w:val="C05621"/>
          <w:sz w:val="21"/>
          <w:szCs w:val="21"/>
        </w:rPr>
        <w:t xml:space="preserve">Context is externalised rather than remembered</w:t>
      </w:r>
    </w:p>
    <w:p>
      <w:pPr>
        <w:spacing w:after="120" w:before="0"/>
      </w:pPr>
      <w:r>
        <w:rPr>
          <w:rFonts w:ascii="Calibri" w:cs="Calibri" w:eastAsia="Calibri" w:hAnsi="Calibri"/>
          <w:b w:val="false"/>
          <w:bCs w:val="false"/>
          <w:i w:val="false"/>
          <w:iCs w:val="false"/>
          <w:color w:val="1B2432"/>
          <w:sz w:val="21"/>
          <w:szCs w:val="21"/>
        </w:rPr>
        <w:t xml:space="preserve">Today the onboarding record lives in one person's working memory across a lifecycle that spans stages, teams and months. SK-XC-01, SK-XC-04 and SK-XC-07 move that record into the platform, which means the onboarding survives a handover, an absence, or a reassignment without loss.</w:t>
      </w:r>
    </w:p>
    <w:p>
      <w:pPr>
        <w:pStyle w:val="Heading4"/>
        <w:spacing w:after="100" w:before="200"/>
      </w:pPr>
      <w:r>
        <w:rPr>
          <w:rFonts w:ascii="Calibri" w:cs="Calibri" w:eastAsia="Calibri" w:hAnsi="Calibri"/>
          <w:b/>
          <w:bCs/>
          <w:color w:val="C05621"/>
          <w:sz w:val="21"/>
          <w:szCs w:val="21"/>
        </w:rPr>
        <w:t xml:space="preserve">Rules are enforced rather than recalled</w:t>
      </w:r>
    </w:p>
    <w:p>
      <w:pPr>
        <w:spacing w:after="120" w:before="0"/>
      </w:pPr>
      <w:r>
        <w:rPr>
          <w:rFonts w:ascii="Calibri" w:cs="Calibri" w:eastAsia="Calibri" w:hAnsi="Calibri"/>
          <w:b w:val="false"/>
          <w:bCs w:val="false"/>
          <w:i w:val="false"/>
          <w:iCs w:val="false"/>
          <w:color w:val="1B2432"/>
          <w:sz w:val="21"/>
          <w:szCs w:val="21"/>
        </w:rPr>
        <w:t xml:space="preserve">Ticket routing, access routing, environment accounts, the promotion ladder and triage completion are all rules that exist, are known, and are occasionally applied incorrectly — with the failure appearing days later as a request in the wrong queue or a ticket nobody can see. Encoding them as skills removes an entire class of rework.</w:t>
      </w:r>
    </w:p>
    <w:p>
      <w:pPr>
        <w:pStyle w:val="Heading4"/>
        <w:spacing w:after="100" w:before="200"/>
      </w:pPr>
      <w:r>
        <w:rPr>
          <w:rFonts w:ascii="Calibri" w:cs="Calibri" w:eastAsia="Calibri" w:hAnsi="Calibri"/>
          <w:b/>
          <w:bCs/>
          <w:color w:val="C05621"/>
          <w:sz w:val="21"/>
          <w:szCs w:val="21"/>
        </w:rPr>
        <w:t xml:space="preserve">Waiting is made visible</w:t>
      </w:r>
    </w:p>
    <w:p>
      <w:pPr>
        <w:spacing w:after="120" w:before="0"/>
      </w:pPr>
      <w:r>
        <w:rPr>
          <w:rFonts w:ascii="Calibri" w:cs="Calibri" w:eastAsia="Calibri" w:hAnsi="Calibri"/>
          <w:b w:val="false"/>
          <w:bCs w:val="false"/>
          <w:i w:val="false"/>
          <w:iCs w:val="false"/>
          <w:color w:val="1B2432"/>
          <w:sz w:val="21"/>
          <w:szCs w:val="21"/>
        </w:rPr>
        <w:t xml:space="preserve">The gap between effort and elapsed time in the current state is waiting — for a clarification, an approval, a session, a queue. SK-TR-08, SK-FS-12, SK-XC-06 and SK-XC-11 make that waiting visible and ageing, which is the precondition for reducing it.</w:t>
      </w:r>
    </w:p>
    <w:p>
      <w:pPr>
        <w:pStyle w:val="Heading4"/>
        <w:spacing w:after="100" w:before="200"/>
      </w:pPr>
      <w:r>
        <w:rPr>
          <w:rFonts w:ascii="Calibri" w:cs="Calibri" w:eastAsia="Calibri" w:hAnsi="Calibri"/>
          <w:b/>
          <w:bCs/>
          <w:color w:val="C05621"/>
          <w:sz w:val="21"/>
          <w:szCs w:val="21"/>
        </w:rPr>
        <w:t xml:space="preserve">Decisions are prepared for rather than waited on</w:t>
      </w:r>
    </w:p>
    <w:p>
      <w:pPr>
        <w:spacing w:after="120" w:before="0"/>
      </w:pPr>
      <w:r>
        <w:rPr>
          <w:rFonts w:ascii="Calibri" w:cs="Calibri" w:eastAsia="Calibri" w:hAnsi="Calibri"/>
          <w:b w:val="false"/>
          <w:bCs w:val="false"/>
          <w:i w:val="false"/>
          <w:iCs w:val="false"/>
          <w:color w:val="1B2432"/>
          <w:sz w:val="21"/>
          <w:szCs w:val="21"/>
        </w:rPr>
        <w:t xml:space="preserve">The Imaging Governance determination cannot be automated — it requires a team to view documents on the flow and decide. What can be improved is everything around it: whether samples exist when the request is made, whether the submission contains what the team needs, whether the request is tracked and aged, and whether the outcome is registered so downstream configuration keys to it. SK-IN-13, SK-CN-12, SK-CN-13 and SK-CN-14 address exactly that, and the effect is to remove the delay and the rework around a decision without touching the decision itself.</w:t>
      </w:r>
    </w:p>
    <w:p>
      <w:pPr>
        <w:pStyle w:val="Heading4"/>
        <w:spacing w:after="100" w:before="200"/>
      </w:pPr>
      <w:r>
        <w:rPr>
          <w:rFonts w:ascii="Calibri" w:cs="Calibri" w:eastAsia="Calibri" w:hAnsi="Calibri"/>
          <w:b/>
          <w:bCs/>
          <w:color w:val="C05621"/>
          <w:sz w:val="21"/>
          <w:szCs w:val="21"/>
        </w:rPr>
        <w:t xml:space="preserve">Precedent is reused</w:t>
      </w:r>
    </w:p>
    <w:p>
      <w:pPr>
        <w:spacing w:after="120" w:before="0"/>
      </w:pPr>
      <w:r>
        <w:rPr>
          <w:rFonts w:ascii="Calibri" w:cs="Calibri" w:eastAsia="Calibri" w:hAnsi="Calibri"/>
          <w:b w:val="false"/>
          <w:bCs w:val="false"/>
          <w:i w:val="false"/>
          <w:iCs w:val="false"/>
          <w:color w:val="1B2432"/>
          <w:sz w:val="21"/>
          <w:szCs w:val="21"/>
        </w:rPr>
        <w:t xml:space="preserve">Every onboarding re-derives determinations that a comparable onboarding already made. SK-XC-12 surfaces the precedent, which shortens discovery and reduces the variance between how two similar partners are onboarded.</w:t>
      </w:r>
    </w:p>
    <w:p>
      <w:pPr>
        <w:pStyle w:val="Heading2"/>
        <w:spacing w:after="160" w:before="300"/>
      </w:pPr>
      <w:r>
        <w:rPr>
          <w:rFonts w:ascii="Cambria" w:cs="Cambria" w:eastAsia="Cambria" w:hAnsi="Cambria"/>
          <w:b/>
          <w:bCs/>
          <w:color w:val="1E2761"/>
          <w:sz w:val="26"/>
          <w:szCs w:val="26"/>
        </w:rPr>
        <w:t xml:space="preserve">3.10 Sequencing the Build</w:t>
      </w:r>
    </w:p>
    <w:p>
      <w:pPr>
        <w:spacing w:after="120" w:before="0"/>
      </w:pPr>
      <w:r>
        <w:rPr>
          <w:rFonts w:ascii="Calibri" w:cs="Calibri" w:eastAsia="Calibri" w:hAnsi="Calibri"/>
          <w:b w:val="false"/>
          <w:bCs w:val="false"/>
          <w:i w:val="false"/>
          <w:iCs w:val="false"/>
          <w:color w:val="1B2432"/>
          <w:sz w:val="21"/>
          <w:szCs w:val="21"/>
        </w:rPr>
        <w:t xml:space="preserve">The catalogue in section 3.5 describes the full target. It should not be built in one pass. The sequencing below builds the highest-leverage capability first and defers integration-heavy work until the procedural layer is proven.</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1400"/>
        <w:gridCol w:w="3000"/>
        <w:gridCol w:w="4960"/>
      </w:tblGrid>
      <w:tr>
        <w:trPr>
          <w:tblHeader/>
        </w:trPr>
        <w:tc>
          <w:tcPr>
            <w:tcW w:type="dxa" w:w="1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Wave</w:t>
            </w:r>
          </w:p>
        </w:tc>
        <w:tc>
          <w:tcPr>
            <w:tcW w:type="dxa" w:w="30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Focus</w:t>
            </w:r>
          </w:p>
        </w:tc>
        <w:tc>
          <w:tcPr>
            <w:tcW w:type="dxa" w:w="49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Rationale</w:t>
            </w:r>
          </w:p>
        </w:tc>
      </w:tr>
      <w:tr>
        <w:tc>
          <w:tcPr>
            <w:tcW w:type="dxa" w:w="1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Wave 1</w:t>
            </w:r>
          </w:p>
        </w:tc>
        <w:tc>
          <w:tcPr>
            <w:tcW w:type="dxa" w:w="30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Cross-cutting skills — SK-XC-01 through SK-XC-05 — plus the eight MVP1 sub-agents</w:t>
            </w:r>
          </w:p>
        </w:tc>
        <w:tc>
          <w:tcPr>
            <w:tcW w:type="dxa" w:w="4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Nothing else works well without onboarding state, determination carry-forward, routing guards and disclosure. These are the foundation the rest depends on.</w:t>
            </w:r>
          </w:p>
        </w:tc>
      </w:tr>
      <w:tr>
        <w:tc>
          <w:tcPr>
            <w:tcW w:type="dxa" w:w="1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Wave 2</w:t>
            </w:r>
          </w:p>
        </w:tc>
        <w:tc>
          <w:tcPr>
            <w:tcW w:type="dxa" w:w="30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Intake and triage domains — SK-IN and SK-TR</w:t>
            </w:r>
          </w:p>
        </w:tc>
        <w:tc>
          <w:tcPr>
            <w:tcW w:type="dxa" w:w="4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Highest volume, most repetitive, clearest rules, and it is the stage where incomplete work creates the most downstream cost.</w:t>
            </w:r>
          </w:p>
        </w:tc>
      </w:tr>
      <w:tr>
        <w:tc>
          <w:tcPr>
            <w:tcW w:type="dxa" w:w="1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Wave 3</w:t>
            </w:r>
          </w:p>
        </w:tc>
        <w:tc>
          <w:tcPr>
            <w:tcW w:type="dxa" w:w="30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Foundational setup, gateway and events — SK-FS and SK-AK</w:t>
            </w:r>
          </w:p>
        </w:tc>
        <w:tc>
          <w:tcPr>
            <w:tcW w:type="dxa" w:w="4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Longest lead-time items and the ones where routing errors are most expensive. Strong candidates for early P3 integration.</w:t>
            </w:r>
          </w:p>
        </w:tc>
      </w:tr>
      <w:tr>
        <w:tc>
          <w:tcPr>
            <w:tcW w:type="dxa" w:w="1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Wave 4</w:t>
            </w:r>
          </w:p>
        </w:tc>
        <w:tc>
          <w:tcPr>
            <w:tcW w:type="dxa" w:w="300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Content, records, metadata — SK-CN, SK-RM, SK-MD</w:t>
            </w:r>
          </w:p>
        </w:tc>
        <w:tc>
          <w:tcPr>
            <w:tcW w:type="dxa" w:w="4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Specialist-heavy and design-led; benefits most from P2 guidance rather than P3 automation. The governance liaison skills — SK-CN-12 to SK-CN-16 — are worth pulling forward within this wave, because an unregistered determination blocks the rest of the content workstream.</w:t>
            </w:r>
          </w:p>
        </w:tc>
      </w:tr>
      <w:tr>
        <w:tc>
          <w:tcPr>
            <w:tcW w:type="dxa" w:w="1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Wave 5</w:t>
            </w:r>
          </w:p>
        </w:tc>
        <w:tc>
          <w:tcPr>
            <w:tcW w:type="dxa" w:w="300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Testing, progression and release — SK-TE and SK-RL</w:t>
            </w:r>
          </w:p>
        </w:tc>
        <w:tc>
          <w:tcPr>
            <w:tcW w:type="dxa" w:w="4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Depends on everything upstream being in place. Release readiness in particular is largely a generation problem once the onboarding record is complete.</w:t>
            </w:r>
          </w:p>
        </w:tc>
      </w:tr>
    </w:tbl>
    <w:p>
      <w:pPr>
        <w:spacing w:after="120"/>
      </w:pPr>
      <w:r>
        <w:t xml:space="preserve"/>
      </w:r>
    </w:p>
    <w:p>
      <w:pPr>
        <w:pStyle w:val="Heading2"/>
        <w:spacing w:after="160" w:before="300"/>
      </w:pPr>
      <w:r>
        <w:rPr>
          <w:rFonts w:ascii="Cambria" w:cs="Cambria" w:eastAsia="Cambria" w:hAnsi="Cambria"/>
          <w:b/>
          <w:bCs/>
          <w:color w:val="1E2761"/>
          <w:sz w:val="26"/>
          <w:szCs w:val="26"/>
        </w:rPr>
        <w:t xml:space="preserve">3.11 What Must Be Measured First</w:t>
      </w:r>
    </w:p>
    <w:tbl>
      <w:tblPr>
        <w:tblW w:type="dxa" w:w="9360"/>
        <w:tblBorders>
          <w:top w:val="single" w:color="C05621" w:sz="6"/>
          <w:left w:val="single" w:color="C05621" w:sz="6"/>
          <w:bottom w:val="single" w:color="C05621" w:sz="6"/>
          <w:right w:val="single" w:color="C05621" w:sz="6"/>
          <w:insideH w:val="none"/>
          <w:insideV w:val="none"/>
        </w:tblBorders>
      </w:tblPr>
      <w:tblGrid>
        <w:gridCol w:w="9360"/>
      </w:tblGrid>
      <w:tr>
        <w:tc>
          <w:tcPr>
            <w:tcW w:type="dxa" w:w="9360"/>
            <w:shd w:fill="FDF6F1" w:color="auto" w:val="clear"/>
            <w:tcMar>
              <w:top w:type="dxa" w:w="140"/>
              <w:left w:type="dxa" w:w="160"/>
              <w:bottom w:type="dxa" w:w="140"/>
              <w:right w:type="dxa" w:w="160"/>
            </w:tcMar>
          </w:tcPr>
          <w:p>
            <w:pPr>
              <w:spacing w:after="80"/>
            </w:pPr>
            <w:r>
              <w:rPr>
                <w:rFonts w:ascii="Calibri" w:cs="Calibri" w:eastAsia="Calibri" w:hAnsi="Calibri"/>
                <w:b/>
                <w:bCs/>
                <w:color w:val="C05621"/>
                <w:sz w:val="20"/>
                <w:szCs w:val="20"/>
              </w:rPr>
              <w:t xml:space="preserve">THE BASELINE IS A PREREQUISITE, NOT A FORMALITY</w:t>
            </w:r>
          </w:p>
          <w:p>
            <w:pPr>
              <w:spacing w:after="60"/>
            </w:pPr>
            <w:r>
              <w:rPr>
                <w:rFonts w:ascii="Calibri" w:cs="Calibri" w:eastAsia="Calibri" w:hAnsi="Calibri"/>
                <w:color w:val="1B2432"/>
                <w:sz w:val="20"/>
                <w:szCs w:val="20"/>
              </w:rPr>
              <w:t xml:space="preserve">The benefit of this design is expressed as reduced effort and reduced elapsed time. Neither can be claimed without a current-state baseline.</w:t>
            </w:r>
          </w:p>
          <w:p>
            <w:pPr>
              <w:spacing w:after="60"/>
            </w:pPr>
            <w:r>
              <w:rPr>
                <w:rFonts w:ascii="Calibri" w:cs="Calibri" w:eastAsia="Calibri" w:hAnsi="Calibri"/>
                <w:color w:val="1B2432"/>
                <w:sz w:val="20"/>
                <w:szCs w:val="20"/>
              </w:rPr>
              <w:t xml:space="preserve">What is needed: person-days per team per stage, and elapsed calendar days from stage entry to stage exit, drawn from completed intakes rather than estimated.</w:t>
            </w:r>
          </w:p>
          <w:p>
            <w:pPr>
              <w:spacing w:after="60"/>
            </w:pPr>
            <w:r>
              <w:rPr>
                <w:rFonts w:ascii="Calibri" w:cs="Calibri" w:eastAsia="Calibri" w:hAnsi="Calibri"/>
                <w:color w:val="1B2432"/>
                <w:sz w:val="20"/>
                <w:szCs w:val="20"/>
              </w:rPr>
              <w:t xml:space="preserve">The gap between the two — effort versus elapsed — is where the waiting sits, and waiting is what most of this design targets. Without that split the benefit case cannot distinguish between making people faster and removing time they spend waiting, which are different claims requiring different evidence.</w:t>
            </w:r>
          </w:p>
        </w:tc>
      </w:tr>
    </w:tbl>
    <w:p>
      <w:pPr>
        <w:pStyle w:val="Heading2"/>
        <w:spacing w:after="160" w:before="300"/>
      </w:pPr>
      <w:r>
        <w:rPr>
          <w:rFonts w:ascii="Cambria" w:cs="Cambria" w:eastAsia="Cambria" w:hAnsi="Cambria"/>
          <w:b/>
          <w:bCs/>
          <w:color w:val="1E2761"/>
          <w:sz w:val="26"/>
          <w:szCs w:val="26"/>
        </w:rPr>
        <w:t xml:space="preserve">3.12 Summary</w:t>
      </w:r>
    </w:p>
    <w:p>
      <w:pPr>
        <w:spacing w:after="120" w:before="0"/>
      </w:pPr>
      <w:r>
        <w:rPr>
          <w:rFonts w:ascii="Calibri" w:cs="Calibri" w:eastAsia="Calibri" w:hAnsi="Calibri"/>
          <w:b w:val="false"/>
          <w:bCs w:val="false"/>
          <w:i w:val="false"/>
          <w:iCs w:val="false"/>
          <w:color w:val="1B2432"/>
          <w:sz w:val="21"/>
          <w:szCs w:val="21"/>
        </w:rPr>
        <w:t xml:space="preserve">Onboard360AI sits as an orchestrating sub-agent beneath the Platform Specialist Agent on iDocs Canvas, built on Tachyon SDK. It owns the partner onboarding journey end to end, holds the onboarding state that today lives in one person's memory, and routes to nineteen goal-bearing sub-agents supported by a catalogue of one hundred and thirty-eight skills organised across twelve domains.</w:t>
      </w:r>
    </w:p>
    <w:p>
      <w:pPr>
        <w:spacing w:after="120" w:before="0"/>
      </w:pPr>
      <w:r>
        <w:rPr>
          <w:rFonts w:ascii="Calibri" w:cs="Calibri" w:eastAsia="Calibri" w:hAnsi="Calibri"/>
          <w:b w:val="false"/>
          <w:bCs w:val="false"/>
          <w:i w:val="false"/>
          <w:iCs w:val="false"/>
          <w:color w:val="1B2432"/>
          <w:sz w:val="21"/>
          <w:szCs w:val="21"/>
        </w:rPr>
        <w:t xml:space="preserve">Skills are exposed by user type. The requestor sees intake authoring and status. The intake team sees validation, triage and epic composition. Triage leads see routing derivation and the label state machine. LOB sponsors see evidence. The enabler user — the Partner Onboarding Resource — sees everything, because they are the role the design is built around. Imaging Governance sees only what it needs to make a determination — the documents on the flow, the path context, and the classification taxonomy. Engineering and specialist teams see their own workstreams. Platform Support sees handover.</w:t>
      </w:r>
    </w:p>
    <w:p>
      <w:pPr>
        <w:spacing w:after="120" w:before="0"/>
      </w:pPr>
      <w:r>
        <w:rPr>
          <w:rFonts w:ascii="Calibri" w:cs="Calibri" w:eastAsia="Calibri" w:hAnsi="Calibri"/>
          <w:b w:val="false"/>
          <w:bCs w:val="false"/>
          <w:i w:val="false"/>
          <w:iCs w:val="false"/>
          <w:color w:val="1B2432"/>
          <w:sz w:val="21"/>
          <w:szCs w:val="21"/>
        </w:rPr>
        <w:t xml:space="preserve">Every skill declares its integration phase and discloses it at runtime, so no user assumes an action was taken when it was only described. Every rule that today fails silently — ticket routing, access routing, environment accounts, the promotion ladder, triage completion — is enforced rather than remembered. And every decision that carries business, regulatory or security consequence remains with the named human who holds it today — including the Imaging Governance determination and the document classification allocation, which the agent prepares for, tracks and registers, but does not make.</w:t>
      </w:r>
    </w:p>
    <w:p>
      <w:r>
        <w:br w:type="page"/>
      </w:r>
    </w:p>
    <w:p>
      <w:pPr>
        <w:pStyle w:val="Heading1"/>
        <w:spacing w:after="200" w:before="360"/>
      </w:pPr>
      <w:r>
        <w:rPr>
          <w:rFonts w:ascii="Cambria" w:cs="Cambria" w:eastAsia="Cambria" w:hAnsi="Cambria"/>
          <w:b/>
          <w:bCs/>
          <w:color w:val="1E2761"/>
          <w:sz w:val="32"/>
          <w:szCs w:val="32"/>
        </w:rPr>
        <w:t xml:space="preserve">Appendix — Glossary</w:t>
      </w:r>
    </w:p>
    <w:tbl>
      <w:tblPr>
        <w:tblW w:type="dxa" w:w="9360"/>
        <w:tblBorders>
          <w:top w:val="single" w:color="D9DEE7" w:sz="2"/>
          <w:left w:val="single" w:color="D9DEE7" w:sz="2"/>
          <w:bottom w:val="single" w:color="D9DEE7" w:sz="2"/>
          <w:right w:val="single" w:color="D9DEE7" w:sz="2"/>
          <w:insideH w:val="single" w:color="D9DEE7" w:sz="2"/>
          <w:insideV w:val="single" w:color="D9DEE7" w:sz="2"/>
        </w:tblBorders>
      </w:tblPr>
      <w:tblGrid>
        <w:gridCol w:w="2400"/>
        <w:gridCol w:w="6960"/>
      </w:tblGrid>
      <w:tr>
        <w:trPr>
          <w:tblHeader/>
        </w:trPr>
        <w:tc>
          <w:tcPr>
            <w:tcW w:type="dxa" w:w="240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Term</w:t>
            </w:r>
          </w:p>
        </w:tc>
        <w:tc>
          <w:tcPr>
            <w:tcW w:type="dxa" w:w="6960"/>
            <w:shd w:fill="1E2761"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Meaning</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ATL / ATL+ / BTL / TBD</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Commitment indicators returned at capacity assessment. Above the line, above the line with additional confidence or scope, below the line, and to be determined.</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BAU</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Business as usual. Also used for steady-state volume, as distinct from migration and peak.</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DOR</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Definition of Ready. The intake workbook completed by the requestor at stage 1.</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ECM / CMP</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Enterprise content management and content management platform services.</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HITL</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Human in the loop. Human validation invoked where AI classification cannot confirm.</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Imaging Governance</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team that determines whether documents are trusted or untrusted by viewing them on the flow, and that allocates document category, type and subtype for trusted content.</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iDocs</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AI-based document classification engine.</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iDocs Canvas</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Enterprise document intelligence platform, built on Tachyon SDK. The host platform for Onboard360AI.</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ICMP</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Enterprise repository for document archival, retention, search and retrieval.</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IRM</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Iron Mountain. Human-in-the-loop validation and classification service.</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KEES</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Kafka Enablement Engagement Services. The engagement track covering Kafka onboarding, consumer groups and notifications.</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L1 / L2 / L3 / L4</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Product management and product ownership levels within the delivery organisation.</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LOB</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Line of Business. Owns the priority ranking at stage 3.</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MCP</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Model Context Protocol. The integration mechanism for phase 3 direct system integration.</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Onboard360AI</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Master Onboarding Agent. An orchestrating sub-agent of the Platform Specialist Agent.</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P1 / P2 / P3</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Integration maturity phases. Link, read-and-guide, and direct integration respectively.</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PAA</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Publicly Accessible Application. The zone in which the worked use case partner resides.</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RCC</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Organisational mapping applied to stored content alongside legal entity and security keys.</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RIA</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Registered Investment Advisor.</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RM</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Records Management. Owns retention policy governance and implementation.</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SME</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Subject matter expert.</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SPLI</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System Performance Load Ingestion Testing. Volume-driven load testing, applicability determined from the volume profile.</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Tachyon SDK</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The SDK underpinning iDocs Canvas. Provides config-driven runtime composition, local and MCP tools, and pre and post contracts.</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TS</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Technical specification. TS profile updates are one of the four named onboarding deliverables.</w:t>
            </w:r>
          </w:p>
        </w:tc>
      </w:tr>
      <w:tr>
        <w:tc>
          <w:tcPr>
            <w:tcW w:type="dxa" w:w="2400"/>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UAT</w:t>
            </w:r>
          </w:p>
        </w:tc>
        <w:tc>
          <w:tcPr>
            <w:tcW w:type="dxa" w:w="6960"/>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User acceptance testing.</w:t>
            </w:r>
          </w:p>
        </w:tc>
      </w:tr>
      <w:tr>
        <w:tc>
          <w:tcPr>
            <w:tcW w:type="dxa" w:w="2400"/>
            <w:shd w:fill="F4F6FA" w:color="auto" w:val="clear"/>
            <w:tcMar>
              <w:top w:type="dxa" w:w="80"/>
              <w:left w:type="dxa" w:w="110"/>
              <w:bottom w:type="dxa" w:w="80"/>
              <w:right w:type="dxa" w:w="110"/>
            </w:tcMar>
          </w:tcPr>
          <w:p>
            <w:pPr>
              <w:spacing w:after="0"/>
            </w:pPr>
            <w:r>
              <w:rPr>
                <w:rFonts w:ascii="Calibri" w:cs="Calibri" w:eastAsia="Calibri" w:hAnsi="Calibri"/>
                <w:b/>
                <w:bCs/>
                <w:color w:val="1B2432"/>
                <w:sz w:val="19"/>
                <w:szCs w:val="19"/>
              </w:rPr>
              <w:t xml:space="preserve">WORM</w:t>
            </w:r>
          </w:p>
        </w:tc>
        <w:tc>
          <w:tcPr>
            <w:tcW w:type="dxa" w:w="6960"/>
            <w:shd w:fill="F4F6FA" w:color="auto" w:val="clear"/>
            <w:tcMar>
              <w:top w:type="dxa" w:w="80"/>
              <w:left w:type="dxa" w:w="110"/>
              <w:bottom w:type="dxa" w:w="80"/>
              <w:right w:type="dxa" w:w="110"/>
            </w:tcMar>
          </w:tcPr>
          <w:p>
            <w:pPr>
              <w:spacing w:after="0"/>
            </w:pPr>
            <w:r>
              <w:rPr>
                <w:rFonts w:ascii="Calibri" w:cs="Calibri" w:eastAsia="Calibri" w:hAnsi="Calibri"/>
                <w:b w:val="false"/>
                <w:bCs w:val="false"/>
                <w:color w:val="1B2432"/>
                <w:sz w:val="19"/>
                <w:szCs w:val="19"/>
              </w:rPr>
              <w:t xml:space="preserve">Write once read many. Regulated storage mode required for certain compliance obligations.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6"/>
        <w:szCs w:val="16"/>
      </w:rPr>
      <w:t xml:space="preserve">Partner Onboarding — Current State, Worked Use Case, and Target State   ·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Onboarding — Current State, Worked Use Case, and Target State</dc:title>
  <dc:creator>ECM / ICMP Partner Onboarding</dc:creator>
  <cp:lastModifiedBy>Un-named</cp:lastModifiedBy>
  <cp:revision>1</cp:revision>
  <dcterms:created xsi:type="dcterms:W3CDTF">2026-09-09T05:11:40.855Z</dcterms:created>
  <dcterms:modified xsi:type="dcterms:W3CDTF">2026-09-09T05:11:40.865Z</dcterms:modified>
</cp:coreProperties>
</file>

<file path=docProps/custom.xml><?xml version="1.0" encoding="utf-8"?>
<Properties xmlns="http://schemas.openxmlformats.org/officeDocument/2006/custom-properties" xmlns:vt="http://schemas.openxmlformats.org/officeDocument/2006/docPropsVTypes"/>
</file>