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900"/>
      </w:pPr>
      <w:r>
        <w:rPr>
          <w:rFonts w:ascii="Calibri" w:cs="Calibri" w:eastAsia="Calibri" w:hAnsi="Calibri"/>
          <w:b/>
          <w:bCs/>
          <w:i w:val="false"/>
          <w:iCs w:val="false"/>
          <w:color w:val="0F2B46"/>
          <w:sz w:val="56"/>
          <w:szCs w:val="56"/>
        </w:rPr>
        <w:t xml:space="preserve">ONBOARD360AI</w:t>
      </w:r>
    </w:p>
    <w:p>
      <w:pPr>
        <w:spacing w:after="200"/>
      </w:pPr>
      <w:r>
        <w:rPr>
          <w:rFonts w:ascii="Calibri" w:cs="Calibri" w:eastAsia="Calibri" w:hAnsi="Calibri"/>
          <w:b w:val="false"/>
          <w:bCs w:val="false"/>
          <w:i w:val="false"/>
          <w:iCs w:val="false"/>
          <w:color w:val="1F4E79"/>
          <w:sz w:val="30"/>
          <w:szCs w:val="30"/>
        </w:rPr>
        <w:t xml:space="preserve">ICMP Partner Onboarding — Agent Architecture Specification</w:t>
      </w:r>
    </w:p>
    <w:p>
      <w:pPr>
        <w:pBdr>
          <w:bottom w:val="single" w:color="C9D2DC" w:sz="6" w:space="1"/>
        </w:pBdr>
        <w:spacing w:after="120"/>
      </w:pPr>
    </w:p>
    <w:p>
      <w:pPr>
        <w:spacing w:after="60"/>
      </w:pPr>
      <w:r>
        <w:rPr>
          <w:rFonts w:ascii="Calibri" w:cs="Calibri" w:eastAsia="Calibri" w:hAnsi="Calibri"/>
          <w:b/>
          <w:bCs/>
          <w:i w:val="false"/>
          <w:iCs w:val="false"/>
          <w:color w:val="B26A00"/>
          <w:sz w:val="22"/>
          <w:szCs w:val="22"/>
        </w:rPr>
        <w:t xml:space="preserve">Base Version 1.0</w:t>
      </w:r>
    </w:p>
    <w:p>
      <w:pPr>
        <w:spacing w:after="40"/>
      </w:pPr>
      <w:r>
        <w:rPr>
          <w:rFonts w:ascii="Calibri" w:cs="Calibri" w:eastAsia="Calibri" w:hAnsi="Calibri"/>
          <w:b w:val="false"/>
          <w:bCs w:val="false"/>
          <w:i w:val="false"/>
          <w:iCs w:val="false"/>
          <w:color w:val="4A5568"/>
          <w:sz w:val="19"/>
          <w:szCs w:val="19"/>
        </w:rPr>
        <w:t xml:space="preserve">Platform: iDox Playground  ·  Runtime: Specialist Agent on Tachyon SDK</w:t>
      </w:r>
    </w:p>
    <w:p>
      <w:pPr>
        <w:spacing w:after="400"/>
      </w:pPr>
      <w:r>
        <w:rPr>
          <w:rFonts w:ascii="Calibri" w:cs="Calibri" w:eastAsia="Calibri" w:hAnsi="Calibri"/>
          <w:b w:val="false"/>
          <w:bCs w:val="false"/>
          <w:i w:val="false"/>
          <w:iCs w:val="false"/>
          <w:color w:val="4A5568"/>
          <w:sz w:val="19"/>
          <w:szCs w:val="19"/>
        </w:rPr>
        <w:t xml:space="preserve">Scope: 1 master agent  ·  8 sub-agents  ·  48 skills (excluding sub-skills)  ·  3-phase integration roadmap</w:t>
      </w:r>
    </w:p>
    <w:p>
      <w:r>
        <w:br w:type="page"/>
      </w:r>
    </w:p>
    <w:p>
      <w:pPr>
        <w:pStyle w:val="Heading1"/>
        <w:spacing w:after="140" w:before="340"/>
      </w:pPr>
      <w:r>
        <w:rPr>
          <w:rFonts w:ascii="Calibri" w:cs="Calibri" w:eastAsia="Calibri" w:hAnsi="Calibri"/>
          <w:b/>
          <w:bCs/>
          <w:i w:val="false"/>
          <w:iCs w:val="false"/>
          <w:color w:val="0F2B46"/>
          <w:sz w:val="30"/>
          <w:szCs w:val="30"/>
        </w:rPr>
        <w:t xml:space="preserve">1.  Platform Context</w:t>
      </w:r>
    </w:p>
    <w:p>
      <w:pPr>
        <w:spacing w:after="80" w:before="0"/>
      </w:pPr>
      <w:r>
        <w:rPr>
          <w:rFonts w:ascii="Calibri" w:cs="Calibri" w:eastAsia="Calibri" w:hAnsi="Calibri"/>
          <w:b w:val="false"/>
          <w:bCs w:val="false"/>
          <w:i w:val="false"/>
          <w:iCs w:val="false"/>
          <w:color w:val="1A202C"/>
          <w:sz w:val="19"/>
          <w:szCs w:val="19"/>
        </w:rPr>
        <w:t xml:space="preserve">iDox Playground is the enterprise document intelligence platform within which this architecture is authored and executed. Onboard360AI is not a standalone application — it is a configuration-defined agent hierarchy composed at runtime by the platform's Specialist Agent.</w:t>
      </w:r>
    </w:p>
    <w:p>
      <w:pPr>
        <w:pStyle w:val="Heading2"/>
        <w:spacing w:after="110" w:before="260"/>
      </w:pPr>
      <w:r>
        <w:rPr>
          <w:rFonts w:ascii="Calibri" w:cs="Calibri" w:eastAsia="Calibri" w:hAnsi="Calibri"/>
          <w:b/>
          <w:bCs/>
          <w:i w:val="false"/>
          <w:iCs w:val="false"/>
          <w:color w:val="1F4E79"/>
          <w:sz w:val="23"/>
          <w:szCs w:val="23"/>
        </w:rPr>
        <w:t xml:space="preserve">1.1  Runtime layers</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2600"/>
        <w:gridCol w:w="4400"/>
        <w:gridCol w:w="7400"/>
      </w:tblGrid>
      <w:tr>
        <w:trPr>
          <w:tblHeader/>
        </w:trPr>
        <w:tc>
          <w:tcPr>
            <w:tcW w:type="dxa" w:w="2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Layer</w:t>
            </w:r>
          </w:p>
        </w:tc>
        <w:tc>
          <w:tcPr>
            <w:tcW w:type="dxa" w:w="4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What it is</w:t>
            </w:r>
          </w:p>
        </w:tc>
        <w:tc>
          <w:tcPr>
            <w:tcW w:type="dxa" w:w="7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Behaviour</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iDox Playground</w:t>
            </w:r>
          </w:p>
        </w:tc>
        <w:tc>
          <w:tcPr>
            <w:tcW w:type="dxa" w:w="4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Enterprise document intelligence platform</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Hosts the Agent Admin UI where sub-agents and skills are authored declaratively. No code deployment is required to add or change an agent.</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Specialist Agent</w:t>
            </w:r>
          </w:p>
        </w:tc>
        <w:tc>
          <w:tcPr>
            <w:tcW w:type="dxa" w:w="4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Built on Tachyon SDK (enterprise-internal); a Google-SDK-style agent implementation runs in parallel</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Instantiates sub-agents and skills from configuration at runtime. Exposes both local tools and MCP tools. Enforces multiple real-time contracts before and after every model execution and every tool execution.</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Onboard360AI</w:t>
            </w:r>
          </w:p>
        </w:tc>
        <w:tc>
          <w:tcPr>
            <w:tcW w:type="dxa" w:w="4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Master onboarding agent</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The entry point partners interact with. Owns welcome, eligibility determination, routing, sequencing and journey state.</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Sub-agents</w:t>
            </w:r>
          </w:p>
        </w:tc>
        <w:tc>
          <w:tcPr>
            <w:tcW w:type="dxa" w:w="4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Goal-bearing units (8 defined)</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Each has a terminal outcome that is either achieved or not. Carries goals and tool/function bindings.</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Skills</w:t>
            </w:r>
          </w:p>
        </w:tc>
        <w:tc>
          <w:tcPr>
            <w:tcW w:type="dxa" w:w="4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Knowledge and procedure units (48 defined)</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Carry system instructions, user instructions, reference material (.md), and sequential or conditional Q&amp;A. Invoked by sub-agents; reusable across them.</w:t>
            </w:r>
          </w:p>
        </w:tc>
      </w:tr>
    </w:tbl>
    <w:p>
      <w:pPr>
        <w:pStyle w:val="Heading2"/>
        <w:spacing w:after="110" w:before="260"/>
      </w:pPr>
      <w:r>
        <w:rPr>
          <w:rFonts w:ascii="Calibri" w:cs="Calibri" w:eastAsia="Calibri" w:hAnsi="Calibri"/>
          <w:b/>
          <w:bCs/>
          <w:i w:val="false"/>
          <w:iCs w:val="false"/>
          <w:color w:val="1F4E79"/>
          <w:sz w:val="23"/>
          <w:szCs w:val="23"/>
        </w:rPr>
        <w:t xml:space="preserve">1.2  The agent-versus-skill rule</w:t>
      </w:r>
    </w:p>
    <w:p>
      <w:pPr>
        <w:spacing w:after="80" w:before="0"/>
      </w:pPr>
      <w:r>
        <w:rPr>
          <w:rFonts w:ascii="Calibri" w:cs="Calibri" w:eastAsia="Calibri" w:hAnsi="Calibri"/>
          <w:b w:val="false"/>
          <w:bCs w:val="false"/>
          <w:i w:val="false"/>
          <w:iCs w:val="false"/>
          <w:color w:val="1A202C"/>
          <w:sz w:val="19"/>
          <w:szCs w:val="19"/>
        </w:rPr>
        <w:t xml:space="preserve">If it has a goal — an outcome that is either achieved or not — it is a </w:t>
      </w:r>
      <w:r>
        <w:rPr>
          <w:rFonts w:ascii="Calibri" w:cs="Calibri" w:eastAsia="Calibri" w:hAnsi="Calibri"/>
          <w:b/>
          <w:bCs/>
          <w:i w:val="false"/>
          <w:iCs w:val="false"/>
          <w:color w:val="1A202C"/>
          <w:sz w:val="19"/>
          <w:szCs w:val="19"/>
        </w:rPr>
        <w:t xml:space="preserve">sub-agent</w:t>
      </w:r>
      <w:r>
        <w:rPr>
          <w:rFonts w:ascii="Calibri" w:cs="Calibri" w:eastAsia="Calibri" w:hAnsi="Calibri"/>
          <w:b w:val="false"/>
          <w:bCs w:val="false"/>
          <w:i w:val="false"/>
          <w:iCs w:val="false"/>
          <w:color w:val="1A202C"/>
          <w:sz w:val="19"/>
          <w:szCs w:val="19"/>
        </w:rPr>
        <w:t xml:space="preserve">. If it is procedural or explanatory knowledge with no terminal state of its own, it is a </w:t>
      </w:r>
      <w:r>
        <w:rPr>
          <w:rFonts w:ascii="Calibri" w:cs="Calibri" w:eastAsia="Calibri" w:hAnsi="Calibri"/>
          <w:b/>
          <w:bCs/>
          <w:i w:val="false"/>
          <w:iCs w:val="false"/>
          <w:color w:val="1A202C"/>
          <w:sz w:val="19"/>
          <w:szCs w:val="19"/>
        </w:rPr>
        <w:t xml:space="preserve">skill</w:t>
      </w:r>
      <w:r>
        <w:rPr>
          <w:rFonts w:ascii="Calibri" w:cs="Calibri" w:eastAsia="Calibri" w:hAnsi="Calibri"/>
          <w:b w:val="false"/>
          <w:bCs w:val="false"/>
          <w:i w:val="false"/>
          <w:iCs w:val="false"/>
          <w:color w:val="1A202C"/>
          <w:sz w:val="19"/>
          <w:szCs w:val="19"/>
        </w:rPr>
        <w:t xml:space="preserve"> that a sub-agent invokes.</w:t>
      </w:r>
    </w:p>
    <w:p>
      <w:pPr>
        <w:spacing w:after="80" w:before="0"/>
      </w:pPr>
      <w:r>
        <w:rPr>
          <w:rFonts w:ascii="Calibri" w:cs="Calibri" w:eastAsia="Calibri" w:hAnsi="Calibri"/>
          <w:b w:val="false"/>
          <w:bCs w:val="false"/>
          <w:i w:val="false"/>
          <w:iCs w:val="false"/>
          <w:color w:val="1A202C"/>
          <w:sz w:val="19"/>
          <w:szCs w:val="19"/>
        </w:rPr>
        <w:t xml:space="preserve">This mirrors the iDox authoring model, where the two definition forms are nearly symmetric with two deltas: sub-agents add goals and tool/function binding; skills add reference materials.</w:t>
      </w:r>
    </w:p>
    <w:p>
      <w:pPr>
        <w:spacing w:after="120"/>
      </w:pPr>
      <w:r>
        <w:rPr>
          <w:rFonts w:ascii="Calibri" w:cs="Calibri" w:eastAsia="Calibri" w:hAnsi="Calibri"/>
          <w:b w:val="false"/>
          <w:bCs w:val="false"/>
          <w:i/>
          <w:iCs/>
          <w:color w:val="4A5568"/>
          <w:sz w:val="16"/>
          <w:szCs w:val="16"/>
        </w:rPr>
        <w:t xml:space="preserve">Worked example — ICMP Foundations is pure explanatory knowledge with no terminal state, so it remains a skill. Postman Collection Generation produces an artifact that either exists or does not, so it is a sub-agent.</w:t>
      </w:r>
    </w:p>
    <w:p>
      <w:r>
        <w:br w:type="page"/>
      </w:r>
    </w:p>
    <w:p>
      <w:pPr>
        <w:pStyle w:val="Heading1"/>
        <w:spacing w:after="140" w:before="340"/>
      </w:pPr>
      <w:r>
        <w:rPr>
          <w:rFonts w:ascii="Calibri" w:cs="Calibri" w:eastAsia="Calibri" w:hAnsi="Calibri"/>
          <w:b/>
          <w:bCs/>
          <w:i w:val="false"/>
          <w:iCs w:val="false"/>
          <w:color w:val="0F2B46"/>
          <w:sz w:val="30"/>
          <w:szCs w:val="30"/>
        </w:rPr>
        <w:t xml:space="preserve">2.  Architecture Diagram</w:t>
      </w:r>
    </w:p>
    <w:p>
      <w:pPr>
        <w:spacing w:after="120"/>
        <w:jc w:val="center"/>
      </w:pPr>
      <w:r>
        <w:drawing>
          <wp:inline distT="0" distB="0" distL="0" distR="0">
            <wp:extent cx="8953500" cy="5819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953500" cy="5819775"/>
                    </a:xfrm>
                    <a:prstGeom prst="rect">
                      <a:avLst/>
                    </a:prstGeom>
                  </pic:spPr>
                </pic:pic>
              </a:graphicData>
            </a:graphic>
          </wp:inline>
        </w:drawing>
      </w:r>
    </w:p>
    <w:p>
      <w:pPr>
        <w:spacing w:after="120"/>
      </w:pPr>
      <w:r>
        <w:rPr>
          <w:rFonts w:ascii="Calibri" w:cs="Calibri" w:eastAsia="Calibri" w:hAnsi="Calibri"/>
          <w:b w:val="false"/>
          <w:bCs w:val="false"/>
          <w:i/>
          <w:iCs/>
          <w:color w:val="4A5568"/>
          <w:sz w:val="16"/>
          <w:szCs w:val="16"/>
        </w:rPr>
        <w:t xml:space="preserve">Colour key — teal border: POC branch · indigo border: implementation branch · slate border: both branches. Integration target dots follow the phase palette: amber = Phase 1, teal = Phase 2, indigo = Phase 3.</w:t>
      </w:r>
    </w:p>
    <w:p>
      <w:r>
        <w:br w:type="page"/>
      </w:r>
    </w:p>
    <w:p>
      <w:pPr>
        <w:pStyle w:val="Heading1"/>
        <w:spacing w:after="140" w:before="340"/>
      </w:pPr>
      <w:r>
        <w:rPr>
          <w:rFonts w:ascii="Calibri" w:cs="Calibri" w:eastAsia="Calibri" w:hAnsi="Calibri"/>
          <w:b/>
          <w:bCs/>
          <w:i w:val="false"/>
          <w:iCs w:val="false"/>
          <w:color w:val="0F2B46"/>
          <w:sz w:val="30"/>
          <w:szCs w:val="30"/>
        </w:rPr>
        <w:t xml:space="preserve">3.  Master Agent — Onboard360AI</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2600"/>
        <w:gridCol w:w="11800"/>
      </w:tblGrid>
      <w:tr>
        <w:trPr>
          <w:tblHeader/>
        </w:trPr>
        <w:tc>
          <w:tcPr>
            <w:tcW w:type="dxa" w:w="2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Attribute</w:t>
            </w:r>
          </w:p>
        </w:tc>
        <w:tc>
          <w:tcPr>
            <w:tcW w:type="dxa" w:w="11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Definition</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Goal</w:t>
            </w:r>
          </w:p>
        </w:tc>
        <w:tc>
          <w:tcPr>
            <w:tcW w:type="dxa" w:w="11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Partner successfully onboarded to ICMP (Imaging Content Management Platform).</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Opening behaviour</w:t>
            </w:r>
          </w:p>
        </w:tc>
        <w:tc>
          <w:tcPr>
            <w:tcW w:type="dxa" w:w="11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Welcomes the partner — "Welcome to ICMP Partner Onboarding" / "Welcome to Onboard360, the dedicated ICMP partner onboarding self-service assistant" — then states that onboarding eligibility status must be determined before anything else.</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Eligibility gate</w:t>
            </w:r>
          </w:p>
        </w:tc>
        <w:tc>
          <w:tcPr>
            <w:tcW w:type="dxa" w:w="11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Single branching question: POC, or actual project implementation? This determines every downstream path.</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Own skills</w:t>
            </w:r>
          </w:p>
        </w:tc>
        <w:tc>
          <w:tcPr>
            <w:tcW w:type="dxa" w:w="11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Welcome &amp; scope framing · Eligibility determination · Routing logic · Onboarding journey state tracker</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Responsibilities</w:t>
            </w:r>
          </w:p>
        </w:tc>
        <w:tc>
          <w:tcPr>
            <w:tcW w:type="dxa" w:w="11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Routing to sub-agents · maintaining journey state · sequencing · enforcing gates between stages · consolidating summaries back to the partner</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Invokes</w:t>
            </w:r>
          </w:p>
        </w:tc>
        <w:tc>
          <w:tcPr>
            <w:tcW w:type="dxa" w:w="11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All 8 sub-agents, conditionally on branch and on state</w:t>
            </w:r>
          </w:p>
        </w:tc>
      </w:tr>
    </w:tbl>
    <w:p>
      <w:pPr>
        <w:pStyle w:val="Heading2"/>
        <w:spacing w:after="110" w:before="260"/>
      </w:pPr>
      <w:r>
        <w:rPr>
          <w:rFonts w:ascii="Calibri" w:cs="Calibri" w:eastAsia="Calibri" w:hAnsi="Calibri"/>
          <w:b/>
          <w:bCs/>
          <w:i w:val="false"/>
          <w:iCs w:val="false"/>
          <w:color w:val="1F4E79"/>
          <w:sz w:val="23"/>
          <w:szCs w:val="23"/>
        </w:rPr>
        <w:t xml:space="preserve">3.1  Branch A — POC</w:t>
      </w:r>
    </w:p>
    <w:p>
      <w:pPr>
        <w:spacing w:after="80" w:before="0"/>
      </w:pPr>
      <w:r>
        <w:rPr>
          <w:rFonts w:ascii="Calibri" w:cs="Calibri" w:eastAsia="Calibri" w:hAnsi="Calibri"/>
          <w:b w:val="false"/>
          <w:bCs w:val="false"/>
          <w:i w:val="false"/>
          <w:iCs w:val="false"/>
          <w:color w:val="1A202C"/>
          <w:sz w:val="19"/>
          <w:szCs w:val="19"/>
        </w:rPr>
        <w:t xml:space="preserve">Stated to the partner explicitly and upfront:</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No intake required to the ECM team or the SSAT (Strategic Services &amp; Advanced Technology) team</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No prioritisation by an LOB point of contact</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No scrum team assigned</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The partner runs the POC themselves — self-service, via this agent, chatbot, or existing documentation</w:t>
      </w:r>
    </w:p>
    <w:p>
      <w:pPr>
        <w:spacing w:after="80" w:before="0"/>
      </w:pPr>
      <w:r>
        <w:rPr>
          <w:rFonts w:ascii="Calibri" w:cs="Calibri" w:eastAsia="Calibri" w:hAnsi="Calibri"/>
          <w:b w:val="false"/>
          <w:bCs w:val="false"/>
          <w:i w:val="false"/>
          <w:iCs w:val="false"/>
          <w:color w:val="1A202C"/>
          <w:sz w:val="19"/>
          <w:szCs w:val="19"/>
        </w:rPr>
        <w:t xml:space="preserve">Activities available without an intake: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Connect to Innovation APIs via Apigee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Ingest documents into ICMP</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Search and read documents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General API usage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ICMP UI — guidance on how to obtain access</w:t>
      </w:r>
    </w:p>
    <w:p>
      <w:pPr>
        <w:spacing w:after="120"/>
      </w:pPr>
      <w:r>
        <w:rPr>
          <w:rFonts w:ascii="Calibri" w:cs="Calibri" w:eastAsia="Calibri" w:hAnsi="Calibri"/>
          <w:b w:val="false"/>
          <w:bCs w:val="false"/>
          <w:i/>
          <w:iCs/>
          <w:color w:val="4A5568"/>
          <w:sz w:val="16"/>
          <w:szCs w:val="16"/>
        </w:rPr>
        <w:t xml:space="preserve">Scope note — POC remains at this level in the base version. It will later expand into multiple levels, with each activity built as its own skill and invoked from inside the POC skill.</w:t>
      </w:r>
    </w:p>
    <w:p>
      <w:pPr>
        <w:pStyle w:val="Heading2"/>
        <w:spacing w:after="110" w:before="260"/>
      </w:pPr>
      <w:r>
        <w:rPr>
          <w:rFonts w:ascii="Calibri" w:cs="Calibri" w:eastAsia="Calibri" w:hAnsi="Calibri"/>
          <w:b/>
          <w:bCs/>
          <w:i w:val="false"/>
          <w:iCs w:val="false"/>
          <w:color w:val="1F4E79"/>
          <w:sz w:val="23"/>
          <w:szCs w:val="23"/>
        </w:rPr>
        <w:t xml:space="preserve">3.2  Branch B — Actual implementation</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2600"/>
        <w:gridCol w:w="11800"/>
      </w:tblGrid>
      <w:tr>
        <w:trPr>
          <w:tblHeader/>
        </w:trPr>
        <w:tc>
          <w:tcPr>
            <w:tcW w:type="dxa" w:w="2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Partner state</w:t>
            </w:r>
          </w:p>
        </w:tc>
        <w:tc>
          <w:tcPr>
            <w:tcW w:type="dxa" w:w="11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Agent action</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No intake submitted</w:t>
            </w:r>
          </w:p>
        </w:tc>
        <w:tc>
          <w:tcPr>
            <w:tcW w:type="dxa" w:w="11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Refer to ECM intake creation documentation and walk the partner through it.</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Unsure whether an intake exists</w:t>
            </w:r>
          </w:p>
        </w:tc>
        <w:tc>
          <w:tcPr>
            <w:tcW w:type="dxa" w:w="11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Warn against creating duplicate onboarding requests. Instruct the partner to verify whether they, their team, or the ICMP team has already submitted one. Ask for the Jira intake number. If none exists, route into the new ECM intake process.</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Intake exists</w:t>
            </w:r>
          </w:p>
        </w:tc>
        <w:tc>
          <w:tcPr>
            <w:tcW w:type="dxa" w:w="11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Ask for the intake number, validate its format, then hand to the Intake Verification sub-agent.</w:t>
            </w:r>
          </w:p>
        </w:tc>
      </w:tr>
    </w:tbl>
    <w:p>
      <w:r>
        <w:br w:type="page"/>
      </w:r>
    </w:p>
    <w:p>
      <w:pPr>
        <w:pStyle w:val="Heading1"/>
        <w:spacing w:after="140" w:before="340"/>
      </w:pPr>
      <w:r>
        <w:rPr>
          <w:rFonts w:ascii="Calibri" w:cs="Calibri" w:eastAsia="Calibri" w:hAnsi="Calibri"/>
          <w:b/>
          <w:bCs/>
          <w:i w:val="false"/>
          <w:iCs w:val="false"/>
          <w:color w:val="0F2B46"/>
          <w:sz w:val="30"/>
          <w:szCs w:val="30"/>
        </w:rPr>
        <w:t xml:space="preserve">4.  Sub-Agent Registry</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500"/>
        <w:gridCol w:w="2350"/>
        <w:gridCol w:w="2500"/>
        <w:gridCol w:w="3300"/>
        <w:gridCol w:w="2900"/>
        <w:gridCol w:w="2850"/>
      </w:tblGrid>
      <w:tr>
        <w:trPr>
          <w:tblHeader/>
        </w:trPr>
        <w:tc>
          <w:tcPr>
            <w:tcW w:type="dxa" w:w="5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w:t>
            </w:r>
          </w:p>
        </w:tc>
        <w:tc>
          <w:tcPr>
            <w:tcW w:type="dxa" w:w="235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Sub-agent</w:t>
            </w:r>
          </w:p>
        </w:tc>
        <w:tc>
          <w:tcPr>
            <w:tcW w:type="dxa" w:w="25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Branch</w:t>
            </w:r>
          </w:p>
        </w:tc>
        <w:tc>
          <w:tcPr>
            <w:tcW w:type="dxa" w:w="33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Goal</w:t>
            </w:r>
          </w:p>
        </w:tc>
        <w:tc>
          <w:tcPr>
            <w:tcW w:type="dxa" w:w="2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Tools / integrations</w:t>
            </w:r>
          </w:p>
        </w:tc>
        <w:tc>
          <w:tcPr>
            <w:tcW w:type="dxa" w:w="285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Produces</w:t>
            </w:r>
          </w:p>
        </w:tc>
      </w:tr>
      <w:tr>
        <w:tc>
          <w:tcPr>
            <w:tcW w:type="dxa" w:w="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1</w:t>
            </w:r>
          </w:p>
        </w:tc>
        <w:tc>
          <w:tcPr>
            <w:tcW w:type="dxa" w:w="235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POC Assistance</w:t>
            </w:r>
          </w:p>
        </w:tc>
        <w:tc>
          <w:tcPr>
            <w:tcW w:type="dxa" w:w="2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POC</w:t>
            </w:r>
          </w:p>
        </w:tc>
        <w:tc>
          <w:tcPr>
            <w:tcW w:type="dxa" w:w="33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Partner performing POC activities with no intake</w:t>
            </w:r>
          </w:p>
        </w:tc>
        <w:tc>
          <w:tcPr>
            <w:tcW w:type="dxa" w:w="2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Confluence/KB (P1) · Apigee (P3)</w:t>
            </w:r>
          </w:p>
        </w:tc>
        <w:tc>
          <w:tcPr>
            <w:tcW w:type="dxa" w:w="285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Intake-free activity list + documentation pointers</w:t>
            </w:r>
          </w:p>
        </w:tc>
      </w:tr>
      <w:tr>
        <w:tc>
          <w:tcPr>
            <w:tcW w:type="dxa" w:w="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2</w:t>
            </w:r>
          </w:p>
        </w:tc>
        <w:tc>
          <w:tcPr>
            <w:tcW w:type="dxa" w:w="235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 Verification</w:t>
            </w:r>
          </w:p>
        </w:tc>
        <w:tc>
          <w:tcPr>
            <w:tcW w:type="dxa" w:w="2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Implementation</w:t>
            </w:r>
          </w:p>
        </w:tc>
        <w:tc>
          <w:tcPr>
            <w:tcW w:type="dxa" w:w="33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Valid LJKX intake confirmed, or partner routed into creation</w:t>
            </w:r>
          </w:p>
        </w:tc>
        <w:tc>
          <w:tcPr>
            <w:tcW w:type="dxa" w:w="2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 get_issue, get_project (live)</w:t>
            </w:r>
          </w:p>
        </w:tc>
        <w:tc>
          <w:tcPr>
            <w:tcW w:type="dxa" w:w="285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Onboarding intake summary</w:t>
            </w:r>
          </w:p>
        </w:tc>
      </w:tr>
      <w:tr>
        <w:tc>
          <w:tcPr>
            <w:tcW w:type="dxa" w:w="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3</w:t>
            </w:r>
          </w:p>
        </w:tc>
        <w:tc>
          <w:tcPr>
            <w:tcW w:type="dxa" w:w="235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Foundational Setup</w:t>
            </w:r>
          </w:p>
        </w:tc>
        <w:tc>
          <w:tcPr>
            <w:tcW w:type="dxa" w:w="2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Both</w:t>
            </w:r>
          </w:p>
        </w:tc>
        <w:tc>
          <w:tcPr>
            <w:tcW w:type="dxa" w:w="33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Identity, access and environment established</w:t>
            </w:r>
          </w:p>
        </w:tc>
        <w:tc>
          <w:tcPr>
            <w:tcW w:type="dxa" w:w="2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BAM · Venafi · ART · AIMS · Confluence/KB</w:t>
            </w:r>
          </w:p>
        </w:tc>
        <w:tc>
          <w:tcPr>
            <w:tcW w:type="dxa" w:w="285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accounts, certificates, group membership, ownership record</w:t>
            </w:r>
          </w:p>
        </w:tc>
      </w:tr>
      <w:tr>
        <w:tc>
          <w:tcPr>
            <w:tcW w:type="dxa" w:w="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4</w:t>
            </w:r>
          </w:p>
        </w:tc>
        <w:tc>
          <w:tcPr>
            <w:tcW w:type="dxa" w:w="235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Assessment</w:t>
            </w:r>
          </w:p>
        </w:tc>
        <w:tc>
          <w:tcPr>
            <w:tcW w:type="dxa" w:w="2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Implementation</w:t>
            </w:r>
          </w:p>
        </w:tc>
        <w:tc>
          <w:tcPr>
            <w:tcW w:type="dxa" w:w="33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profile collected and capacity planning ticket raised</w:t>
            </w:r>
          </w:p>
        </w:tc>
        <w:tc>
          <w:tcPr>
            <w:tcW w:type="dxa" w:w="2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 create (P3) · Confluence/KB</w:t>
            </w:r>
          </w:p>
        </w:tc>
        <w:tc>
          <w:tcPr>
            <w:tcW w:type="dxa" w:w="285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profile + capacity planning Jira ticket</w:t>
            </w:r>
          </w:p>
        </w:tc>
      </w:tr>
      <w:tr>
        <w:tc>
          <w:tcPr>
            <w:tcW w:type="dxa" w:w="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5</w:t>
            </w:r>
          </w:p>
        </w:tc>
        <w:tc>
          <w:tcPr>
            <w:tcW w:type="dxa" w:w="235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Load Testing (SPLT)</w:t>
            </w:r>
          </w:p>
        </w:tc>
        <w:tc>
          <w:tcPr>
            <w:tcW w:type="dxa" w:w="2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Implementation</w:t>
            </w:r>
          </w:p>
        </w:tc>
        <w:tc>
          <w:tcPr>
            <w:tcW w:type="dxa" w:w="33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Test cases identified and SPLT ticket raised</w:t>
            </w:r>
          </w:p>
        </w:tc>
        <w:tc>
          <w:tcPr>
            <w:tcW w:type="dxa" w:w="2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 create · SPLT templates (P2)</w:t>
            </w:r>
          </w:p>
        </w:tc>
        <w:tc>
          <w:tcPr>
            <w:tcW w:type="dxa" w:w="285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Test case set + SPLT Jira ticket</w:t>
            </w:r>
          </w:p>
        </w:tc>
      </w:tr>
      <w:tr>
        <w:tc>
          <w:tcPr>
            <w:tcW w:type="dxa" w:w="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6</w:t>
            </w:r>
          </w:p>
        </w:tc>
        <w:tc>
          <w:tcPr>
            <w:tcW w:type="dxa" w:w="235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c>
          <w:tcPr>
            <w:tcW w:type="dxa" w:w="2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Both</w:t>
            </w:r>
          </w:p>
        </w:tc>
        <w:tc>
          <w:tcPr>
            <w:tcW w:type="dxa" w:w="33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Subscription created and approved</w:t>
            </w:r>
          </w:p>
        </w:tc>
        <w:tc>
          <w:tcPr>
            <w:tcW w:type="dxa" w:w="2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Marketplace · marketplace documentation</w:t>
            </w:r>
          </w:p>
        </w:tc>
        <w:tc>
          <w:tcPr>
            <w:tcW w:type="dxa" w:w="285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Approved subscription with validated scope and tier</w:t>
            </w:r>
          </w:p>
        </w:tc>
      </w:tr>
      <w:tr>
        <w:tc>
          <w:tcPr>
            <w:tcW w:type="dxa" w:w="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7</w:t>
            </w:r>
          </w:p>
        </w:tc>
        <w:tc>
          <w:tcPr>
            <w:tcW w:type="dxa" w:w="235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Postman Collection Generation</w:t>
            </w:r>
          </w:p>
        </w:tc>
        <w:tc>
          <w:tcPr>
            <w:tcW w:type="dxa" w:w="2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Both</w:t>
            </w:r>
          </w:p>
        </w:tc>
        <w:tc>
          <w:tcPr>
            <w:tcW w:type="dxa" w:w="33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Scope-accurate collection generated and downloaded</w:t>
            </w:r>
          </w:p>
        </w:tc>
        <w:tc>
          <w:tcPr>
            <w:tcW w:type="dxa" w:w="2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 tool — collection generator</w:t>
            </w:r>
          </w:p>
        </w:tc>
        <w:tc>
          <w:tcPr>
            <w:tcW w:type="dxa" w:w="285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Downloadable Postman collection</w:t>
            </w:r>
          </w:p>
        </w:tc>
      </w:tr>
      <w:tr>
        <w:tc>
          <w:tcPr>
            <w:tcW w:type="dxa" w:w="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8</w:t>
            </w:r>
          </w:p>
        </w:tc>
        <w:tc>
          <w:tcPr>
            <w:tcW w:type="dxa" w:w="235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Environment Progression</w:t>
            </w:r>
          </w:p>
        </w:tc>
        <w:tc>
          <w:tcPr>
            <w:tcW w:type="dxa" w:w="2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Implementation</w:t>
            </w:r>
          </w:p>
        </w:tc>
        <w:tc>
          <w:tcPr>
            <w:tcW w:type="dxa" w:w="33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Partner advanced through the ladder with sign-offs</w:t>
            </w:r>
          </w:p>
        </w:tc>
        <w:tc>
          <w:tcPr>
            <w:tcW w:type="dxa" w:w="2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 Confluence/KB</w:t>
            </w:r>
          </w:p>
        </w:tc>
        <w:tc>
          <w:tcPr>
            <w:tcW w:type="dxa" w:w="285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Per-environment sign-off record</w:t>
            </w:r>
          </w:p>
        </w:tc>
      </w:tr>
    </w:tbl>
    <w:p>
      <w:pPr>
        <w:pStyle w:val="Heading2"/>
        <w:spacing w:after="110" w:before="260"/>
      </w:pPr>
      <w:r>
        <w:rPr>
          <w:rFonts w:ascii="Calibri" w:cs="Calibri" w:eastAsia="Calibri" w:hAnsi="Calibri"/>
          <w:b/>
          <w:bCs/>
          <w:i w:val="false"/>
          <w:iCs w:val="false"/>
          <w:color w:val="1F4E79"/>
          <w:sz w:val="23"/>
          <w:szCs w:val="23"/>
        </w:rPr>
        <w:t xml:space="preserve">4.1  Cross-agent dependencies</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600"/>
        <w:gridCol w:w="4200"/>
        <w:gridCol w:w="6600"/>
      </w:tblGrid>
      <w:tr>
        <w:trPr>
          <w:tblHeader/>
        </w:trPr>
        <w:tc>
          <w:tcPr>
            <w:tcW w:type="dxa" w:w="3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Producer</w:t>
            </w:r>
          </w:p>
        </w:tc>
        <w:tc>
          <w:tcPr>
            <w:tcW w:type="dxa" w:w="4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Consumer</w:t>
            </w:r>
          </w:p>
        </w:tc>
        <w:tc>
          <w:tcPr>
            <w:tcW w:type="dxa" w:w="6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Artifact passed</w:t>
            </w:r>
          </w:p>
        </w:tc>
      </w:tr>
      <w:tr>
        <w:tc>
          <w:tcPr>
            <w:tcW w:type="dxa" w:w="3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BAM lookup (Foundational Setup)</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Consumer app creation, marketplace access</w:t>
            </w:r>
          </w:p>
        </w:tc>
        <w:tc>
          <w:tcPr>
            <w:tcW w:type="dxa" w:w="6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 ID, Remedy ID, application name</w:t>
            </w:r>
          </w:p>
        </w:tc>
      </w:tr>
      <w:tr>
        <w:tc>
          <w:tcPr>
            <w:tcW w:type="dxa" w:w="3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Service account provisioning</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 Identifier validation (Apigee Subscription)</w:t>
            </w:r>
          </w:p>
        </w:tc>
        <w:tc>
          <w:tcPr>
            <w:tcW w:type="dxa" w:w="6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 name, per environment</w:t>
            </w:r>
          </w:p>
        </w:tc>
      </w:tr>
      <w:tr>
        <w:tc>
          <w:tcPr>
            <w:tcW w:type="dxa" w:w="3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Volume Assessment</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Subscription tier identification</w:t>
            </w:r>
          </w:p>
        </w:tc>
        <w:tc>
          <w:tcPr>
            <w:tcW w:type="dxa" w:w="6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profile — hard prerequisite; the tier skill cannot produce a defensible recommendation without it</w:t>
            </w:r>
          </w:p>
        </w:tc>
      </w:tr>
      <w:tr>
        <w:tc>
          <w:tcPr>
            <w:tcW w:type="dxa" w:w="3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Volume Assessment</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Load Testing (SPLT)</w:t>
            </w:r>
          </w:p>
        </w:tc>
        <w:tc>
          <w:tcPr>
            <w:tcW w:type="dxa" w:w="6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Per-operation volumes, peaks, special-day scenarios</w:t>
            </w:r>
          </w:p>
        </w:tc>
      </w:tr>
      <w:tr>
        <w:tc>
          <w:tcPr>
            <w:tcW w:type="dxa" w:w="3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Scope selection (Apigee Subscription)</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Postman Collection Generation, approval evidence package</w:t>
            </w:r>
          </w:p>
        </w:tc>
        <w:tc>
          <w:tcPr>
            <w:tcW w:type="dxa" w:w="6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Approved scope set</w:t>
            </w:r>
          </w:p>
        </w:tc>
      </w:tr>
      <w:tr>
        <w:tc>
          <w:tcPr>
            <w:tcW w:type="dxa" w:w="3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Intake summarisation</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Environment Progression</w:t>
            </w:r>
          </w:p>
        </w:tc>
        <w:tc>
          <w:tcPr>
            <w:tcW w:type="dxa" w:w="6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Scrum team allocation, priority, sprint — determines whether the partner is gated to Innovation only</w:t>
            </w:r>
          </w:p>
        </w:tc>
      </w:tr>
      <w:tr>
        <w:tc>
          <w:tcPr>
            <w:tcW w:type="dxa" w:w="3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Environment Progression</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c>
          <w:tcPr>
            <w:tcW w:type="dxa" w:w="6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Which environment is unlocked for the next subscription</w:t>
            </w:r>
          </w:p>
        </w:tc>
      </w:tr>
    </w:tbl>
    <w:p>
      <w:r>
        <w:br w:type="page"/>
      </w:r>
    </w:p>
    <w:p>
      <w:pPr>
        <w:pStyle w:val="Heading1"/>
        <w:spacing w:after="140" w:before="340"/>
      </w:pPr>
      <w:r>
        <w:rPr>
          <w:rFonts w:ascii="Calibri" w:cs="Calibri" w:eastAsia="Calibri" w:hAnsi="Calibri"/>
          <w:b/>
          <w:bCs/>
          <w:i w:val="false"/>
          <w:iCs w:val="false"/>
          <w:color w:val="0F2B46"/>
          <w:sz w:val="30"/>
          <w:szCs w:val="30"/>
        </w:rPr>
        <w:t xml:space="preserve">5.  Skill Inventory</w:t>
      </w:r>
    </w:p>
    <w:p>
      <w:pPr>
        <w:spacing w:after="120"/>
      </w:pPr>
      <w:r>
        <w:rPr>
          <w:rFonts w:ascii="Calibri" w:cs="Calibri" w:eastAsia="Calibri" w:hAnsi="Calibri"/>
          <w:b w:val="false"/>
          <w:bCs w:val="false"/>
          <w:i/>
          <w:iCs/>
          <w:color w:val="4A5568"/>
          <w:sz w:val="16"/>
          <w:szCs w:val="16"/>
        </w:rPr>
        <w:t xml:space="preserve">Type column — M: master skill with sub-skills · S: standard skill · Sub: sub-skill of the master immediately above it. Phase column indicates the integration maturity at which each skill reaches full capability.</w:t>
      </w:r>
    </w:p>
    <w:p>
      <w:pPr>
        <w:pStyle w:val="Heading2"/>
        <w:spacing w:after="110" w:before="260"/>
      </w:pPr>
      <w:r>
        <w:rPr>
          <w:rFonts w:ascii="Calibri" w:cs="Calibri" w:eastAsia="Calibri" w:hAnsi="Calibri"/>
          <w:b/>
          <w:bCs/>
          <w:i w:val="false"/>
          <w:iCs w:val="false"/>
          <w:color w:val="1F4E79"/>
          <w:sz w:val="23"/>
          <w:szCs w:val="23"/>
        </w:rPr>
        <w:t xml:space="preserve">5.1  Onboard360AI — master agent skills</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Welcome &amp; scope framing</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Greets the partner and states plainly what the self-service assistant does and does not cover</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Eligibility determination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Establishes onboarding eligibility status before any other activity</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Routing logic</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Routes to the POC or implementation branch and selects the next sub-agent</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Onboarding journey state tracker</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Maintains what has been completed, what is outstanding, and what is gated</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bl>
    <w:p>
      <w:pPr>
        <w:pStyle w:val="Heading2"/>
        <w:spacing w:after="110" w:before="260"/>
      </w:pPr>
      <w:r>
        <w:rPr>
          <w:rFonts w:ascii="Calibri" w:cs="Calibri" w:eastAsia="Calibri" w:hAnsi="Calibri"/>
          <w:b/>
          <w:bCs/>
          <w:i w:val="false"/>
          <w:iCs w:val="false"/>
          <w:color w:val="1F4E79"/>
          <w:sz w:val="23"/>
          <w:szCs w:val="23"/>
        </w:rPr>
        <w:t xml:space="preserve">5.2  Sub-agent 1 — POC Assistance</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Intake-free activity catalogue</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Lists everything a partner may do in POC without raising an intake</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Innovation API connectivity</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How to connect to Innovation APIs through Apigee without an intake</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Document ingestion (POC)</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Ingesting documents into ICMP during a POC</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Search &amp; read documents</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Search and retrieval operations available in POC</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ICMP UI access guidance</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How to obtain ICMP UI access for POC purposes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Documentation pointers</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Directs the partner to the correct reference material for each POC activity</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bl>
    <w:p>
      <w:pPr>
        <w:spacing w:after="120"/>
      </w:pPr>
      <w:r>
        <w:rPr>
          <w:rFonts w:ascii="Calibri" w:cs="Calibri" w:eastAsia="Calibri" w:hAnsi="Calibri"/>
          <w:b w:val="false"/>
          <w:bCs w:val="false"/>
          <w:i/>
          <w:iCs/>
          <w:color w:val="4A5568"/>
          <w:sz w:val="16"/>
          <w:szCs w:val="16"/>
        </w:rPr>
        <w:t xml:space="preserve">Future extension — each POC activity becomes its own skill, invoked from within the POC master skill, giving per-activity depth without changing the sub-agent.</w:t>
      </w:r>
    </w:p>
    <w:p>
      <w:pPr>
        <w:pStyle w:val="Heading2"/>
        <w:spacing w:after="110" w:before="260"/>
      </w:pPr>
      <w:r>
        <w:rPr>
          <w:rFonts w:ascii="Calibri" w:cs="Calibri" w:eastAsia="Calibri" w:hAnsi="Calibri"/>
          <w:b/>
          <w:bCs/>
          <w:i w:val="false"/>
          <w:iCs w:val="false"/>
          <w:color w:val="1F4E79"/>
          <w:sz w:val="23"/>
          <w:szCs w:val="23"/>
        </w:rPr>
        <w:t xml:space="preserve">5.3  Sub-agent 2 — Intake Verification</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LJKX key format validation</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Validates the Jira intake key against the ICMP format rules before any tool call is made</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Duplicate-intake prevention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Guides the partner to verify no intake already exists for them, their team, or the ICMP team</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ECM intake creation walkthrough</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Drives the partner through creating a new ECM intake when none exists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 summarisation (scope interpretation)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Interprets the intake rather than reformatting it — identifies the actual onboarding scope, prioritisation, priority, sprint number and allocated scrum team, which vary per intake</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Unresolved &amp; unlinked field handling</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Handles fields on the intake that are missing, incomplete or unlinked</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bl>
    <w:p>
      <w:pPr>
        <w:pStyle w:val="Heading3"/>
        <w:spacing w:after="80" w:before="180"/>
      </w:pPr>
      <w:r>
        <w:rPr>
          <w:rFonts w:ascii="Calibri" w:cs="Calibri" w:eastAsia="Calibri" w:hAnsi="Calibri"/>
          <w:b/>
          <w:bCs/>
          <w:i w:val="false"/>
          <w:iCs w:val="false"/>
          <w:color w:val="157A73"/>
          <w:sz w:val="20"/>
          <w:szCs w:val="20"/>
        </w:rPr>
        <w:t xml:space="preserve">Jira key validation rules</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4800"/>
        <w:gridCol w:w="4800"/>
        <w:gridCol w:w="4800"/>
      </w:tblGrid>
      <w:tr>
        <w:trPr>
          <w:tblHeader/>
        </w:trPr>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Rule</w:t>
            </w:r>
          </w:p>
        </w:tc>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Valid examples</w:t>
            </w:r>
          </w:p>
        </w:tc>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Invalid examples</w:t>
            </w:r>
          </w:p>
        </w:tc>
      </w:tr>
      <w:tr>
        <w:tc>
          <w:tcPr>
            <w:tcW w:type="dxa" w:w="4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Project key must be exactly LJKX · must contain a hyphen · must have a numeric value after the hyphen</w:t>
            </w:r>
          </w:p>
        </w:tc>
        <w:tc>
          <w:tcPr>
            <w:tcW w:type="dxa" w:w="4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LJKX-1234</w:t>
            </w:r>
          </w:p>
          <w:p>
            <w:pPr>
              <w:spacing w:after="0"/>
            </w:pPr>
            <w:r>
              <w:rPr>
                <w:rFonts w:ascii="Calibri" w:cs="Calibri" w:eastAsia="Calibri" w:hAnsi="Calibri"/>
                <w:b w:val="false"/>
                <w:bCs w:val="false"/>
                <w:i w:val="false"/>
                <w:iCs w:val="false"/>
                <w:color w:val="1A202C"/>
                <w:sz w:val="17"/>
                <w:szCs w:val="17"/>
              </w:rPr>
              <w:t xml:space="preserve">LJKX-567</w:t>
            </w:r>
          </w:p>
          <w:p>
            <w:pPr>
              <w:spacing w:after="0"/>
            </w:pPr>
            <w:r>
              <w:rPr>
                <w:rFonts w:ascii="Calibri" w:cs="Calibri" w:eastAsia="Calibri" w:hAnsi="Calibri"/>
                <w:b w:val="false"/>
                <w:bCs w:val="false"/>
                <w:i w:val="false"/>
                <w:iCs w:val="false"/>
                <w:color w:val="1A202C"/>
                <w:sz w:val="17"/>
                <w:szCs w:val="17"/>
              </w:rPr>
              <w:t xml:space="preserve">LJKX-1</w:t>
            </w:r>
          </w:p>
        </w:tc>
        <w:tc>
          <w:tcPr>
            <w:tcW w:type="dxa" w:w="4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1234 (no project key)</w:t>
            </w:r>
          </w:p>
          <w:p>
            <w:pPr>
              <w:spacing w:after="0"/>
            </w:pPr>
            <w:r>
              <w:rPr>
                <w:rFonts w:ascii="Calibri" w:cs="Calibri" w:eastAsia="Calibri" w:hAnsi="Calibri"/>
                <w:b w:val="false"/>
                <w:bCs w:val="false"/>
                <w:i w:val="false"/>
                <w:iCs w:val="false"/>
                <w:color w:val="1A202C"/>
                <w:sz w:val="17"/>
                <w:szCs w:val="17"/>
              </w:rPr>
              <w:t xml:space="preserve">ABZD1234 (wrong key, no hyphen)</w:t>
            </w:r>
          </w:p>
          <w:p>
            <w:pPr>
              <w:spacing w:after="0"/>
            </w:pPr>
            <w:r>
              <w:rPr>
                <w:rFonts w:ascii="Calibri" w:cs="Calibri" w:eastAsia="Calibri" w:hAnsi="Calibri"/>
                <w:b w:val="false"/>
                <w:bCs w:val="false"/>
                <w:i w:val="false"/>
                <w:iCs w:val="false"/>
                <w:color w:val="1A202C"/>
                <w:sz w:val="17"/>
                <w:szCs w:val="17"/>
              </w:rPr>
              <w:t xml:space="preserve">LJKX (no number)</w:t>
            </w:r>
          </w:p>
          <w:p>
            <w:pPr>
              <w:spacing w:after="0"/>
            </w:pPr>
            <w:r>
              <w:rPr>
                <w:rFonts w:ascii="Calibri" w:cs="Calibri" w:eastAsia="Calibri" w:hAnsi="Calibri"/>
                <w:b w:val="false"/>
                <w:bCs w:val="false"/>
                <w:i w:val="false"/>
                <w:iCs w:val="false"/>
                <w:color w:val="1A202C"/>
                <w:sz w:val="17"/>
                <w:szCs w:val="17"/>
              </w:rPr>
              <w:t xml:space="preserve">LJKX1234 (no hyphen)</w:t>
            </w:r>
          </w:p>
          <w:p>
            <w:pPr>
              <w:spacing w:after="0"/>
            </w:pPr>
            <w:r>
              <w:rPr>
                <w:rFonts w:ascii="Calibri" w:cs="Calibri" w:eastAsia="Calibri" w:hAnsi="Calibri"/>
                <w:b w:val="false"/>
                <w:bCs w:val="false"/>
                <w:i w:val="false"/>
                <w:iCs w:val="false"/>
                <w:color w:val="1A202C"/>
                <w:sz w:val="17"/>
                <w:szCs w:val="17"/>
              </w:rPr>
              <w:t xml:space="preserve">TEST-5678 (wrong project key)</w:t>
            </w:r>
          </w:p>
        </w:tc>
      </w:tr>
    </w:tbl>
    <w:p>
      <w:pPr>
        <w:pStyle w:val="Heading3"/>
        <w:spacing w:after="80" w:before="180"/>
      </w:pPr>
      <w:r>
        <w:rPr>
          <w:rFonts w:ascii="Calibri" w:cs="Calibri" w:eastAsia="Calibri" w:hAnsi="Calibri"/>
          <w:b/>
          <w:bCs/>
          <w:i w:val="false"/>
          <w:iCs w:val="false"/>
          <w:color w:val="157A73"/>
          <w:sz w:val="20"/>
          <w:szCs w:val="20"/>
        </w:rPr>
        <w:t xml:space="preserve">Tool execution sequence</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1400"/>
        <w:gridCol w:w="4200"/>
        <w:gridCol w:w="8800"/>
      </w:tblGrid>
      <w:tr>
        <w:trPr>
          <w:tblHeader/>
        </w:trPr>
        <w:tc>
          <w:tcPr>
            <w:tcW w:type="dxa" w:w="1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Step</w:t>
            </w:r>
          </w:p>
        </w:tc>
        <w:tc>
          <w:tcPr>
            <w:tcW w:type="dxa" w:w="4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Action</w:t>
            </w:r>
          </w:p>
        </w:tc>
        <w:tc>
          <w:tcPr>
            <w:tcW w:type="dxa" w:w="8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Outcome handling</w:t>
            </w:r>
          </w:p>
        </w:tc>
      </w:tr>
      <w:tr>
        <w:tc>
          <w:tcPr>
            <w:tcW w:type="dxa" w:w="1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1</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 get_issue, passing the validated Jira key</w:t>
            </w:r>
          </w:p>
        </w:tc>
        <w:tc>
          <w:tcPr>
            <w:tcW w:type="dxa" w:w="8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On success, proceed to step 2.</w:t>
            </w:r>
          </w:p>
        </w:tc>
      </w:tr>
      <w:tr>
        <w:tc>
          <w:tcPr>
            <w:tcW w:type="dxa" w:w="1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2</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Build the onboarding intake summary</w:t>
            </w:r>
          </w:p>
        </w:tc>
        <w:tc>
          <w:tcPr>
            <w:tcW w:type="dxa" w:w="8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Include intake number, summary, status, reporter/assignee, priority, description, and any unresolved element information.</w:t>
            </w:r>
          </w:p>
        </w:tc>
      </w:tr>
      <w:tr>
        <w:tc>
          <w:tcPr>
            <w:tcW w:type="dxa" w:w="1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Error</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 get_project, passing the project key</w:t>
            </w:r>
          </w:p>
        </w:tc>
        <w:tc>
          <w:tcPr>
            <w:tcW w:type="dxa" w:w="8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If the project returns nothing, the likely causes are (a) the partner lacks access to that project, or (b) the project key is wrong. Report the diagnosis rather than a raw error.</w:t>
            </w:r>
          </w:p>
        </w:tc>
      </w:tr>
      <w:tr>
        <w:tc>
          <w:tcPr>
            <w:tcW w:type="dxa" w:w="1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Close</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Present the consolidated summary</w:t>
            </w:r>
          </w:p>
        </w:tc>
        <w:tc>
          <w:tcPr>
            <w:tcW w:type="dxa" w:w="8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r>
    </w:tbl>
    <w:p>
      <w:r>
        <w:br w:type="page"/>
      </w:r>
    </w:p>
    <w:p>
      <w:pPr>
        <w:pStyle w:val="Heading2"/>
        <w:spacing w:after="110" w:before="260"/>
      </w:pPr>
      <w:r>
        <w:rPr>
          <w:rFonts w:ascii="Calibri" w:cs="Calibri" w:eastAsia="Calibri" w:hAnsi="Calibri"/>
          <w:b/>
          <w:bCs/>
          <w:i w:val="false"/>
          <w:iCs w:val="false"/>
          <w:color w:val="1F4E79"/>
          <w:sz w:val="23"/>
          <w:szCs w:val="23"/>
        </w:rPr>
        <w:t xml:space="preserve">5.4  Sub-agent 3 — Foundational Setup</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ICMP Foundations</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What ICMP is, what features exist, and how to use them. Per-feature sub-skills are optional and added only where a feature warrants depth.</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ICMP Capabilities Catalogue</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Maintains the complete, current list of ICMP capabilities so partners can identify what they actually need</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Repository Support</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Establishes unambiguously which ICMP repository the partner requires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ICMP FileNet</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Primary repository</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Documentum</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Downstream repository</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DMS</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Downstream repository</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MARS</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Downstream repository</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Legacy repositories</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Other legacy repository support</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Marketplace access</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Obtaining Apigee marketplace access — a hard prerequisite to subscribing to ICMP APIs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Marketplace</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 provisioning</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Why service accounts are required and how to obtain them</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ART</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QAEnt service account</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Non-production service account creation via ART</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ART</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ADEnt service account</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 service account creation via ART</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ART</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User access provisioning</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Human user access to environments and LDAP groups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ART / AIMS</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QAEnt user access</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Non-production user access — requested through ART</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ART</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ADEnt user access</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 user access to LDAP groups — requested through AIMS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AIMS</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BAM lookup</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Retrieves application name, Remedy ID and App ID from Business Application Management</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BAM</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Venafi certificates</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Obtaining application certificates for non-production and production</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Venafi</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Ownership &amp; Support Assessment</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Collects the organisational metadata around the partner application, reused downstream</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bl>
    <w:p>
      <w:pPr>
        <w:pStyle w:val="Heading3"/>
        <w:spacing w:after="80" w:before="180"/>
      </w:pPr>
      <w:r>
        <w:rPr>
          <w:rFonts w:ascii="Calibri" w:cs="Calibri" w:eastAsia="Calibri" w:hAnsi="Calibri"/>
          <w:b/>
          <w:bCs/>
          <w:i w:val="false"/>
          <w:iCs w:val="false"/>
          <w:color w:val="157A73"/>
          <w:sz w:val="20"/>
          <w:szCs w:val="20"/>
        </w:rPr>
        <w:t xml:space="preserve">Why service accounts are required</w:t>
      </w:r>
    </w:p>
    <w:p>
      <w:pPr>
        <w:spacing w:after="80" w:before="0"/>
      </w:pPr>
      <w:r>
        <w:rPr>
          <w:rFonts w:ascii="Calibri" w:cs="Calibri" w:eastAsia="Calibri" w:hAnsi="Calibri"/>
          <w:b w:val="false"/>
          <w:bCs w:val="false"/>
          <w:i w:val="false"/>
          <w:iCs w:val="false"/>
          <w:color w:val="1A202C"/>
          <w:sz w:val="19"/>
          <w:szCs w:val="19"/>
        </w:rPr>
        <w:t xml:space="preserve">ICMP APIs are consumed by applications, not by individuals. Integrations therefore require accounts that are non-human, non-expiring, dedicated to the application, and not tied to any specific user. The service account carries: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Application authentication</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API access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Apigee consumer application association</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Security group membership</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Auditing</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Operational support</w:t>
      </w:r>
    </w:p>
    <w:p>
      <w:pPr>
        <w:spacing w:after="80" w:before="0"/>
      </w:pPr>
      <w:r>
        <w:rPr>
          <w:rFonts w:ascii="Calibri" w:cs="Calibri" w:eastAsia="Calibri" w:hAnsi="Calibri"/>
          <w:b w:val="false"/>
          <w:bCs w:val="false"/>
          <w:i w:val="false"/>
          <w:iCs w:val="false"/>
          <w:color w:val="1A202C"/>
          <w:sz w:val="19"/>
          <w:szCs w:val="19"/>
        </w:rPr>
        <w:t xml:space="preserve">The service account must be added to the LDAP groups provided by ICMP resources during onboarding. Which groups apply depends on the access type required, the APIs in scope, and the operations to be performed — this is a determination made during onboarding, not a fixed list.</w:t>
      </w:r>
    </w:p>
    <w:p>
      <w:pPr>
        <w:pStyle w:val="Heading3"/>
        <w:spacing w:after="80" w:before="180"/>
      </w:pPr>
      <w:r>
        <w:rPr>
          <w:rFonts w:ascii="Calibri" w:cs="Calibri" w:eastAsia="Calibri" w:hAnsi="Calibri"/>
          <w:b/>
          <w:bCs/>
          <w:i w:val="false"/>
          <w:iCs w:val="false"/>
          <w:color w:val="157A73"/>
          <w:sz w:val="20"/>
          <w:szCs w:val="20"/>
        </w:rPr>
        <w:t xml:space="preserve">Access routing — ART versus AIMS</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4800"/>
        <w:gridCol w:w="4800"/>
        <w:gridCol w:w="4800"/>
      </w:tblGrid>
      <w:tr>
        <w:trPr>
          <w:tblHeader/>
        </w:trPr>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Request type</w:t>
            </w:r>
          </w:p>
        </w:tc>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ADEnt (production)</w:t>
            </w:r>
          </w:p>
        </w:tc>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QAEnt (non-production)</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Service account creation and group addition</w:t>
            </w:r>
          </w:p>
        </w:tc>
        <w:tc>
          <w:tcPr>
            <w:tcW w:type="dxa" w:w="4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ART</w:t>
            </w:r>
          </w:p>
        </w:tc>
        <w:tc>
          <w:tcPr>
            <w:tcW w:type="dxa" w:w="4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ART</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User access</w:t>
            </w:r>
          </w:p>
        </w:tc>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AIMS</w:t>
            </w:r>
          </w:p>
        </w:tc>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ART</w:t>
            </w:r>
          </w:p>
        </w:tc>
      </w:tr>
    </w:tbl>
    <w:p>
      <w:pPr>
        <w:spacing w:after="120"/>
      </w:pPr>
      <w:r>
        <w:rPr>
          <w:rFonts w:ascii="Calibri" w:cs="Calibri" w:eastAsia="Calibri" w:hAnsi="Calibri"/>
          <w:b w:val="false"/>
          <w:bCs w:val="false"/>
          <w:i/>
          <w:iCs/>
          <w:color w:val="4A5568"/>
          <w:sz w:val="16"/>
          <w:szCs w:val="16"/>
        </w:rPr>
        <w:t xml:space="preserve">All service accounts route through ART regardless of environment. The split is by request type, not by environment: only human user access to ADEnt LDAP groups goes through AIMS.</w:t>
      </w:r>
    </w:p>
    <w:p>
      <w:pPr>
        <w:pStyle w:val="Heading3"/>
        <w:spacing w:after="80" w:before="180"/>
      </w:pPr>
      <w:r>
        <w:rPr>
          <w:rFonts w:ascii="Calibri" w:cs="Calibri" w:eastAsia="Calibri" w:hAnsi="Calibri"/>
          <w:b/>
          <w:bCs/>
          <w:i w:val="false"/>
          <w:iCs w:val="false"/>
          <w:color w:val="157A73"/>
          <w:sz w:val="20"/>
          <w:szCs w:val="20"/>
        </w:rPr>
        <w:t xml:space="preserve">Certificate requirements</w:t>
      </w:r>
    </w:p>
    <w:p>
      <w:pPr>
        <w:spacing w:after="80" w:before="0"/>
      </w:pPr>
      <w:r>
        <w:rPr>
          <w:rFonts w:ascii="Calibri" w:cs="Calibri" w:eastAsia="Calibri" w:hAnsi="Calibri"/>
          <w:b w:val="false"/>
          <w:bCs w:val="false"/>
          <w:i w:val="false"/>
          <w:iCs w:val="false"/>
          <w:color w:val="1A202C"/>
          <w:sz w:val="19"/>
          <w:szCs w:val="19"/>
        </w:rPr>
        <w:t xml:space="preserve">Certificates establish trust between partner applications and ECM / ICMP services.</w:t>
      </w:r>
    </w:p>
    <w:p>
      <w:pPr>
        <w:spacing w:after="80" w:before="0"/>
      </w:pPr>
      <w:r>
        <w:rPr>
          <w:rFonts w:ascii="Calibri" w:cs="Calibri" w:eastAsia="Calibri" w:hAnsi="Calibri"/>
          <w:b/>
          <w:bCs/>
          <w:i w:val="false"/>
          <w:iCs w:val="false"/>
          <w:color w:val="1A202C"/>
          <w:sz w:val="19"/>
          <w:szCs w:val="19"/>
        </w:rPr>
        <w:t xml:space="preserve">Business rule — certificates are required when the partner needs any of:</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Kafka notification subscriptions — applications connecting to Kafka topics to consume ICMP request notifications or document notifications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ICMP streaming services — for example document staging or document retrieval</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Any API involving streaming</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1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Environment</w:t>
            </w:r>
          </w:p>
        </w:tc>
        <w:tc>
          <w:tcPr>
            <w:tcW w:type="dxa" w:w="1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Certificate subject</w:t>
            </w:r>
          </w:p>
        </w:tc>
      </w:tr>
      <w:tr>
        <w:tc>
          <w:tcPr>
            <w:tcW w:type="dxa" w:w="3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Non-Production</w:t>
            </w:r>
          </w:p>
        </w:tc>
        <w:tc>
          <w:tcPr>
            <w:tcW w:type="dxa" w:w="1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CN = EREP, OU = TESTAPP, OU = EREP, OU = ECS, O = Wells Fargo, C = US</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Production</w:t>
            </w:r>
          </w:p>
        </w:tc>
        <w:tc>
          <w:tcPr>
            <w:tcW w:type="dxa" w:w="1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CN = EREP, OU = APP, OU = EREP, OU = ECS, O = Wells Fargo, C = US</w:t>
            </w:r>
          </w:p>
        </w:tc>
      </w:tr>
    </w:tbl>
    <w:p>
      <w:pPr>
        <w:spacing w:after="120"/>
      </w:pPr>
      <w:r>
        <w:rPr>
          <w:rFonts w:ascii="Calibri" w:cs="Calibri" w:eastAsia="Calibri" w:hAnsi="Calibri"/>
          <w:b w:val="false"/>
          <w:bCs w:val="false"/>
          <w:i/>
          <w:iCs/>
          <w:color w:val="4A5568"/>
          <w:sz w:val="16"/>
          <w:szCs w:val="16"/>
        </w:rPr>
        <w:t xml:space="preserve">The full certificate subject must be retained — no truncation. The only differentiator between environments is the second element: OU = TESTAPP for non-production, OU = APP for production. Both certificates are collected in a single agent prompt, and each accepts NOT AVAILABLE as a legitimate answer — the Venafi request then becomes a downstream action item rather than a hard stop.</w:t>
      </w:r>
    </w:p>
    <w:p>
      <w:pPr>
        <w:pStyle w:val="Heading3"/>
        <w:spacing w:after="80" w:before="180"/>
      </w:pPr>
      <w:r>
        <w:rPr>
          <w:rFonts w:ascii="Calibri" w:cs="Calibri" w:eastAsia="Calibri" w:hAnsi="Calibri"/>
          <w:b/>
          <w:bCs/>
          <w:i w:val="false"/>
          <w:iCs w:val="false"/>
          <w:color w:val="157A73"/>
          <w:sz w:val="20"/>
          <w:szCs w:val="20"/>
        </w:rPr>
        <w:t xml:space="preserve">ICMP capabilities catalogue</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4800"/>
        <w:gridCol w:w="4800"/>
        <w:gridCol w:w="4800"/>
      </w:tblGrid>
      <w:tr>
        <w:trPr>
          <w:tblHeader/>
        </w:trPr>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Content operations</w:t>
            </w:r>
          </w:p>
        </w:tc>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Notification operations</w:t>
            </w:r>
          </w:p>
        </w:tc>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Records operations</w:t>
            </w:r>
          </w:p>
        </w:tc>
      </w:tr>
      <w:tr>
        <w:tc>
          <w:tcPr>
            <w:tcW w:type="dxa" w:w="4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 Document ingestion / archival</w:t>
            </w:r>
          </w:p>
          <w:p>
            <w:pPr>
              <w:spacing w:after="0"/>
            </w:pPr>
            <w:r>
              <w:rPr>
                <w:rFonts w:ascii="Calibri" w:cs="Calibri" w:eastAsia="Calibri" w:hAnsi="Calibri"/>
                <w:b w:val="false"/>
                <w:bCs w:val="false"/>
                <w:i w:val="false"/>
                <w:iCs w:val="false"/>
                <w:color w:val="1A202C"/>
                <w:sz w:val="17"/>
                <w:szCs w:val="17"/>
              </w:rPr>
              <w:t xml:space="preserve">· Search and retrieval</w:t>
            </w:r>
          </w:p>
          <w:p>
            <w:pPr>
              <w:spacing w:after="0"/>
            </w:pPr>
            <w:r>
              <w:rPr>
                <w:rFonts w:ascii="Calibri" w:cs="Calibri" w:eastAsia="Calibri" w:hAnsi="Calibri"/>
                <w:b w:val="false"/>
                <w:bCs w:val="false"/>
                <w:i w:val="false"/>
                <w:iCs w:val="false"/>
                <w:color w:val="1A202C"/>
                <w:sz w:val="17"/>
                <w:szCs w:val="17"/>
              </w:rPr>
              <w:t xml:space="preserve">· Document download</w:t>
            </w:r>
          </w:p>
          <w:p>
            <w:pPr>
              <w:spacing w:after="0"/>
            </w:pPr>
            <w:r>
              <w:rPr>
                <w:rFonts w:ascii="Calibri" w:cs="Calibri" w:eastAsia="Calibri" w:hAnsi="Calibri"/>
                <w:b w:val="false"/>
                <w:bCs w:val="false"/>
                <w:i w:val="false"/>
                <w:iCs w:val="false"/>
                <w:color w:val="1A202C"/>
                <w:sz w:val="17"/>
                <w:szCs w:val="17"/>
              </w:rPr>
              <w:t xml:space="preserve">· Document export</w:t>
            </w:r>
          </w:p>
        </w:tc>
        <w:tc>
          <w:tcPr>
            <w:tcW w:type="dxa" w:w="4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 Request notification subscription</w:t>
            </w:r>
          </w:p>
          <w:p>
            <w:pPr>
              <w:spacing w:after="0"/>
            </w:pPr>
            <w:r>
              <w:rPr>
                <w:rFonts w:ascii="Calibri" w:cs="Calibri" w:eastAsia="Calibri" w:hAnsi="Calibri"/>
                <w:b w:val="false"/>
                <w:bCs w:val="false"/>
                <w:i w:val="false"/>
                <w:iCs w:val="false"/>
                <w:color w:val="1A202C"/>
                <w:sz w:val="17"/>
                <w:szCs w:val="17"/>
              </w:rPr>
              <w:t xml:space="preserve">· Document notification subscription</w:t>
            </w:r>
          </w:p>
          <w:p>
            <w:pPr>
              <w:spacing w:after="0"/>
            </w:pPr>
            <w:r>
              <w:rPr>
                <w:rFonts w:ascii="Calibri" w:cs="Calibri" w:eastAsia="Calibri" w:hAnsi="Calibri"/>
                <w:b w:val="false"/>
                <w:bCs w:val="false"/>
                <w:i w:val="false"/>
                <w:iCs w:val="false"/>
                <w:color w:val="1A202C"/>
                <w:sz w:val="17"/>
                <w:szCs w:val="17"/>
              </w:rPr>
              <w:t xml:space="preserve">· Package notification subscription</w:t>
            </w:r>
          </w:p>
          <w:p>
            <w:pPr>
              <w:spacing w:after="0"/>
            </w:pPr>
            <w:r>
              <w:rPr>
                <w:rFonts w:ascii="Calibri" w:cs="Calibri" w:eastAsia="Calibri" w:hAnsi="Calibri"/>
                <w:b w:val="false"/>
                <w:bCs w:val="false"/>
                <w:i w:val="false"/>
                <w:iCs w:val="false"/>
                <w:color w:val="1A202C"/>
                <w:sz w:val="17"/>
                <w:szCs w:val="17"/>
              </w:rPr>
              <w:t xml:space="preserve">· ICMP Viewer integration (VaaS)</w:t>
            </w:r>
          </w:p>
        </w:tc>
        <w:tc>
          <w:tcPr>
            <w:tcW w:type="dxa" w:w="4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 Retention on new and DAU documents</w:t>
            </w:r>
          </w:p>
          <w:p>
            <w:pPr>
              <w:spacing w:after="0"/>
            </w:pPr>
            <w:r>
              <w:rPr>
                <w:rFonts w:ascii="Calibri" w:cs="Calibri" w:eastAsia="Calibri" w:hAnsi="Calibri"/>
                <w:b w:val="false"/>
                <w:bCs w:val="false"/>
                <w:i w:val="false"/>
                <w:iCs w:val="false"/>
                <w:color w:val="1A202C"/>
                <w:sz w:val="17"/>
                <w:szCs w:val="17"/>
              </w:rPr>
              <w:t xml:space="preserve">· Legal hold application</w:t>
            </w:r>
          </w:p>
          <w:p>
            <w:pPr>
              <w:spacing w:after="0"/>
            </w:pPr>
            <w:r>
              <w:rPr>
                <w:rFonts w:ascii="Calibri" w:cs="Calibri" w:eastAsia="Calibri" w:hAnsi="Calibri"/>
                <w:b w:val="false"/>
                <w:bCs w:val="false"/>
                <w:i w:val="false"/>
                <w:iCs w:val="false"/>
                <w:color w:val="1A202C"/>
                <w:sz w:val="17"/>
                <w:szCs w:val="17"/>
              </w:rPr>
              <w:t xml:space="preserve">· Legal hold removal</w:t>
            </w:r>
          </w:p>
          <w:p>
            <w:pPr>
              <w:spacing w:after="0"/>
            </w:pPr>
            <w:r>
              <w:rPr>
                <w:rFonts w:ascii="Calibri" w:cs="Calibri" w:eastAsia="Calibri" w:hAnsi="Calibri"/>
                <w:b w:val="false"/>
                <w:bCs w:val="false"/>
                <w:i w:val="false"/>
                <w:iCs w:val="false"/>
                <w:color w:val="1A202C"/>
                <w:sz w:val="17"/>
                <w:szCs w:val="17"/>
              </w:rPr>
              <w:t xml:space="preserve">· Retention event updates</w:t>
            </w:r>
          </w:p>
        </w:tc>
      </w:tr>
    </w:tbl>
    <w:p>
      <w:pPr>
        <w:spacing w:after="120"/>
      </w:pPr>
      <w:r>
        <w:rPr>
          <w:rFonts w:ascii="Calibri" w:cs="Calibri" w:eastAsia="Calibri" w:hAnsi="Calibri"/>
          <w:b w:val="false"/>
          <w:bCs w:val="false"/>
          <w:i/>
          <w:iCs/>
          <w:color w:val="4A5568"/>
          <w:sz w:val="16"/>
          <w:szCs w:val="16"/>
        </w:rPr>
        <w:t xml:space="preserve">The catalogue is extensible — this is the base set. It drives scope selection, group membership and certificate requirements downstream.</w:t>
      </w:r>
    </w:p>
    <w:p>
      <w:pPr>
        <w:pStyle w:val="Heading3"/>
        <w:spacing w:after="80" w:before="180"/>
      </w:pPr>
      <w:r>
        <w:rPr>
          <w:rFonts w:ascii="Calibri" w:cs="Calibri" w:eastAsia="Calibri" w:hAnsi="Calibri"/>
          <w:b/>
          <w:bCs/>
          <w:i w:val="false"/>
          <w:iCs w:val="false"/>
          <w:color w:val="157A73"/>
          <w:sz w:val="20"/>
          <w:szCs w:val="20"/>
        </w:rPr>
        <w:t xml:space="preserve">Ownership &amp; Support Assessment — fields collected</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4800"/>
        <w:gridCol w:w="9600"/>
      </w:tblGrid>
      <w:tr>
        <w:trPr>
          <w:tblHeader/>
        </w:trPr>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Field</w:t>
            </w:r>
          </w:p>
        </w:tc>
        <w:tc>
          <w:tcPr>
            <w:tcW w:type="dxa" w:w="9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Used by</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Primary support team</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Email notification triggers · Production Release Transition page</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Escalation team</w:t>
            </w:r>
          </w:p>
        </w:tc>
        <w:tc>
          <w:tcPr>
            <w:tcW w:type="dxa" w:w="9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Email notification triggers · Production Release Transition page</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Production support team</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 Release Transition page</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Architect</w:t>
            </w:r>
          </w:p>
        </w:tc>
        <w:tc>
          <w:tcPr>
            <w:tcW w:type="dxa" w:w="9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Approval and handoff points</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Project manager</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Approval and handoff points</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All application systems involved in the flow</w:t>
            </w:r>
          </w:p>
        </w:tc>
        <w:tc>
          <w:tcPr>
            <w:tcW w:type="dxa" w:w="9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 Release Transition page</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Owner of the end-to-end business flow</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Approval and handoff points</w:t>
            </w:r>
          </w:p>
        </w:tc>
      </w:tr>
    </w:tbl>
    <w:p>
      <w:r>
        <w:br w:type="page"/>
      </w:r>
    </w:p>
    <w:p>
      <w:pPr>
        <w:pStyle w:val="Heading2"/>
        <w:spacing w:after="110" w:before="260"/>
      </w:pPr>
      <w:r>
        <w:rPr>
          <w:rFonts w:ascii="Calibri" w:cs="Calibri" w:eastAsia="Calibri" w:hAnsi="Calibri"/>
          <w:b/>
          <w:bCs/>
          <w:i w:val="false"/>
          <w:iCs w:val="false"/>
          <w:color w:val="1F4E79"/>
          <w:sz w:val="23"/>
          <w:szCs w:val="23"/>
        </w:rPr>
        <w:t xml:space="preserve">5.5  Sub-agent 4 — Volume Assessment</w:t>
      </w:r>
    </w:p>
    <w:p>
      <w:pPr>
        <w:spacing w:after="80" w:before="0"/>
      </w:pPr>
      <w:r>
        <w:rPr>
          <w:rFonts w:ascii="Calibri" w:cs="Calibri" w:eastAsia="Calibri" w:hAnsi="Calibri"/>
          <w:b w:val="false"/>
          <w:bCs w:val="false"/>
          <w:i w:val="false"/>
          <w:iCs w:val="false"/>
          <w:color w:val="1A202C"/>
          <w:sz w:val="19"/>
          <w:szCs w:val="19"/>
        </w:rPr>
        <w:t xml:space="preserve">Applies to net-new partners archiving documents into ICMP or downstream repositories, and equally to existing partners introducing additional document sets or volume — anything that increases total document volume or ICMP service/API call count.</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rationale &amp; stakes</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Explains why volume is being collected and what happens if it is wrong — answered from the skill's own knowledge, not deferred</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Per-operation volume collection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Collects the volume profile separately for each operation rather than as a single aggregate</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Special-day &amp; growth profiling</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Captures recurring deviations and projected growth separately from baseline</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VaaS / ICMP UI user profiling</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Collects new user counts and minimum, average and peak concurrent users where the UI or Viewer service is used</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Estimation &amp; buffer guidance</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Drives an educated estimate plus buffer where the partner has no concrete figures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Capacity planning ticket creation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Populates and raises the capacity planning ticket for the assigned ICMP scrum member</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 create</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bl>
    <w:p>
      <w:pPr>
        <w:pStyle w:val="Heading3"/>
        <w:spacing w:after="80" w:before="180"/>
      </w:pPr>
      <w:r>
        <w:rPr>
          <w:rFonts w:ascii="Calibri" w:cs="Calibri" w:eastAsia="Calibri" w:hAnsi="Calibri"/>
          <w:b/>
          <w:bCs/>
          <w:i w:val="false"/>
          <w:iCs w:val="false"/>
          <w:color w:val="157A73"/>
          <w:sz w:val="20"/>
          <w:szCs w:val="20"/>
        </w:rPr>
        <w:t xml:space="preserve">Behavioural requirement</w:t>
      </w:r>
    </w:p>
    <w:p>
      <w:pPr>
        <w:spacing w:after="80" w:before="0"/>
      </w:pPr>
      <w:r>
        <w:rPr>
          <w:rFonts w:ascii="Calibri" w:cs="Calibri" w:eastAsia="Calibri" w:hAnsi="Calibri"/>
          <w:b w:val="false"/>
          <w:bCs w:val="false"/>
          <w:i w:val="false"/>
          <w:iCs w:val="false"/>
          <w:color w:val="1A202C"/>
          <w:sz w:val="19"/>
          <w:szCs w:val="19"/>
        </w:rPr>
        <w:t xml:space="preserve">The sub-agent does not merely collect. Its skills must answer the partner's questions while collecting — both rationale questions (why is this being asked, what is it used for) and generic ICMP questions raised mid-collection, handled inline without losing collection state. This is the design difference from a plain form: partners abandon volume questionnaires they do not understand, so the skill carries the reasoning alongside the fields.</w:t>
      </w:r>
    </w:p>
    <w:p>
      <w:pPr>
        <w:pStyle w:val="Heading3"/>
        <w:spacing w:after="80" w:before="180"/>
      </w:pPr>
      <w:r>
        <w:rPr>
          <w:rFonts w:ascii="Calibri" w:cs="Calibri" w:eastAsia="Calibri" w:hAnsi="Calibri"/>
          <w:b/>
          <w:bCs/>
          <w:i w:val="false"/>
          <w:iCs w:val="false"/>
          <w:color w:val="157A73"/>
          <w:sz w:val="20"/>
          <w:szCs w:val="20"/>
        </w:rPr>
        <w:t xml:space="preserve">Fields collected per operation</w:t>
      </w:r>
    </w:p>
    <w:p>
      <w:pPr>
        <w:spacing w:after="80" w:before="0"/>
      </w:pPr>
      <w:r>
        <w:rPr>
          <w:rFonts w:ascii="Calibri" w:cs="Calibri" w:eastAsia="Calibri" w:hAnsi="Calibri"/>
          <w:b w:val="false"/>
          <w:bCs w:val="false"/>
          <w:i w:val="false"/>
          <w:iCs w:val="false"/>
          <w:color w:val="1A202C"/>
          <w:sz w:val="19"/>
          <w:szCs w:val="19"/>
        </w:rPr>
        <w:t xml:space="preserve">Operations include ingestion, search, retrieval and any other operation in scope.</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4800"/>
        <w:gridCol w:w="9600"/>
      </w:tblGrid>
      <w:tr>
        <w:trPr>
          <w:tblHeader/>
        </w:trPr>
        <w:tc>
          <w:tcPr>
            <w:tcW w:type="dxa" w:w="4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Field</w:t>
            </w:r>
          </w:p>
        </w:tc>
        <w:tc>
          <w:tcPr>
            <w:tcW w:type="dxa" w:w="9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Detail</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Document volume per hour</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Documents per request</w:t>
            </w:r>
          </w:p>
        </w:tc>
        <w:tc>
          <w:tcPr>
            <w:tcW w:type="dxa" w:w="9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Document size</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Minimum / maximum / average, in KB or MB</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Pages per document</w:t>
            </w:r>
          </w:p>
        </w:tc>
        <w:tc>
          <w:tcPr>
            <w:tcW w:type="dxa" w:w="9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Minimum / maximum / average</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Peak volume</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Hourly and daily</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Concurrent users</w:t>
            </w:r>
          </w:p>
        </w:tc>
        <w:tc>
          <w:tcPr>
            <w:tcW w:type="dxa" w:w="9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Upstream system application, or ICMP UI</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Traffic pattern</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Batch (periodic) versus live / synchronous</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Monthly total volume</w:t>
            </w:r>
          </w:p>
        </w:tc>
        <w:tc>
          <w:tcPr>
            <w:tcW w:type="dxa" w:w="9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Special-day scenarios</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Recurring deviations — e.g. first day or first week of month at +20–30% over average, annual closing periods, other cyclical spikes</w:t>
            </w:r>
          </w:p>
        </w:tc>
      </w:tr>
      <w:tr>
        <w:tc>
          <w:tcPr>
            <w:tcW w:type="dxa" w:w="4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Projected growth</w:t>
            </w:r>
          </w:p>
        </w:tc>
        <w:tc>
          <w:tcPr>
            <w:tcW w:type="dxa" w:w="96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Anticipated volume increase over time</w:t>
            </w:r>
          </w:p>
        </w:tc>
      </w:tr>
      <w:tr>
        <w:tc>
          <w:tcPr>
            <w:tcW w:type="dxa" w:w="4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VaaS / ICMP UI additions</w:t>
            </w:r>
          </w:p>
        </w:tc>
        <w:tc>
          <w:tcPr>
            <w:tcW w:type="dxa" w:w="96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New users onboarding · concurrent users at minimum, average and peak</w:t>
            </w:r>
          </w:p>
        </w:tc>
      </w:tr>
    </w:tbl>
    <w:p>
      <w:pPr>
        <w:pStyle w:val="Heading3"/>
        <w:spacing w:after="80" w:before="180"/>
      </w:pPr>
      <w:r>
        <w:rPr>
          <w:rFonts w:ascii="Calibri" w:cs="Calibri" w:eastAsia="Calibri" w:hAnsi="Calibri"/>
          <w:b/>
          <w:bCs/>
          <w:i w:val="false"/>
          <w:iCs w:val="false"/>
          <w:color w:val="157A73"/>
          <w:sz w:val="20"/>
          <w:szCs w:val="20"/>
        </w:rPr>
        <w:t xml:space="preserve">Rationale content the skill must carry</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Volumes drive the load testing performed before the partner goes live in production</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ICMP handles millions of requests per day across all lines of business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If actual volume exceeds what was declared and ICMP services degrade, the blast radius is enterprise-wide — every LOB and every upstream and downstream system on ICMP is affected, not only the partner who under-declared</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Required fidelity: peak volumes at hourly and daily granularity, plus the normal-business-hours profile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Enforcement consequence: if volume exceeds what was approved and declared, the ICMP platform support team can disable the subscription</w:t>
      </w:r>
    </w:p>
    <w:p>
      <w:pPr>
        <w:pStyle w:val="Heading3"/>
        <w:spacing w:after="80" w:before="180"/>
      </w:pPr>
      <w:r>
        <w:rPr>
          <w:rFonts w:ascii="Calibri" w:cs="Calibri" w:eastAsia="Calibri" w:hAnsi="Calibri"/>
          <w:b/>
          <w:bCs/>
          <w:i w:val="false"/>
          <w:iCs w:val="false"/>
          <w:color w:val="157A73"/>
          <w:sz w:val="20"/>
          <w:szCs w:val="20"/>
        </w:rPr>
        <w:t xml:space="preserve">Handling "we do not know our volume"</w:t>
      </w:r>
    </w:p>
    <w:p>
      <w:pPr>
        <w:spacing w:after="80" w:before="0"/>
      </w:pPr>
      <w:r>
        <w:rPr>
          <w:rFonts w:ascii="Calibri" w:cs="Calibri" w:eastAsia="Calibri" w:hAnsi="Calibri"/>
          <w:b w:val="false"/>
          <w:bCs w:val="false"/>
          <w:i w:val="false"/>
          <w:iCs w:val="false"/>
          <w:color w:val="1A202C"/>
          <w:sz w:val="19"/>
          <w:szCs w:val="19"/>
        </w:rPr>
        <w:t xml:space="preserve">Never accepted as a terminal answer. The skill pushes for a number:</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Educated estimate based on comparable systems or business projections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Add a 20–30% buffer on top</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Confirm load testing is performed end-to-end, not ICMP-only</w:t>
      </w:r>
    </w:p>
    <w:p>
      <w:pPr>
        <w:spacing w:after="120"/>
      </w:pPr>
      <w:r>
        <w:rPr>
          <w:rFonts w:ascii="Calibri" w:cs="Calibri" w:eastAsia="Calibri" w:hAnsi="Calibri"/>
          <w:b w:val="false"/>
          <w:bCs w:val="false"/>
          <w:i/>
          <w:iCs/>
          <w:color w:val="4A5568"/>
          <w:sz w:val="16"/>
          <w:szCs w:val="16"/>
        </w:rPr>
        <w:t xml:space="preserve">This applies equally to net-new businesses with no historical data — an estimate with buffer is always preferable to a blank.</w:t>
      </w:r>
    </w:p>
    <w:p>
      <w:pPr>
        <w:pStyle w:val="Heading3"/>
        <w:spacing w:after="80" w:before="180"/>
      </w:pPr>
      <w:r>
        <w:rPr>
          <w:rFonts w:ascii="Calibri" w:cs="Calibri" w:eastAsia="Calibri" w:hAnsi="Calibri"/>
          <w:b/>
          <w:bCs/>
          <w:i w:val="false"/>
          <w:iCs w:val="false"/>
          <w:color w:val="157A73"/>
          <w:sz w:val="20"/>
          <w:szCs w:val="20"/>
        </w:rPr>
        <w:t xml:space="preserve">Volume-change obligation</w:t>
      </w:r>
    </w:p>
    <w:p>
      <w:pPr>
        <w:spacing w:after="80" w:before="0"/>
      </w:pPr>
      <w:r>
        <w:rPr>
          <w:rFonts w:ascii="Calibri" w:cs="Calibri" w:eastAsia="Calibri" w:hAnsi="Calibri"/>
          <w:b w:val="false"/>
          <w:bCs w:val="false"/>
          <w:i w:val="false"/>
          <w:iCs w:val="false"/>
          <w:color w:val="1A202C"/>
          <w:sz w:val="19"/>
          <w:szCs w:val="19"/>
        </w:rPr>
        <w:t xml:space="preserve">A forward-looking obligation communicated at collection time, not discovered later. If the partner's volume grows beyond what was previously submitted and approved, a new ICMP intake is required — to the LJKX project, the same as the original onboarding intake — before that volume is enabled.</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ICMP re-runs load testing with the additional volume layered on top of all existing volume across all operations. The test is never partner-isolated, because the risk is cumulative.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An anticipated increase of roughly 5–10% over the declared baseline triggers the obligation; the exact trigger scales with the partner's overall volume.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Uncertainty does not exempt the partner. If they do not know whether the increase is material, they still create the intake. ICMP evaluates and decides whether additional SPLT is required before enabling the volume — that judgement belongs to ICMP, not the partner.</w:t>
      </w:r>
    </w:p>
    <w:p>
      <w:pPr>
        <w:spacing w:after="120"/>
      </w:pPr>
      <w:r>
        <w:rPr>
          <w:rFonts w:ascii="Calibri" w:cs="Calibri" w:eastAsia="Calibri" w:hAnsi="Calibri"/>
          <w:b w:val="false"/>
          <w:bCs w:val="false"/>
          <w:i/>
          <w:iCs/>
          <w:color w:val="4A5568"/>
          <w:sz w:val="16"/>
          <w:szCs w:val="16"/>
        </w:rPr>
        <w:t xml:space="preserve">This closes the obvious loophole: a partner who declares estimates upfront might otherwise treat those estimates as permanently sufficient. The agent makes the ongoing obligation explicit while the partner is paying attention. It is restated in the capacity planning ticket and referenced at Environment Progression sign-off.</w:t>
      </w:r>
    </w:p>
    <w:p>
      <w:r>
        <w:br w:type="page"/>
      </w:r>
    </w:p>
    <w:p>
      <w:pPr>
        <w:pStyle w:val="Heading2"/>
        <w:spacing w:after="110" w:before="260"/>
      </w:pPr>
      <w:r>
        <w:rPr>
          <w:rFonts w:ascii="Calibri" w:cs="Calibri" w:eastAsia="Calibri" w:hAnsi="Calibri"/>
          <w:b/>
          <w:bCs/>
          <w:i w:val="false"/>
          <w:iCs w:val="false"/>
          <w:color w:val="1F4E79"/>
          <w:sz w:val="23"/>
          <w:szCs w:val="23"/>
        </w:rPr>
        <w:t xml:space="preserve">5.6  Sub-agent 5 — Load Testing (SPLT)</w:t>
      </w:r>
    </w:p>
    <w:p>
      <w:pPr>
        <w:spacing w:after="80" w:before="0"/>
      </w:pPr>
      <w:r>
        <w:rPr>
          <w:rFonts w:ascii="Calibri" w:cs="Calibri" w:eastAsia="Calibri" w:hAnsi="Calibri"/>
          <w:b w:val="false"/>
          <w:bCs w:val="false"/>
          <w:i w:val="false"/>
          <w:iCs w:val="false"/>
          <w:color w:val="1A202C"/>
          <w:sz w:val="19"/>
          <w:szCs w:val="19"/>
        </w:rPr>
        <w:t xml:space="preserve">System Performance Load Testing. Promoted out of Volume Assessment because it does substantially more than transcribe volumes.</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Test case derivation</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Identifies and derives test cases from the collected volume profile</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Load test template mapping</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Maps the required information into the load testing team's existing templates and defined use cases</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SPLT templates</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SPLT requirement package</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Assembles the complete package beyond volume that the load testing team requires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SPLT ticket creation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Raises the load testing ticket with the full package attached</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 create</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bl>
    <w:p>
      <w:pPr>
        <w:pStyle w:val="Heading2"/>
        <w:spacing w:after="110" w:before="260"/>
      </w:pPr>
      <w:r>
        <w:rPr>
          <w:rFonts w:ascii="Calibri" w:cs="Calibri" w:eastAsia="Calibri" w:hAnsi="Calibri"/>
          <w:b/>
          <w:bCs/>
          <w:i w:val="false"/>
          <w:iCs w:val="false"/>
          <w:color w:val="1F4E79"/>
          <w:sz w:val="23"/>
          <w:szCs w:val="23"/>
        </w:rPr>
        <w:t xml:space="preserve">5.7  Sub-agent 6 — Apigee Subscription</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Consumer application creation / modification</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Creating a new consumer application or modifying an existing one in the Apigee marketplace. All new consumer applications must be created in NGDC.</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Marketplace</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 Identifier population &amp; validation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Ensures the App Identifier holds the correct service account before submission</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Marketplace</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Environment ↔ service account mapping</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Maps the target environment to the correct service account and enforces the naming convention</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Scope selection &amp; permission explanation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Drives scope selection and explains why scopes are permissions, not metadata</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Marketplace docs</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Subscription tier identification</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Recommends the volume-appropriate tier; excludes legacy tiers; flags restricted tiers</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Marketplace docs</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Subscription form completion &amp; submission</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Answers the question set, fills and submits the subscription form</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Marketplace</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Approval evidence package</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Assembles the screenshot evidence required for approval</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bl>
    <w:p>
      <w:pPr>
        <w:pStyle w:val="Heading3"/>
        <w:spacing w:after="80" w:before="180"/>
      </w:pPr>
      <w:r>
        <w:rPr>
          <w:rFonts w:ascii="Calibri" w:cs="Calibri" w:eastAsia="Calibri" w:hAnsi="Calibri"/>
          <w:b/>
          <w:bCs/>
          <w:i w:val="false"/>
          <w:iCs w:val="false"/>
          <w:color w:val="157A73"/>
          <w:sz w:val="20"/>
          <w:szCs w:val="20"/>
        </w:rPr>
        <w:t xml:space="preserve">Prerequisites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Marketplace access — required before subscribing to ICMP APIs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Consumer application — created new or modified from existing, in the Apigee marketplace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All new consumer applications must be created in NGDC (Next Generation Data Center). Existing and legacy applications sit in the Heritage data center; new applications must not go there.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BAM App ID — required. The Remedy ID threads through consumer application registration, application ownership identification, access provisioning, subscription management and operational support.</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Marketplace documentation is the source of truth. It changes over time, so this skill must always reflect the currently published documentation rather than hardcoded steps.</w:t>
      </w:r>
    </w:p>
    <w:p>
      <w:pPr>
        <w:pStyle w:val="Heading3"/>
        <w:spacing w:after="80" w:before="180"/>
      </w:pPr>
      <w:r>
        <w:rPr>
          <w:rFonts w:ascii="Calibri" w:cs="Calibri" w:eastAsia="Calibri" w:hAnsi="Calibri"/>
          <w:b/>
          <w:bCs/>
          <w:i w:val="false"/>
          <w:iCs w:val="false"/>
          <w:color w:val="157A73"/>
          <w:sz w:val="20"/>
          <w:szCs w:val="20"/>
        </w:rPr>
        <w:t xml:space="preserve">App Identifier rule</w:t>
      </w:r>
    </w:p>
    <w:p>
      <w:pPr>
        <w:spacing w:after="80" w:before="0"/>
      </w:pPr>
      <w:r>
        <w:rPr>
          <w:rFonts w:ascii="Calibri" w:cs="Calibri" w:eastAsia="Calibri" w:hAnsi="Calibri"/>
          <w:b w:val="false"/>
          <w:bCs w:val="false"/>
          <w:i w:val="false"/>
          <w:iCs w:val="false"/>
          <w:color w:val="1A202C"/>
          <w:sz w:val="19"/>
          <w:szCs w:val="19"/>
        </w:rPr>
        <w:t xml:space="preserve">The API marketplace presents App Identifier as optional. For ICMP it is mandatory. It must hold the service account that will invoke the APIs, and must be populated correctly before the subscription is submitted for approval. Other applications may use a different convention for this field — ICMP does not.</w:t>
      </w:r>
    </w:p>
    <w:p>
      <w:pPr>
        <w:pStyle w:val="Heading3"/>
        <w:spacing w:after="80" w:before="180"/>
      </w:pPr>
      <w:r>
        <w:rPr>
          <w:rFonts w:ascii="Calibri" w:cs="Calibri" w:eastAsia="Calibri" w:hAnsi="Calibri"/>
          <w:b/>
          <w:bCs/>
          <w:i w:val="false"/>
          <w:iCs w:val="false"/>
          <w:color w:val="157A73"/>
          <w:sz w:val="20"/>
          <w:szCs w:val="20"/>
        </w:rPr>
        <w:t xml:space="preserve">Environment and service account mapping</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200"/>
        <w:gridCol w:w="6200"/>
        <w:gridCol w:w="5000"/>
      </w:tblGrid>
      <w:tr>
        <w:trPr>
          <w:tblHeader/>
        </w:trPr>
        <w:tc>
          <w:tcPr>
            <w:tcW w:type="dxa" w:w="3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Environment</w:t>
            </w:r>
          </w:p>
        </w:tc>
        <w:tc>
          <w:tcPr>
            <w:tcW w:type="dxa" w:w="6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5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Service account</w:t>
            </w:r>
          </w:p>
        </w:tc>
      </w:tr>
      <w:tr>
        <w:tc>
          <w:tcPr>
            <w:tcW w:type="dxa" w:w="32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Innovation</w:t>
            </w:r>
          </w:p>
        </w:tc>
        <w:tc>
          <w:tcPr>
            <w:tcW w:type="dxa" w:w="6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Development and POC</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QAEnt</w:t>
            </w:r>
          </w:p>
        </w:tc>
      </w:tr>
      <w:tr>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Non-Prod</w:t>
            </w:r>
          </w:p>
        </w:tc>
        <w:tc>
          <w:tcPr>
            <w:tcW w:type="dxa" w:w="6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Integration testing, UAT, load testing</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QAEnt</w:t>
            </w:r>
          </w:p>
        </w:tc>
      </w:tr>
      <w:tr>
        <w:tc>
          <w:tcPr>
            <w:tcW w:type="dxa" w:w="32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Production</w:t>
            </w:r>
          </w:p>
        </w:tc>
        <w:tc>
          <w:tcPr>
            <w:tcW w:type="dxa" w:w="6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Live</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w:t>
            </w:r>
          </w:p>
        </w:tc>
      </w:tr>
      <w:tr>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ProdFix</w:t>
            </w:r>
          </w:p>
        </w:tc>
        <w:tc>
          <w:tcPr>
            <w:tcW w:type="dxa" w:w="6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 replicate — ICMP-internal validation of code immediately before the production move</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 (ICMP internal only)</w:t>
            </w:r>
          </w:p>
        </w:tc>
      </w:tr>
    </w:tbl>
    <w:p>
      <w:pPr>
        <w:spacing w:after="120"/>
      </w:pPr>
      <w:r>
        <w:rPr>
          <w:rFonts w:ascii="Calibri" w:cs="Calibri" w:eastAsia="Calibri" w:hAnsi="Calibri"/>
          <w:b w:val="false"/>
          <w:bCs w:val="false"/>
          <w:i/>
          <w:iCs/>
          <w:color w:val="4A5568"/>
          <w:sz w:val="16"/>
          <w:szCs w:val="16"/>
        </w:rPr>
        <w:t xml:space="preserve">ProdFix is not open to partners. It exists for ICMP internal teams and does not appear in the partner-facing progression ladder. Service account names must encode the environment — innovation / non-prod / prod — so they are identifiable at a glance. Production accounts remain separate from innovation and non-prod accounts even though creation runs through the same tool (ART).</w:t>
      </w:r>
    </w:p>
    <w:p>
      <w:pPr>
        <w:pStyle w:val="Heading3"/>
        <w:spacing w:after="80" w:before="180"/>
      </w:pPr>
      <w:r>
        <w:rPr>
          <w:rFonts w:ascii="Calibri" w:cs="Calibri" w:eastAsia="Calibri" w:hAnsi="Calibri"/>
          <w:b/>
          <w:bCs/>
          <w:i w:val="false"/>
          <w:iCs w:val="false"/>
          <w:color w:val="157A73"/>
          <w:sz w:val="20"/>
          <w:szCs w:val="20"/>
        </w:rPr>
        <w:t xml:space="preserve">Scope selection rules</w:t>
      </w:r>
    </w:p>
    <w:p>
      <w:pPr>
        <w:spacing w:after="80" w:before="0"/>
      </w:pPr>
      <w:r>
        <w:rPr>
          <w:rFonts w:ascii="Calibri" w:cs="Calibri" w:eastAsia="Calibri" w:hAnsi="Calibri"/>
          <w:b w:val="false"/>
          <w:bCs w:val="false"/>
          <w:i w:val="false"/>
          <w:iCs w:val="false"/>
          <w:color w:val="1A202C"/>
          <w:sz w:val="19"/>
          <w:szCs w:val="19"/>
        </w:rPr>
        <w:t xml:space="preserve">Mandatory and consequential. Wrong, unauthorised or unapproved scope selection leads to rejected subscriptions. ICMP enforces security validation against the approved scope at runtime — a partner cannot select one scope and use another later.</w:t>
      </w:r>
    </w:p>
    <w:p>
      <w:pPr>
        <w:spacing w:after="80" w:before="0"/>
      </w:pPr>
      <w:r>
        <w:rPr>
          <w:rFonts w:ascii="Calibri" w:cs="Calibri" w:eastAsia="Calibri" w:hAnsi="Calibri"/>
          <w:b/>
          <w:bCs/>
          <w:i w:val="false"/>
          <w:iCs w:val="false"/>
          <w:color w:val="1A202C"/>
          <w:sz w:val="19"/>
          <w:szCs w:val="19"/>
        </w:rPr>
        <w:t xml:space="preserve">Failure modes the agent must state plainly: </w:t>
      </w:r>
      <w:r>
        <w:rPr>
          <w:rFonts w:ascii="Calibri" w:cs="Calibri" w:eastAsia="Calibri" w:hAnsi="Calibri"/>
          <w:b w:val="false"/>
          <w:bCs w:val="false"/>
          <w:i w:val="false"/>
          <w:iCs w:val="false"/>
          <w:color w:val="1A202C"/>
          <w:sz w:val="19"/>
          <w:szCs w:val="19"/>
        </w:rPr>
        <w:t xml:space="preserve">operation checks fail · API access denied · subscription approval rejected.</w:t>
      </w:r>
    </w:p>
    <w:p>
      <w:pPr>
        <w:spacing w:after="80" w:before="0"/>
      </w:pPr>
      <w:r>
        <w:rPr>
          <w:rFonts w:ascii="Calibri" w:cs="Calibri" w:eastAsia="Calibri" w:hAnsi="Calibri"/>
          <w:b/>
          <w:bCs/>
          <w:i w:val="false"/>
          <w:iCs w:val="false"/>
          <w:color w:val="B26A00"/>
          <w:sz w:val="19"/>
          <w:szCs w:val="19"/>
        </w:rPr>
        <w:t xml:space="preserve">The agent must explain the reason: scopes are not metadata — they are permissions granted to the consumer application.</w:t>
      </w:r>
    </w:p>
    <w:p>
      <w:pPr>
        <w:pStyle w:val="Heading3"/>
        <w:spacing w:after="80" w:before="180"/>
      </w:pPr>
      <w:r>
        <w:rPr>
          <w:rFonts w:ascii="Calibri" w:cs="Calibri" w:eastAsia="Calibri" w:hAnsi="Calibri"/>
          <w:b/>
          <w:bCs/>
          <w:i w:val="false"/>
          <w:iCs w:val="false"/>
          <w:color w:val="157A73"/>
          <w:sz w:val="20"/>
          <w:szCs w:val="20"/>
        </w:rPr>
        <w:t xml:space="preserve">Subscription tiers</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600"/>
        <w:gridCol w:w="10800"/>
      </w:tblGrid>
      <w:tr>
        <w:trPr>
          <w:tblHeader/>
        </w:trPr>
        <w:tc>
          <w:tcPr>
            <w:tcW w:type="dxa" w:w="3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Tier category</w:t>
            </w:r>
          </w:p>
        </w:tc>
        <w:tc>
          <w:tcPr>
            <w:tcW w:type="dxa" w:w="10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Rule</w:t>
            </w:r>
          </w:p>
        </w:tc>
      </w:tr>
      <w:tr>
        <w:tc>
          <w:tcPr>
            <w:tcW w:type="dxa" w:w="3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Standard tiers</w:t>
            </w:r>
          </w:p>
        </w:tc>
        <w:tc>
          <w:tcPr>
            <w:tcW w:type="dxa" w:w="10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Recommended on the basis of the volume profile produced by the Volume Assessment sub-agent</w:t>
            </w:r>
          </w:p>
        </w:tc>
      </w:tr>
      <w:tr>
        <w:tc>
          <w:tcPr>
            <w:tcW w:type="dxa" w:w="3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Legacy tiers</w:t>
            </w:r>
          </w:p>
        </w:tc>
        <w:tc>
          <w:tcPr>
            <w:tcW w:type="dxa" w:w="10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Must not be selected for ICMP, even though they remain visible in the Apigee marketplace</w:t>
            </w:r>
          </w:p>
        </w:tc>
      </w:tr>
      <w:tr>
        <w:tc>
          <w:tcPr>
            <w:tcW w:type="dxa" w:w="3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Restricted tiers — Diamond, Emerald, Top Tier</w:t>
            </w:r>
          </w:p>
        </w:tc>
        <w:tc>
          <w:tcPr>
            <w:tcW w:type="dxa" w:w="10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Require special request, prior discussion and approval before use</w:t>
            </w:r>
          </w:p>
        </w:tc>
      </w:tr>
    </w:tbl>
    <w:p>
      <w:pPr>
        <w:pStyle w:val="Heading3"/>
        <w:spacing w:after="80" w:before="180"/>
      </w:pPr>
      <w:r>
        <w:rPr>
          <w:rFonts w:ascii="Calibri" w:cs="Calibri" w:eastAsia="Calibri" w:hAnsi="Calibri"/>
          <w:b/>
          <w:bCs/>
          <w:i w:val="false"/>
          <w:iCs w:val="false"/>
          <w:color w:val="157A73"/>
          <w:sz w:val="20"/>
          <w:szCs w:val="20"/>
        </w:rPr>
        <w:t xml:space="preserve">Approval evidence requirements</w:t>
      </w:r>
    </w:p>
    <w:p>
      <w:pPr>
        <w:spacing w:after="80" w:before="0"/>
      </w:pPr>
      <w:r>
        <w:rPr>
          <w:rFonts w:ascii="Calibri" w:cs="Calibri" w:eastAsia="Calibri" w:hAnsi="Calibri"/>
          <w:b w:val="false"/>
          <w:bCs w:val="false"/>
          <w:i w:val="false"/>
          <w:iCs w:val="false"/>
          <w:color w:val="1A202C"/>
          <w:sz w:val="19"/>
          <w:szCs w:val="19"/>
        </w:rPr>
        <w:t xml:space="preserve">The partner must supply two screenshots: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Subscription details showing the App Identifier field with the QAEnt or ADEnt App ID value</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Selected scopes and the subscription configuration</w:t>
      </w:r>
    </w:p>
    <w:p>
      <w:pPr>
        <w:spacing w:after="120"/>
      </w:pPr>
      <w:r>
        <w:rPr>
          <w:rFonts w:ascii="Calibri" w:cs="Calibri" w:eastAsia="Calibri" w:hAnsi="Calibri"/>
          <w:b w:val="false"/>
          <w:bCs w:val="false"/>
          <w:i/>
          <w:iCs/>
          <w:color w:val="4A5568"/>
          <w:sz w:val="16"/>
          <w:szCs w:val="16"/>
        </w:rPr>
        <w:t xml:space="preserve">Rationale the agent should convey — the onboarding and support partners granting approval have no visibility into these details themselves, so the screenshots are the only evidence available. The partner reviews them before submitting.</w:t>
      </w:r>
    </w:p>
    <w:p>
      <w:pPr>
        <w:pStyle w:val="Heading2"/>
        <w:spacing w:after="110" w:before="260"/>
      </w:pPr>
      <w:r>
        <w:rPr>
          <w:rFonts w:ascii="Calibri" w:cs="Calibri" w:eastAsia="Calibri" w:hAnsi="Calibri"/>
          <w:b/>
          <w:bCs/>
          <w:i w:val="false"/>
          <w:iCs w:val="false"/>
          <w:color w:val="1F4E79"/>
          <w:sz w:val="23"/>
          <w:szCs w:val="23"/>
        </w:rPr>
        <w:t xml:space="preserve">5.8  Sub-agent 7 — Postman Collection Generation</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Scope-driven collection build</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Builds the sample collection from the approved scope, so it contains only what the partner is permitted to call</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 tool</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Environment variable seeding</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Seeds the collection with the correct environment, service account and endpoint values</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 tool</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Download delivery</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Delivers the collection to the partner for download</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 tool</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bl>
    <w:p>
      <w:pPr>
        <w:spacing w:after="120"/>
      </w:pPr>
      <w:r>
        <w:rPr>
          <w:rFonts w:ascii="Calibri" w:cs="Calibri" w:eastAsia="Calibri" w:hAnsi="Calibri"/>
          <w:b w:val="false"/>
          <w:bCs w:val="false"/>
          <w:i/>
          <w:iCs/>
          <w:color w:val="4A5568"/>
          <w:sz w:val="16"/>
          <w:szCs w:val="16"/>
        </w:rPr>
        <w:t xml:space="preserve">Invoked after subscription approval. Consumes the approved scope selection as input — which is what makes it accurate rather than generic.</w:t>
      </w:r>
    </w:p>
    <w:p>
      <w:pPr>
        <w:pStyle w:val="Heading2"/>
        <w:spacing w:after="110" w:before="260"/>
      </w:pPr>
      <w:r>
        <w:rPr>
          <w:rFonts w:ascii="Calibri" w:cs="Calibri" w:eastAsia="Calibri" w:hAnsi="Calibri"/>
          <w:b/>
          <w:bCs/>
          <w:i w:val="false"/>
          <w:iCs w:val="false"/>
          <w:color w:val="1F4E79"/>
          <w:sz w:val="23"/>
          <w:szCs w:val="23"/>
        </w:rPr>
        <w:t xml:space="preserve">5.9  Sub-agent 8 — Environment Progression</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3400"/>
        <w:gridCol w:w="700"/>
        <w:gridCol w:w="6900"/>
        <w:gridCol w:w="2400"/>
        <w:gridCol w:w="1000"/>
      </w:tblGrid>
      <w:tr>
        <w:trPr>
          <w:tblHeader/>
        </w:trPr>
        <w:tc>
          <w:tcPr>
            <w:tcW w:type="dxa" w:w="3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Skill</w:t>
            </w:r>
          </w:p>
        </w:tc>
        <w:tc>
          <w:tcPr>
            <w:tcW w:type="dxa" w:w="7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Type</w:t>
            </w:r>
          </w:p>
        </w:tc>
        <w:tc>
          <w:tcPr>
            <w:tcW w:type="dxa" w:w="6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Purpose</w:t>
            </w:r>
          </w:p>
        </w:tc>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Integration target</w:t>
            </w:r>
          </w:p>
        </w:tc>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Progression gating rules</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Enforces the environment ladder and prevents skipping</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P2</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Per-environment sign-off capture</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Captures partner sign-off confirming successful connectivity before the next environment opens</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Scrum-team dependency check</w:t>
            </w:r>
          </w:p>
        </w:tc>
        <w:tc>
          <w:tcPr>
            <w:tcW w:type="dxa" w:w="7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Determines whether a dedicated scrum team is assigned, which governs what the partner may subscribe to</w:t>
            </w:r>
          </w:p>
        </w:tc>
        <w:tc>
          <w:tcPr>
            <w:tcW w:type="dxa" w:w="2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w:t>
            </w:r>
          </w:p>
        </w:tc>
        <w:tc>
          <w:tcPr>
            <w:tcW w:type="dxa" w:w="1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P3</w:t>
            </w:r>
          </w:p>
        </w:tc>
      </w:tr>
      <w:tr>
        <w:tc>
          <w:tcPr>
            <w:tcW w:type="dxa" w:w="3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Volume-change obligation notice</w:t>
            </w:r>
          </w:p>
        </w:tc>
        <w:tc>
          <w:tcPr>
            <w:tcW w:type="dxa" w:w="7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w:t>
            </w:r>
          </w:p>
        </w:tc>
        <w:tc>
          <w:tcPr>
            <w:tcW w:type="dxa" w:w="69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Restates the ongoing obligation to raise a new intake when volume grows beyond the declared baseline</w:t>
            </w:r>
          </w:p>
        </w:tc>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Confluence / KB</w:t>
            </w:r>
          </w:p>
        </w:tc>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P1</w:t>
            </w:r>
          </w:p>
        </w:tc>
      </w:tr>
    </w:tbl>
    <w:p>
      <w:pPr>
        <w:pStyle w:val="Heading3"/>
        <w:spacing w:after="80" w:before="180"/>
      </w:pPr>
      <w:r>
        <w:rPr>
          <w:rFonts w:ascii="Calibri" w:cs="Calibri" w:eastAsia="Calibri" w:hAnsi="Calibri"/>
          <w:b/>
          <w:bCs/>
          <w:i w:val="false"/>
          <w:iCs w:val="false"/>
          <w:color w:val="157A73"/>
          <w:sz w:val="20"/>
          <w:szCs w:val="20"/>
        </w:rPr>
        <w:t xml:space="preserve">Progression rules</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Without a dedicated scrum team assigned, a partner may subscribe in Innovation only — not non-prod, not production</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For partners heading to production the order is fixed: Innovation → approval and partner sign-off confirming successful connectivity → Non-Prod → Production</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No environment may be skipped</w:t>
      </w:r>
    </w:p>
    <w:p>
      <w:pPr>
        <w:pStyle w:val="ListParagraph"/>
        <w:numPr>
          <w:ilvl w:val="0"/>
          <w:numId w:val="1"/>
        </w:numPr>
        <w:spacing w:after="40"/>
      </w:pPr>
      <w:r>
        <w:rPr>
          <w:rFonts w:ascii="Calibri" w:cs="Calibri" w:eastAsia="Calibri" w:hAnsi="Calibri"/>
          <w:b w:val="false"/>
          <w:bCs w:val="false"/>
          <w:i w:val="false"/>
          <w:iCs w:val="false"/>
          <w:color w:val="1A202C"/>
          <w:sz w:val="17"/>
          <w:szCs w:val="17"/>
        </w:rPr>
        <w:t xml:space="preserve">ProdFix sits outside the partner ladder — it is ICMP-internal</w:t>
      </w:r>
    </w:p>
    <w:p>
      <w:r>
        <w:br w:type="page"/>
      </w:r>
    </w:p>
    <w:p>
      <w:pPr>
        <w:pStyle w:val="Heading1"/>
        <w:spacing w:after="140" w:before="340"/>
      </w:pPr>
      <w:r>
        <w:rPr>
          <w:rFonts w:ascii="Calibri" w:cs="Calibri" w:eastAsia="Calibri" w:hAnsi="Calibri"/>
          <w:b/>
          <w:bCs/>
          <w:i w:val="false"/>
          <w:iCs w:val="false"/>
          <w:color w:val="0F2B46"/>
          <w:sz w:val="30"/>
          <w:szCs w:val="30"/>
        </w:rPr>
        <w:t xml:space="preserve">6.  Integration Maturity Model</w:t>
      </w:r>
    </w:p>
    <w:p>
      <w:pPr>
        <w:spacing w:after="80" w:before="0"/>
      </w:pPr>
      <w:r>
        <w:rPr>
          <w:rFonts w:ascii="Calibri" w:cs="Calibri" w:eastAsia="Calibri" w:hAnsi="Calibri"/>
          <w:b w:val="false"/>
          <w:bCs w:val="false"/>
          <w:i w:val="false"/>
          <w:iCs w:val="false"/>
          <w:color w:val="1A202C"/>
          <w:sz w:val="19"/>
          <w:szCs w:val="19"/>
        </w:rPr>
        <w:t xml:space="preserve">Every skill is authored so that the instruction body and the eventual tool call are swappable without rewriting the skill. This is what makes the phase progression a configuration change rather than a rebuild.</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1800"/>
        <w:gridCol w:w="3000"/>
        <w:gridCol w:w="5400"/>
        <w:gridCol w:w="4200"/>
      </w:tblGrid>
      <w:tr>
        <w:trPr>
          <w:tblHeader/>
        </w:trPr>
        <w:tc>
          <w:tcPr>
            <w:tcW w:type="dxa" w:w="1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Phase</w:t>
            </w:r>
          </w:p>
        </w:tc>
        <w:tc>
          <w:tcPr>
            <w:tcW w:type="dxa" w:w="3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Mode</w:t>
            </w:r>
          </w:p>
        </w:tc>
        <w:tc>
          <w:tcPr>
            <w:tcW w:type="dxa" w:w="5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Agent behaviour</w:t>
            </w:r>
          </w:p>
        </w:tc>
        <w:tc>
          <w:tcPr>
            <w:tcW w:type="dxa" w:w="4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Systems at this phase</w:t>
            </w:r>
          </w:p>
        </w:tc>
      </w:tr>
      <w:tr>
        <w:tc>
          <w:tcPr>
            <w:tcW w:type="dxa" w:w="1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Phase 1</w:t>
            </w:r>
          </w:p>
        </w:tc>
        <w:tc>
          <w:tcPr>
            <w:tcW w:type="dxa" w:w="3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Link out</w:t>
            </w:r>
          </w:p>
        </w:tc>
        <w:tc>
          <w:tcPr>
            <w:tcW w:type="dxa" w:w="5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The skill returns Confluence page links and knowledge-base article links. The partner reads and self-serves. No system integration is required. This is the fastest path to a working agent.</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BAM · Venafi · ART · AIMS · Apigee Marketplace · ECM intake docs</w:t>
            </w:r>
          </w:p>
        </w:tc>
      </w:tr>
      <w:tr>
        <w:tc>
          <w:tcPr>
            <w:tcW w:type="dxa" w:w="18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Phase 2</w:t>
            </w:r>
          </w:p>
        </w:tc>
        <w:tc>
          <w:tcPr>
            <w:tcW w:type="dxa" w:w="3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Read &amp; guide</w:t>
            </w:r>
          </w:p>
        </w:tc>
        <w:tc>
          <w:tcPr>
            <w:tcW w:type="dxa" w:w="5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The agent reads the Confluence pages, answers partner questions directly, and guides step-by-step through the process. Documentation remains the source of truth. No write access to target systems.</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Marketplace documentation · SPLT templates · ICMP capability and repository documentation</w:t>
            </w:r>
          </w:p>
        </w:tc>
      </w:tr>
      <w:tr>
        <w:tc>
          <w:tcPr>
            <w:tcW w:type="dxa" w:w="18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Phase 3</w:t>
            </w:r>
          </w:p>
        </w:tc>
        <w:tc>
          <w:tcPr>
            <w:tcW w:type="dxa" w:w="3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Direct integration</w:t>
            </w:r>
          </w:p>
        </w:tc>
        <w:tc>
          <w:tcPr>
            <w:tcW w:type="dxa" w:w="5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MCP servers or system-native APIs. The agent reads from and writes to systems, performs validation live, and raises tickets programmatically. Full closed-loop automation.</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(live today) · Apigee · BAM · ART · AIMS · Venafi</w:t>
            </w:r>
          </w:p>
        </w:tc>
      </w:tr>
    </w:tbl>
    <w:p>
      <w:pPr>
        <w:pStyle w:val="Heading2"/>
        <w:spacing w:after="110" w:before="260"/>
      </w:pPr>
      <w:r>
        <w:rPr>
          <w:rFonts w:ascii="Calibri" w:cs="Calibri" w:eastAsia="Calibri" w:hAnsi="Calibri"/>
          <w:b/>
          <w:bCs/>
          <w:i w:val="false"/>
          <w:iCs w:val="false"/>
          <w:color w:val="1F4E79"/>
          <w:sz w:val="23"/>
          <w:szCs w:val="23"/>
        </w:rPr>
        <w:t xml:space="preserve">6.1  Integration target register</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2600"/>
        <w:gridCol w:w="4400"/>
        <w:gridCol w:w="3200"/>
        <w:gridCol w:w="4200"/>
      </w:tblGrid>
      <w:tr>
        <w:trPr>
          <w:tblHeader/>
        </w:trPr>
        <w:tc>
          <w:tcPr>
            <w:tcW w:type="dxa" w:w="26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System</w:t>
            </w:r>
          </w:p>
        </w:tc>
        <w:tc>
          <w:tcPr>
            <w:tcW w:type="dxa" w:w="4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What it provides</w:t>
            </w:r>
          </w:p>
        </w:tc>
        <w:tc>
          <w:tcPr>
            <w:tcW w:type="dxa" w:w="3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Current state</w:t>
            </w:r>
          </w:p>
        </w:tc>
        <w:tc>
          <w:tcPr>
            <w:tcW w:type="dxa" w:w="4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Target state</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Jira</w:t>
            </w:r>
          </w:p>
        </w:tc>
        <w:tc>
          <w:tcPr>
            <w:tcW w:type="dxa" w:w="4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 retrieval, capacity planning tickets, SPLT tickets</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MCP available — get_issue, get_project in use</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Add create_issue for capacity planning and SPLT tickets</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Apigee Marketplace</w:t>
            </w:r>
          </w:p>
        </w:tc>
        <w:tc>
          <w:tcPr>
            <w:tcW w:type="dxa" w:w="4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Consumer applications, subscriptions, scopes, tiers</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No integration — instructions and links</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MCP or API integration for subscription lifecycle</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BAM</w:t>
            </w:r>
          </w:p>
        </w:tc>
        <w:tc>
          <w:tcPr>
            <w:tcW w:type="dxa" w:w="4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Application name, Remedy ID, App ID</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No external integration — instructions</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MCP or API integration</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Venafi</w:t>
            </w:r>
          </w:p>
        </w:tc>
        <w:tc>
          <w:tcPr>
            <w:tcW w:type="dxa" w:w="4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Application certificates, non-prod and production</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No integration — instructions</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 integration</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ART</w:t>
            </w:r>
          </w:p>
        </w:tc>
        <w:tc>
          <w:tcPr>
            <w:tcW w:type="dxa" w:w="4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 creation and group addition, both environments</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No integration — instructions</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 integration</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AIMS</w:t>
            </w:r>
          </w:p>
        </w:tc>
        <w:tc>
          <w:tcPr>
            <w:tcW w:type="dxa" w:w="4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User access to LDAP groups in ADEnt</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No integration — instructions</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 integration</w:t>
            </w:r>
          </w:p>
        </w:tc>
      </w:tr>
      <w:tr>
        <w:tc>
          <w:tcPr>
            <w:tcW w:type="dxa" w:w="26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Confluence / KB</w:t>
            </w:r>
          </w:p>
        </w:tc>
        <w:tc>
          <w:tcPr>
            <w:tcW w:type="dxa" w:w="4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Source of truth for all documented procedure</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Links returned (Phase 1)</w:t>
            </w:r>
          </w:p>
        </w:tc>
        <w:tc>
          <w:tcPr>
            <w:tcW w:type="dxa" w:w="4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Read and reason over pages (Phase 2)</w:t>
            </w:r>
          </w:p>
        </w:tc>
      </w:tr>
      <w:tr>
        <w:tc>
          <w:tcPr>
            <w:tcW w:type="dxa" w:w="26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Postman generator</w:t>
            </w:r>
          </w:p>
        </w:tc>
        <w:tc>
          <w:tcPr>
            <w:tcW w:type="dxa" w:w="4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Scope-accurate collection build</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 tool</w:t>
            </w:r>
          </w:p>
        </w:tc>
        <w:tc>
          <w:tcPr>
            <w:tcW w:type="dxa" w:w="4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Local tool</w:t>
            </w:r>
          </w:p>
        </w:tc>
      </w:tr>
    </w:tbl>
    <w:p>
      <w:pPr>
        <w:spacing w:after="120"/>
      </w:pPr>
      <w:r>
        <w:rPr>
          <w:rFonts w:ascii="Calibri" w:cs="Calibri" w:eastAsia="Calibri" w:hAnsi="Calibri"/>
          <w:b w:val="false"/>
          <w:bCs w:val="false"/>
          <w:i/>
          <w:iCs/>
          <w:color w:val="4A5568"/>
          <w:sz w:val="16"/>
          <w:szCs w:val="16"/>
        </w:rPr>
        <w:t xml:space="preserve">Recurring pattern across the architecture — BAM, Venafi, ART, AIMS, the marketplace and the approval process are all instructions-first, integration-later. Building the skills with a swappable instruction body is what keeps the eventual integration cheap.</w:t>
      </w:r>
    </w:p>
    <w:p>
      <w:r>
        <w:br w:type="page"/>
      </w:r>
    </w:p>
    <w:p>
      <w:pPr>
        <w:pStyle w:val="Heading1"/>
        <w:spacing w:after="140" w:before="340"/>
      </w:pPr>
      <w:r>
        <w:rPr>
          <w:rFonts w:ascii="Calibri" w:cs="Calibri" w:eastAsia="Calibri" w:hAnsi="Calibri"/>
          <w:b/>
          <w:bCs/>
          <w:i w:val="false"/>
          <w:iCs w:val="false"/>
          <w:color w:val="0F2B46"/>
          <w:sz w:val="30"/>
          <w:szCs w:val="30"/>
        </w:rPr>
        <w:t xml:space="preserve">7.  Business Rules Register</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1000"/>
        <w:gridCol w:w="2800"/>
        <w:gridCol w:w="7400"/>
        <w:gridCol w:w="3200"/>
      </w:tblGrid>
      <w:tr>
        <w:trPr>
          <w:tblHeader/>
        </w:trPr>
        <w:tc>
          <w:tcPr>
            <w:tcW w:type="dxa" w:w="1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ID</w:t>
            </w:r>
          </w:p>
        </w:tc>
        <w:tc>
          <w:tcPr>
            <w:tcW w:type="dxa" w:w="28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Area</w:t>
            </w:r>
          </w:p>
        </w:tc>
        <w:tc>
          <w:tcPr>
            <w:tcW w:type="dxa" w:w="7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Rule</w:t>
            </w:r>
          </w:p>
        </w:tc>
        <w:tc>
          <w:tcPr>
            <w:tcW w:type="dxa" w:w="32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Enforced by</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BR-01</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intake key must be exactly LJKX, contain a hyphen, and have a numeric value after the hyphen</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 Verification</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BR-02</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Partners unsure whether an intake exists must verify before creating one, to avoid duplicate onboarding requests</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Intake Verification</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BR-03</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POC</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POC requires no intake, no LOB prioritisation and no scrum team; it is entirely self-service</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Onboard360AI · POC Assistance</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BR-04</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Consumer app</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All new consumer applications must be created in NGDC, not the Heritage data center</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BR-05</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Consumer app</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Marketplace documentation is the source of truth and the skill must always reflect the current published version</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BR-06</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 Identifier</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Mandatory for ICMP even though the marketplace presents it as optional; must hold the service account and be populated before submission</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BR-07</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accounts</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ICMP APIs are consumed by applications, not individuals — accounts must be non-human, non-expiring, dedicated and not tied to a user</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Foundational Setup</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BR-08</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accounts</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All service account creation and group addition routes through ART, for both ADEnt and QAEnt</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Foundational Setup</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BR-09</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User access</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ADEnt user access to LDAP groups routes through AIMS; QAEnt user access routes through ART</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Foundational Setup</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BR-10</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accounts</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 names must encode the environment (innovation / non-prod / prod)</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Foundational Setup</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BR-11</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Certificates</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Required when the partner needs Kafka notification subscriptions, ICMP streaming services, or any streaming API</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Foundational Setup</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BR-12</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Certificates</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Two sets required — non-prod and production. The full certificate subject must be retained.</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Foundational Setup</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BR-13</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Scope</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Scope selection is mandatory. ICMP performs runtime security validation against the approved scope; a scope cannot be selected and then exceeded.</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BR-14</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Tiers</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Legacy tiers must not be selected for ICMP even though they remain visible in the marketplace</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BR-15</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Tiers</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Diamond, Emerald and Top Tier are restricted and require special request, prior discussion and approval</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BR-16</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Approval</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Two screenshots required — App Identifier with the QAEnt/ADEnt App ID value, and the selected scopes with subscription configuration</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Apigee Subscription</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BR-17</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Progression</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Without a dedicated scrum team, the partner may subscribe in Innovation only</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Environment Progression</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BR-18</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Progression</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Environment order is fixed — Innovation → sign-off → Non-Prod → Production. No environment may be skipped.</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Environment Progression</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BR-19</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must be declared per operation; "we do not know" is not accepted — an educated estimate plus a 20–30% buffer is required</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Assessment</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BR-20</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Exceeding approved and declared volume allows the ICMP platform support team to disable the subscription</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Assessment</w:t>
            </w:r>
          </w:p>
        </w:tc>
      </w:tr>
      <w:tr>
        <w:tc>
          <w:tcPr>
            <w:tcW w:type="dxa" w:w="10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BR-21</w:t>
            </w:r>
          </w:p>
        </w:tc>
        <w:tc>
          <w:tcPr>
            <w:tcW w:type="dxa" w:w="28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w:t>
            </w:r>
          </w:p>
        </w:tc>
        <w:tc>
          <w:tcPr>
            <w:tcW w:type="dxa" w:w="74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Anticipated growth of roughly 5–10% over the declared baseline requires a new LJKX intake before the volume is enabled; uncertainty does not exempt the partner</w:t>
            </w:r>
          </w:p>
        </w:tc>
        <w:tc>
          <w:tcPr>
            <w:tcW w:type="dxa" w:w="32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Assessment · Environment Progression</w:t>
            </w:r>
          </w:p>
        </w:tc>
      </w:tr>
      <w:tr>
        <w:tc>
          <w:tcPr>
            <w:tcW w:type="dxa" w:w="10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BR-22</w:t>
            </w:r>
          </w:p>
        </w:tc>
        <w:tc>
          <w:tcPr>
            <w:tcW w:type="dxa" w:w="28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w:t>
            </w:r>
          </w:p>
        </w:tc>
        <w:tc>
          <w:tcPr>
            <w:tcW w:type="dxa" w:w="74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Load testing must be performed end-to-end, not ICMP-only</w:t>
            </w:r>
          </w:p>
        </w:tc>
        <w:tc>
          <w:tcPr>
            <w:tcW w:type="dxa" w:w="32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Load Testing (SPLT)</w:t>
            </w:r>
          </w:p>
        </w:tc>
      </w:tr>
    </w:tbl>
    <w:p>
      <w:r>
        <w:br w:type="page"/>
      </w:r>
    </w:p>
    <w:p>
      <w:pPr>
        <w:pStyle w:val="Heading1"/>
        <w:spacing w:after="140" w:before="340"/>
      </w:pPr>
      <w:r>
        <w:rPr>
          <w:rFonts w:ascii="Calibri" w:cs="Calibri" w:eastAsia="Calibri" w:hAnsi="Calibri"/>
          <w:b/>
          <w:bCs/>
          <w:i w:val="false"/>
          <w:iCs w:val="false"/>
          <w:color w:val="0F2B46"/>
          <w:sz w:val="30"/>
          <w:szCs w:val="30"/>
        </w:rPr>
        <w:t xml:space="preserve">8.  Glossary</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2400"/>
        <w:gridCol w:w="5000"/>
        <w:gridCol w:w="7000"/>
      </w:tblGrid>
      <w:tr>
        <w:trPr>
          <w:tblHeader/>
        </w:trPr>
        <w:tc>
          <w:tcPr>
            <w:tcW w:type="dxa" w:w="24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Term</w:t>
            </w:r>
          </w:p>
        </w:tc>
        <w:tc>
          <w:tcPr>
            <w:tcW w:type="dxa" w:w="5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Expansion</w:t>
            </w:r>
          </w:p>
        </w:tc>
        <w:tc>
          <w:tcPr>
            <w:tcW w:type="dxa" w:w="7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Role in this architecture</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ICMP</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Imaging Content Management Platform</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The platform partners are onboarding to</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iDox Playground</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Enterprise document intelligence platform hosting the agent architecture</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Tachyon SDK</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Enterprise-internal SDK the Specialist Agent is built on</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SSAT</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Strategic Services &amp; Advanced Technology</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Team that would receive an intake for a non-POC engagement</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LJKX</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The Jira project key for all ICMP onboarding and volume-change intakes</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Apigee</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Google Cloud enterprise API management platform; hosts the API marketplace</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BAM</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Business Application Management</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Source of application name, Remedy ID and App ID</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Venafi</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Certificate management — issues application certificates</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ART</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Access Request Tool</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Service account creation and group addition, both environments</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AIMS</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Access and Identity Management System</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User access to LDAP groups in ADEnt</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ADEnt</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 environment</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QAEnt</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Non-production / QA environment</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ProdFix</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Production replicate for ICMP-internal pre-production validation; not partner-facing</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NGDC</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Next Generation Data Center</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Where all new consumer applications must be created</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Heritage DC</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Legacy data center; new applications must not be created there</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VaaS</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Viewer as a Service</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ICMP Viewer integration offered as a service</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SPLT</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System Performance Load Testing</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Load testing performed before production go-live</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DAU</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Existing document population referenced in retention operations</w:t>
            </w:r>
          </w:p>
        </w:tc>
      </w:tr>
      <w:tr>
        <w:tc>
          <w:tcPr>
            <w:tcW w:type="dxa" w:w="24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MARS</w:t>
            </w:r>
          </w:p>
        </w:tc>
        <w:tc>
          <w:tcPr>
            <w:tcW w:type="dxa" w:w="5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t>
            </w:r>
          </w:p>
        </w:tc>
        <w:tc>
          <w:tcPr>
            <w:tcW w:type="dxa" w:w="7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One of the downstream repositories ICMP supports</w:t>
            </w:r>
          </w:p>
        </w:tc>
      </w:tr>
      <w:tr>
        <w:tc>
          <w:tcPr>
            <w:tcW w:type="dxa" w:w="24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LOB</w:t>
            </w:r>
          </w:p>
        </w:tc>
        <w:tc>
          <w:tcPr>
            <w:tcW w:type="dxa" w:w="5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Line of Business</w:t>
            </w:r>
          </w:p>
        </w:tc>
        <w:tc>
          <w:tcPr>
            <w:tcW w:type="dxa" w:w="7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Prioritisation and impact boundary</w:t>
            </w:r>
          </w:p>
        </w:tc>
      </w:tr>
    </w:tbl>
    <w:p>
      <w:pPr>
        <w:pStyle w:val="Heading1"/>
        <w:spacing w:after="140" w:before="340"/>
      </w:pPr>
      <w:r>
        <w:rPr>
          <w:rFonts w:ascii="Calibri" w:cs="Calibri" w:eastAsia="Calibri" w:hAnsi="Calibri"/>
          <w:b/>
          <w:bCs/>
          <w:i w:val="false"/>
          <w:iCs w:val="false"/>
          <w:color w:val="0F2B46"/>
          <w:sz w:val="30"/>
          <w:szCs w:val="30"/>
        </w:rPr>
        <w:t xml:space="preserve">9.  Open Items for Review</w:t>
      </w:r>
    </w:p>
    <w:tbl>
      <w:tblPr>
        <w:tblW w:type="dxa" w:w="14400"/>
        <w:tblBorders>
          <w:top w:val="single" w:color="C9D2DC" w:sz="4"/>
          <w:left w:val="single" w:color="C9D2DC" w:sz="4"/>
          <w:bottom w:val="single" w:color="C9D2DC" w:sz="4"/>
          <w:right w:val="single" w:color="C9D2DC" w:sz="4"/>
          <w:insideH w:val="single" w:color="auto" w:sz="4"/>
          <w:insideV w:val="single" w:color="auto" w:sz="4"/>
        </w:tblBorders>
      </w:tblPr>
      <w:tblGrid>
        <w:gridCol w:w="900"/>
        <w:gridCol w:w="6000"/>
        <w:gridCol w:w="7500"/>
      </w:tblGrid>
      <w:tr>
        <w:trPr>
          <w:tblHeader/>
        </w:trPr>
        <w:tc>
          <w:tcPr>
            <w:tcW w:type="dxa" w:w="9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w:t>
            </w:r>
          </w:p>
        </w:tc>
        <w:tc>
          <w:tcPr>
            <w:tcW w:type="dxa" w:w="60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Item</w:t>
            </w:r>
          </w:p>
        </w:tc>
        <w:tc>
          <w:tcPr>
            <w:tcW w:type="dxa" w:w="7500"/>
            <w:shd w:fill="0F2B46"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FFFFFF"/>
                <w:sz w:val="18"/>
                <w:szCs w:val="18"/>
              </w:rPr>
              <w:t xml:space="preserve">Why it matters</w:t>
            </w:r>
          </w:p>
        </w:tc>
      </w:tr>
      <w:tr>
        <w:tc>
          <w:tcPr>
            <w:tcW w:type="dxa" w:w="9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1</w:t>
            </w:r>
          </w:p>
        </w:tc>
        <w:tc>
          <w:tcPr>
            <w:tcW w:type="dxa" w:w="6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Jira MCP write access — is create_issue available in the current MCP tool set?</w:t>
            </w:r>
          </w:p>
        </w:tc>
        <w:tc>
          <w:tcPr>
            <w:tcW w:type="dxa" w:w="7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Volume Assessment and Load Testing both terminate in ticket creation. Without write access both sub-agents fall back to Phase 1 instructions for their terminal step.</w:t>
            </w:r>
          </w:p>
        </w:tc>
      </w:tr>
      <w:tr>
        <w:tc>
          <w:tcPr>
            <w:tcW w:type="dxa" w:w="9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2</w:t>
            </w:r>
          </w:p>
        </w:tc>
        <w:tc>
          <w:tcPr>
            <w:tcW w:type="dxa" w:w="6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ART / AIMS boundary for service account group additions in ADEnt</w:t>
            </w:r>
          </w:p>
        </w:tc>
        <w:tc>
          <w:tcPr>
            <w:tcW w:type="dxa" w:w="7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The rule as captured routes service account groups through ART and user LDAP groups through AIMS. Skill instructions must send partners to exactly one tool with no ambiguity.</w:t>
            </w:r>
          </w:p>
        </w:tc>
      </w:tr>
      <w:tr>
        <w:tc>
          <w:tcPr>
            <w:tcW w:type="dxa" w:w="9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3</w:t>
            </w:r>
          </w:p>
        </w:tc>
        <w:tc>
          <w:tcPr>
            <w:tcW w:type="dxa" w:w="6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Confirmation that CN = EREP is literal rather than an application placeholder</w:t>
            </w:r>
          </w:p>
        </w:tc>
        <w:tc>
          <w:tcPr>
            <w:tcW w:type="dxa" w:w="7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A malformed certificate subject fails at request time, and the failure is not obvious to the partner.</w:t>
            </w:r>
          </w:p>
        </w:tc>
      </w:tr>
      <w:tr>
        <w:tc>
          <w:tcPr>
            <w:tcW w:type="dxa" w:w="9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4</w:t>
            </w:r>
          </w:p>
        </w:tc>
        <w:tc>
          <w:tcPr>
            <w:tcW w:type="dxa" w:w="6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Full list of operations for per-operation volume collection beyond ingestion, search and retrieval</w:t>
            </w:r>
          </w:p>
        </w:tc>
        <w:tc>
          <w:tcPr>
            <w:tcW w:type="dxa" w:w="7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Determines the shape of the volume collection form and the derived SPLT test cases.</w:t>
            </w:r>
          </w:p>
        </w:tc>
      </w:tr>
      <w:tr>
        <w:tc>
          <w:tcPr>
            <w:tcW w:type="dxa" w:w="900"/>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5</w:t>
            </w:r>
          </w:p>
        </w:tc>
        <w:tc>
          <w:tcPr>
            <w:tcW w:type="dxa" w:w="60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Whether the ICMP Foundations master skill needs per-feature sub-skills in the base version</w:t>
            </w:r>
          </w:p>
        </w:tc>
        <w:tc>
          <w:tcPr>
            <w:tcW w:type="dxa" w:w="7500"/>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Currently optional. Adding them later does not change the sub-agent, only the skill tree.</w:t>
            </w:r>
          </w:p>
        </w:tc>
      </w:tr>
      <w:tr>
        <w:tc>
          <w:tcPr>
            <w:tcW w:type="dxa" w:w="900"/>
            <w:shd w:fill="F4F7FA" w:color="auto" w:val="clear"/>
            <w:tcMar>
              <w:top w:type="dxa" w:w="70"/>
              <w:left w:type="dxa" w:w="110"/>
              <w:bottom w:type="dxa" w:w="70"/>
              <w:right w:type="dxa" w:w="110"/>
            </w:tcMar>
            <w:vAlign w:val="top"/>
          </w:tcPr>
          <w:p>
            <w:pPr>
              <w:spacing w:after="0"/>
            </w:pPr>
            <w:r>
              <w:rPr>
                <w:rFonts w:ascii="Calibri" w:cs="Calibri" w:eastAsia="Calibri" w:hAnsi="Calibri"/>
                <w:b/>
                <w:bCs/>
                <w:i w:val="false"/>
                <w:iCs w:val="false"/>
                <w:color w:val="1A202C"/>
                <w:sz w:val="17"/>
                <w:szCs w:val="17"/>
              </w:rPr>
              <w:t xml:space="preserve">6</w:t>
            </w:r>
          </w:p>
        </w:tc>
        <w:tc>
          <w:tcPr>
            <w:tcW w:type="dxa" w:w="60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Exact volume-increase threshold per partner tier</w:t>
            </w:r>
          </w:p>
        </w:tc>
        <w:tc>
          <w:tcPr>
            <w:tcW w:type="dxa" w:w="7500"/>
            <w:shd w:fill="F4F7FA" w:color="auto" w:val="clear"/>
            <w:tcMar>
              <w:top w:type="dxa" w:w="70"/>
              <w:left w:type="dxa" w:w="110"/>
              <w:bottom w:type="dxa" w:w="70"/>
              <w:right w:type="dxa" w:w="110"/>
            </w:tcMar>
            <w:vAlign w:val="top"/>
          </w:tcPr>
          <w:p>
            <w:pPr>
              <w:spacing w:after="0"/>
            </w:pPr>
            <w:r>
              <w:rPr>
                <w:rFonts w:ascii="Calibri" w:cs="Calibri" w:eastAsia="Calibri" w:hAnsi="Calibri"/>
                <w:b w:val="false"/>
                <w:bCs w:val="false"/>
                <w:i w:val="false"/>
                <w:iCs w:val="false"/>
                <w:color w:val="1A202C"/>
                <w:sz w:val="17"/>
                <w:szCs w:val="17"/>
              </w:rPr>
              <w:t xml:space="preserve">Captured as roughly 5–10%; the trigger scales with overall volume and may warrant a stated table.</w:t>
            </w:r>
          </w:p>
        </w:tc>
      </w:tr>
    </w:tbl>
    <w:sectPr>
      <w:headerReference w:type="default" r:id="rId7"/>
      <w:footerReference w:type="default" r:id="rId8"/>
      <w:pgSz w:w="15840" w:h="12240" w:orient="landscape"/>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Calibri" w:cs="Calibri" w:eastAsia="Calibri" w:hAnsi="Calibri"/>
        <w:b w:val="false"/>
        <w:bCs w:val="false"/>
        <w:i w:val="false"/>
        <w:iCs w:val="false"/>
        <w:color w:val="4A5568"/>
        <w:sz w:val="15"/>
        <w:szCs w:val="15"/>
      </w:rPr>
      <w:t xml:space="preserve">Page </w:t>
    </w:r>
    <w:r>
      <w:rPr>
        <w:rFonts w:ascii="Calibri" w:cs="Calibri" w:eastAsia="Calibri" w:hAnsi="Calibri"/>
        <w:color w:val="4A5568"/>
        <w:sz w:val="15"/>
        <w:szCs w:val="15"/>
      </w:rPr>
      <w:fldChar w:fldCharType="begin"/>
      <w:instrText xml:space="preserve">PAGE</w:instrText>
      <w:fldChar w:fldCharType="separate"/>
      <w:fldChar w:fldCharType="end"/>
    </w:r>
    <w:r>
      <w:rPr>
        <w:rFonts w:ascii="Calibri" w:cs="Calibri" w:eastAsia="Calibri" w:hAnsi="Calibri"/>
        <w:b w:val="false"/>
        <w:bCs w:val="false"/>
        <w:i w:val="false"/>
        <w:iCs w:val="false"/>
        <w:color w:val="4A5568"/>
        <w:sz w:val="15"/>
        <w:szCs w:val="15"/>
      </w:rPr>
      <w:t xml:space="preserve"> of </w:t>
    </w:r>
    <w:r>
      <w:rPr>
        <w:rFonts w:ascii="Calibri" w:cs="Calibri" w:eastAsia="Calibri" w:hAnsi="Calibri"/>
        <w:color w:val="4A556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val="false"/>
        <w:bCs w:val="false"/>
        <w:i w:val="false"/>
        <w:iCs w:val="false"/>
        <w:color w:val="4A5568"/>
        <w:sz w:val="15"/>
        <w:szCs w:val="15"/>
      </w:rPr>
      <w:t xml:space="preserve">Onboard360AI — ICMP Partner Onboarding Architecture  |  Base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c33a5e5bfa500bc18a1b6aedf8e53c858f67f89.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Onboard360AI — ICMP Partner Onboarding Architecture</dc:title>
  <dc:creator>Onboard360AI</dc:creator>
  <cp:lastModifiedBy>Un-named</cp:lastModifiedBy>
  <cp:revision>1</cp:revision>
  <dcterms:created xsi:type="dcterms:W3CDTF">2026-08-16T13:36:58.938Z</dcterms:created>
  <dcterms:modified xsi:type="dcterms:W3CDTF">2026-08-16T13:36:58.938Z</dcterms:modified>
</cp:coreProperties>
</file>

<file path=docProps/custom.xml><?xml version="1.0" encoding="utf-8"?>
<Properties xmlns="http://schemas.openxmlformats.org/officeDocument/2006/custom-properties" xmlns:vt="http://schemas.openxmlformats.org/officeDocument/2006/docPropsVTypes"/>
</file>