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18F" w:rsidRDefault="0013018F" w:rsidP="0013018F">
      <w:pPr>
        <w:pStyle w:val="NormalWeb"/>
      </w:pPr>
      <w:r>
        <w:t>To create a composition, an arrangement, a song, a tonal accompaniment, or a four-part exercise AMT MT, it is best to consider the range (or average range) of the four voices of a mixed choir as a reference framework. This choir formation consists of soprano (S), alto (A), tenor (T), and bass (B) voices.</w:t>
      </w:r>
    </w:p>
    <w:p w:rsidR="00AA5FF0" w:rsidRDefault="00AA5FF0"/>
    <w:sectPr w:rsidR="00AA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F"/>
    <w:rsid w:val="0013018F"/>
    <w:rsid w:val="00237937"/>
    <w:rsid w:val="00445E59"/>
    <w:rsid w:val="005B687F"/>
    <w:rsid w:val="00832874"/>
    <w:rsid w:val="0092484F"/>
    <w:rsid w:val="00A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284F9-C033-6943-89CC-9180BCDC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1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Chan</dc:creator>
  <cp:keywords/>
  <dc:description/>
  <cp:lastModifiedBy>Brody Chan</cp:lastModifiedBy>
  <cp:revision>3</cp:revision>
  <dcterms:created xsi:type="dcterms:W3CDTF">2025-02-03T21:33:00Z</dcterms:created>
  <dcterms:modified xsi:type="dcterms:W3CDTF">2025-02-03T21:39:00Z</dcterms:modified>
</cp:coreProperties>
</file>