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1028" w14:textId="29423E5F" w:rsidR="00747875" w:rsidRPr="002F2CB3" w:rsidRDefault="00747875" w:rsidP="00747875">
      <w:pPr>
        <w:pStyle w:val="Title"/>
        <w:rPr>
          <w:color w:val="000000" w:themeColor="text1"/>
        </w:rPr>
      </w:pPr>
      <w:r w:rsidRPr="002F2CB3">
        <w:rPr>
          <w:color w:val="000000" w:themeColor="text1"/>
        </w:rPr>
        <w:t>DSC640 - Milestone 4 - Summary Paper</w:t>
      </w:r>
    </w:p>
    <w:p w14:paraId="3B06A58F" w14:textId="731C5E77" w:rsidR="00747875" w:rsidRPr="002F2CB3" w:rsidRDefault="00747875" w:rsidP="00747875">
      <w:pPr>
        <w:pStyle w:val="Subtitle"/>
        <w:rPr>
          <w:color w:val="000000" w:themeColor="text1"/>
        </w:rPr>
      </w:pPr>
      <w:r w:rsidRPr="002F2CB3">
        <w:rPr>
          <w:color w:val="000000" w:themeColor="text1"/>
        </w:rPr>
        <w:t xml:space="preserve">Professor: </w:t>
      </w:r>
      <w:r w:rsidRPr="002F2CB3">
        <w:rPr>
          <w:color w:val="000000" w:themeColor="text1"/>
        </w:rPr>
        <w:t>Ben Schneider</w:t>
      </w:r>
    </w:p>
    <w:p w14:paraId="1F824FE8" w14:textId="16CFC008" w:rsidR="00747875" w:rsidRPr="002F2CB3" w:rsidRDefault="00747875" w:rsidP="00747875">
      <w:pPr>
        <w:pStyle w:val="Subtitle"/>
        <w:rPr>
          <w:color w:val="000000" w:themeColor="text1"/>
        </w:rPr>
      </w:pPr>
      <w:r w:rsidRPr="002F2CB3">
        <w:rPr>
          <w:color w:val="000000" w:themeColor="text1"/>
        </w:rPr>
        <w:t>Zicheng (Chance) Xu</w:t>
      </w:r>
    </w:p>
    <w:p w14:paraId="087BF76D" w14:textId="77777777" w:rsidR="00747875" w:rsidRPr="002F2CB3" w:rsidRDefault="00747875" w:rsidP="00747875"/>
    <w:p w14:paraId="0439D808" w14:textId="27F316E6" w:rsidR="00E94E1F" w:rsidRPr="002F2CB3" w:rsidRDefault="00E94E1F" w:rsidP="007931FA">
      <w:pPr>
        <w:pStyle w:val="Heading1"/>
      </w:pPr>
      <w:r w:rsidRPr="002F2CB3">
        <w:t>Summary of Analysis</w:t>
      </w:r>
    </w:p>
    <w:p w14:paraId="0F28AF57" w14:textId="4B4DDC79" w:rsidR="005B7EA1" w:rsidRPr="002F2CB3" w:rsidRDefault="00E94E1F" w:rsidP="00E94E1F">
      <w:r w:rsidRPr="00E94E1F">
        <w:t>Since Milestone 1</w:t>
      </w:r>
      <w:r w:rsidR="005B7EA1" w:rsidRPr="002F2CB3">
        <w:t>,</w:t>
      </w:r>
      <w:r w:rsidRPr="00E94E1F">
        <w:t xml:space="preserve"> I have continued mining the National Database of Child-Care Prices (NDCP) 2008-22 </w:t>
      </w:r>
      <w:r w:rsidR="005B7EA1" w:rsidRPr="002F2CB3">
        <w:t>data and the attaching technical report to gain insights</w:t>
      </w:r>
      <w:r w:rsidR="00F96B0F" w:rsidRPr="002F2CB3">
        <w:t>. I have worked and am still working</w:t>
      </w:r>
      <w:r w:rsidRPr="00E94E1F">
        <w:t xml:space="preserve"> with 34</w:t>
      </w:r>
      <w:r w:rsidR="005B7EA1" w:rsidRPr="002F2CB3">
        <w:t>,</w:t>
      </w:r>
      <w:r w:rsidRPr="00E94E1F">
        <w:t>772 valid county-year observations after dropping rows with zero or missing prices.</w:t>
      </w:r>
    </w:p>
    <w:p w14:paraId="3A215218" w14:textId="3ABA10F1" w:rsidR="00E94E1F" w:rsidRPr="002F2CB3" w:rsidRDefault="00E94E1F" w:rsidP="00F96B0F">
      <w:pPr>
        <w:pStyle w:val="Heading2"/>
      </w:pPr>
      <w:r w:rsidRPr="002F2CB3">
        <w:br/>
        <w:t>Key findings so far</w:t>
      </w:r>
    </w:p>
    <w:p w14:paraId="2B573C7C" w14:textId="1CC78BA8" w:rsidR="00E94E1F" w:rsidRPr="00E94E1F" w:rsidRDefault="00A40096" w:rsidP="00E94E1F">
      <w:pPr>
        <w:numPr>
          <w:ilvl w:val="0"/>
          <w:numId w:val="1"/>
        </w:numPr>
      </w:pPr>
      <w:r w:rsidRPr="002F2CB3">
        <w:rPr>
          <w:b/>
          <w:bCs/>
        </w:rPr>
        <w:t xml:space="preserve">Childcare </w:t>
      </w:r>
      <w:r w:rsidR="00E94E1F" w:rsidRPr="00E94E1F">
        <w:rPr>
          <w:b/>
          <w:bCs/>
        </w:rPr>
        <w:t>Prices keep sprinting</w:t>
      </w:r>
      <w:r w:rsidRPr="002F2CB3">
        <w:rPr>
          <w:b/>
          <w:bCs/>
        </w:rPr>
        <w:t xml:space="preserve"> regardless of care type (center-based vs. family-based)</w:t>
      </w:r>
      <w:r w:rsidR="00E94E1F" w:rsidRPr="00E94E1F">
        <w:rPr>
          <w:b/>
          <w:bCs/>
        </w:rPr>
        <w:t>.</w:t>
      </w:r>
      <w:r w:rsidR="00E94E1F" w:rsidRPr="00E94E1F">
        <w:t xml:space="preserve"> Median center-based infant care has climbed from roughly $120 → $170 per week between 2008-22—a 42 % nominal leap. </w:t>
      </w:r>
      <w:r w:rsidR="00733215" w:rsidRPr="002F2CB3">
        <w:t xml:space="preserve">Prices for other age groups or the two care types see similar uprising trend. </w:t>
      </w:r>
      <w:r w:rsidR="00E94E1F" w:rsidRPr="00E94E1F">
        <w:t xml:space="preserve">A quick </w:t>
      </w:r>
      <w:r w:rsidR="00A62DBD" w:rsidRPr="002F2CB3">
        <w:t>boxplot</w:t>
      </w:r>
      <w:r w:rsidR="00E94E1F" w:rsidRPr="00E94E1F">
        <w:t xml:space="preserve"> confirms the climb accelerates after 2019, with year-over-year increases every year since.</w:t>
      </w:r>
    </w:p>
    <w:p w14:paraId="4CB82BC0" w14:textId="3A02C6A5" w:rsidR="00E94E1F" w:rsidRPr="00E94E1F" w:rsidRDefault="00E94E1F" w:rsidP="00E94E1F">
      <w:pPr>
        <w:numPr>
          <w:ilvl w:val="0"/>
          <w:numId w:val="1"/>
        </w:numPr>
      </w:pPr>
      <w:r w:rsidRPr="00E94E1F">
        <w:rPr>
          <w:b/>
          <w:bCs/>
        </w:rPr>
        <w:t>Affordability pain points.</w:t>
      </w:r>
      <w:r w:rsidRPr="00E94E1F">
        <w:t xml:space="preserve"> In the worst counties, annual infant care now devours 60 % of the typical household’s income; even family-based providers in those counties top 35 %.</w:t>
      </w:r>
      <w:r w:rsidR="00A62DBD" w:rsidRPr="002F2CB3">
        <w:t xml:space="preserve">  From an overall childcare standpoint, Washington, Massachusetts, and California cost over 40% of annual income for females on average and even the cheapest state Mississippi cost 18% of annual income for females on average. Interestingly, Puerto Rico has higher cost to income ratio than the three states. </w:t>
      </w:r>
    </w:p>
    <w:p w14:paraId="50734243" w14:textId="77777777" w:rsidR="00E94E1F" w:rsidRPr="00E94E1F" w:rsidRDefault="00E94E1F" w:rsidP="00E94E1F">
      <w:pPr>
        <w:numPr>
          <w:ilvl w:val="0"/>
          <w:numId w:val="1"/>
        </w:numPr>
      </w:pPr>
      <w:r w:rsidRPr="00E94E1F">
        <w:rPr>
          <w:b/>
          <w:bCs/>
        </w:rPr>
        <w:t>Family care is cheaper—but not cheap.</w:t>
      </w:r>
      <w:r w:rsidRPr="00E94E1F">
        <w:t xml:space="preserve"> On average, families still enjoy a ~27-30 % discount relative to center-based care, especially in the top-cost quartile.</w:t>
      </w:r>
    </w:p>
    <w:p w14:paraId="70C1D230" w14:textId="77777777" w:rsidR="00E94E1F" w:rsidRPr="00E94E1F" w:rsidRDefault="00E94E1F" w:rsidP="00E94E1F">
      <w:pPr>
        <w:numPr>
          <w:ilvl w:val="0"/>
          <w:numId w:val="1"/>
        </w:numPr>
      </w:pPr>
      <w:r w:rsidRPr="00E94E1F">
        <w:rPr>
          <w:b/>
          <w:bCs/>
        </w:rPr>
        <w:t>Labor-force participation (LFPR) tension.</w:t>
      </w:r>
      <w:r w:rsidRPr="00E94E1F">
        <w:t xml:space="preserve"> A naive scatter shows a small positive link between high prices and mothers’ LFPR (possible urban income confounders), while the Milestone 3 dashboard reveals a clearer negative slope once prices are expressed as a cost-to-income ratio for both genders. Male LFPR appears even more price-sensitive than female—an unexpected twist.</w:t>
      </w:r>
    </w:p>
    <w:p w14:paraId="56A97113" w14:textId="4CC01BBC" w:rsidR="00E94E1F" w:rsidRPr="00E94E1F" w:rsidRDefault="00E94E1F" w:rsidP="00E94E1F">
      <w:pPr>
        <w:numPr>
          <w:ilvl w:val="0"/>
          <w:numId w:val="1"/>
        </w:numPr>
      </w:pPr>
      <w:r w:rsidRPr="00E94E1F">
        <w:rPr>
          <w:b/>
          <w:bCs/>
        </w:rPr>
        <w:t>Gender</w:t>
      </w:r>
      <w:r w:rsidR="00026335" w:rsidRPr="002F2CB3">
        <w:rPr>
          <w:b/>
          <w:bCs/>
        </w:rPr>
        <w:t>-</w:t>
      </w:r>
      <w:r w:rsidR="00BC2CEB" w:rsidRPr="002F2CB3">
        <w:rPr>
          <w:b/>
          <w:bCs/>
        </w:rPr>
        <w:t>pay</w:t>
      </w:r>
      <w:r w:rsidRPr="00E94E1F">
        <w:rPr>
          <w:b/>
          <w:bCs/>
        </w:rPr>
        <w:t xml:space="preserve"> context.</w:t>
      </w:r>
      <w:r w:rsidRPr="00E94E1F">
        <w:t xml:space="preserve"> The female-to-male median-earnings ratio improved from 0.63 to ~0.70 over the study window, yet care costs rose faster, eroding real gains.</w:t>
      </w:r>
    </w:p>
    <w:p w14:paraId="3D63C67C" w14:textId="77777777" w:rsidR="00E94E1F" w:rsidRPr="002F2CB3" w:rsidRDefault="00E94E1F" w:rsidP="00D413E5">
      <w:pPr>
        <w:pStyle w:val="Heading2"/>
      </w:pPr>
      <w:r w:rsidRPr="002F2CB3">
        <w:t>Assumptions</w:t>
      </w:r>
    </w:p>
    <w:p w14:paraId="37C2620F" w14:textId="74E10DD0" w:rsidR="00E94E1F" w:rsidRPr="00E94E1F" w:rsidRDefault="00E94E1F" w:rsidP="00E94E1F">
      <w:pPr>
        <w:numPr>
          <w:ilvl w:val="0"/>
          <w:numId w:val="2"/>
        </w:numPr>
      </w:pPr>
      <w:r w:rsidRPr="00E94E1F">
        <w:t xml:space="preserve">Weekly → annual conversion = price × 52; no CPI deflation </w:t>
      </w:r>
      <w:r w:rsidR="00FE3A98" w:rsidRPr="002F2CB3">
        <w:t xml:space="preserve">data on income used </w:t>
      </w:r>
      <w:r w:rsidR="00BC2CEB" w:rsidRPr="002F2CB3">
        <w:t>to</w:t>
      </w:r>
      <w:r w:rsidR="00FE3A98" w:rsidRPr="002F2CB3">
        <w:t xml:space="preserve"> align the comparison with the childcare prices by year.</w:t>
      </w:r>
    </w:p>
    <w:p w14:paraId="37389937" w14:textId="5F251205" w:rsidR="00E94E1F" w:rsidRPr="00E94E1F" w:rsidRDefault="00E94E1F" w:rsidP="00E94E1F">
      <w:pPr>
        <w:numPr>
          <w:ilvl w:val="0"/>
          <w:numId w:val="2"/>
        </w:numPr>
      </w:pPr>
      <w:r w:rsidRPr="00E94E1F">
        <w:lastRenderedPageBreak/>
        <w:t>“Infant” anchored to the single birth-to-5-month column for simplicity</w:t>
      </w:r>
      <w:r w:rsidR="00BC2CEB" w:rsidRPr="002F2CB3">
        <w:t xml:space="preserve"> at the initial analysis stage.</w:t>
      </w:r>
    </w:p>
    <w:p w14:paraId="115A9C90" w14:textId="2431ADC8" w:rsidR="00E94E1F" w:rsidRPr="00E94E1F" w:rsidRDefault="00BB1D86" w:rsidP="00E94E1F">
      <w:pPr>
        <w:numPr>
          <w:ilvl w:val="0"/>
          <w:numId w:val="2"/>
        </w:numPr>
      </w:pPr>
      <w:r w:rsidRPr="002F2CB3">
        <w:t xml:space="preserve">Records with imputations are done properly to adjust for data disparity among variables and thus can be used to comparison or ratio derivation. </w:t>
      </w:r>
    </w:p>
    <w:p w14:paraId="5C350206" w14:textId="6CACF695" w:rsidR="00E94E1F" w:rsidRPr="002F2CB3" w:rsidRDefault="00E94E1F" w:rsidP="00926C4B">
      <w:pPr>
        <w:pStyle w:val="Heading2"/>
      </w:pPr>
      <w:r w:rsidRPr="002F2CB3">
        <w:t xml:space="preserve">Items still </w:t>
      </w:r>
      <w:r w:rsidR="00926C4B" w:rsidRPr="002F2CB3">
        <w:t>needing clarification</w:t>
      </w:r>
    </w:p>
    <w:p w14:paraId="789B857B" w14:textId="77777777" w:rsidR="00E94E1F" w:rsidRPr="00E94E1F" w:rsidRDefault="00E94E1F" w:rsidP="00E94E1F">
      <w:pPr>
        <w:numPr>
          <w:ilvl w:val="0"/>
          <w:numId w:val="3"/>
        </w:numPr>
      </w:pPr>
      <w:r w:rsidRPr="00E94E1F">
        <w:t>Should future affordability use constant-dollar MHI_2022 instead of nominal MHI?</w:t>
      </w:r>
    </w:p>
    <w:p w14:paraId="015CAFB5" w14:textId="7F5B6939" w:rsidR="00E94E1F" w:rsidRPr="00E94E1F" w:rsidRDefault="00D72966" w:rsidP="00E94E1F">
      <w:pPr>
        <w:numPr>
          <w:ilvl w:val="0"/>
          <w:numId w:val="3"/>
        </w:numPr>
      </w:pPr>
      <w:r w:rsidRPr="002F2CB3">
        <w:t>Whether cost and income data cover the same age ranges?</w:t>
      </w:r>
    </w:p>
    <w:p w14:paraId="5BCD5525" w14:textId="5AC708A8" w:rsidR="00E94E1F" w:rsidRPr="002F2CB3" w:rsidRDefault="00E94E1F" w:rsidP="00E94E1F">
      <w:pPr>
        <w:numPr>
          <w:ilvl w:val="0"/>
          <w:numId w:val="3"/>
        </w:numPr>
      </w:pPr>
      <w:r w:rsidRPr="00E94E1F">
        <w:t>Whether to build a composite 0-11-month “Infant” price to match HHS definitions</w:t>
      </w:r>
      <w:r w:rsidR="00D72966" w:rsidRPr="002F2CB3">
        <w:t xml:space="preserve"> as the Infant group is for those aged 0 through 23 months</w:t>
      </w:r>
      <w:r w:rsidR="00EA5C67" w:rsidRPr="002F2CB3">
        <w:t>, combining infant and pretoddler</w:t>
      </w:r>
      <w:r w:rsidRPr="00E94E1F">
        <w:t>.</w:t>
      </w:r>
    </w:p>
    <w:p w14:paraId="4BD07587" w14:textId="4578ADFE" w:rsidR="00EA5C67" w:rsidRPr="00E94E1F" w:rsidRDefault="00EA5C67" w:rsidP="00E94E1F">
      <w:pPr>
        <w:numPr>
          <w:ilvl w:val="0"/>
          <w:numId w:val="3"/>
        </w:numPr>
      </w:pPr>
      <w:r w:rsidRPr="002F2CB3">
        <w:t xml:space="preserve">The positive correlation between infant price and LFPR uses LFPR for participants with children under 6 months, whereas the negative correlation from the latest visualization uses LFPR for participants regardless of children age. Need to dive deeper if age group plays different impacts. </w:t>
      </w:r>
    </w:p>
    <w:p w14:paraId="6F485497" w14:textId="19D75561" w:rsidR="00E94E1F" w:rsidRPr="00E94E1F" w:rsidRDefault="00E94E1F" w:rsidP="00E94E1F"/>
    <w:p w14:paraId="44E21C97" w14:textId="19E32C61" w:rsidR="00E94E1F" w:rsidRPr="002F2CB3" w:rsidRDefault="00E94E1F" w:rsidP="00A4414B">
      <w:pPr>
        <w:pStyle w:val="Heading1"/>
      </w:pPr>
      <w:r w:rsidRPr="002F2CB3">
        <w:t>Direction of Story / Plan of Attack</w:t>
      </w:r>
    </w:p>
    <w:p w14:paraId="316FB0BC" w14:textId="1ABF7636" w:rsidR="00E94E1F" w:rsidRPr="00E94E1F" w:rsidRDefault="00E94E1F" w:rsidP="00E94E1F">
      <w:r w:rsidRPr="00E94E1F">
        <w:t xml:space="preserve">The core message remains: </w:t>
      </w:r>
      <w:r w:rsidRPr="00E94E1F">
        <w:rPr>
          <w:b/>
          <w:bCs/>
        </w:rPr>
        <w:t>“Soaring child-care prices act like a hidden income tax and can push caregivers—especially mothers—out of the labor force.”</w:t>
      </w:r>
      <w:r w:rsidRPr="00E94E1F">
        <w:t xml:space="preserve"> I am moving from descriptive charts </w:t>
      </w:r>
      <w:r w:rsidR="00204A26" w:rsidRPr="002F2CB3">
        <w:t xml:space="preserve">in milestone 1 </w:t>
      </w:r>
      <w:r w:rsidRPr="00E94E1F">
        <w:t xml:space="preserve">to </w:t>
      </w:r>
      <w:r w:rsidR="00204A26" w:rsidRPr="002F2CB3">
        <w:t xml:space="preserve">explanatory analysis by leveraging derived fields and generating supporting charts to drive story telling with call to actions. For example, </w:t>
      </w:r>
      <w:r w:rsidRPr="00E94E1F">
        <w:t xml:space="preserve">an elasticity model that simulates how LFPR might respond if counties converged to their state’s median price. </w:t>
      </w:r>
    </w:p>
    <w:p w14:paraId="24DBFB02" w14:textId="5E2A80DC" w:rsidR="00E94E1F" w:rsidRPr="00E94E1F" w:rsidRDefault="00E94E1F" w:rsidP="00E94E1F"/>
    <w:p w14:paraId="263945FB" w14:textId="0402498D" w:rsidR="00E94E1F" w:rsidRPr="002F2CB3" w:rsidRDefault="00E94E1F" w:rsidP="00BF4449">
      <w:pPr>
        <w:pStyle w:val="Heading1"/>
      </w:pPr>
      <w:r w:rsidRPr="002F2CB3">
        <w:t>Target Audience</w:t>
      </w:r>
    </w:p>
    <w:p w14:paraId="7E3E883E" w14:textId="5B3C62B6" w:rsidR="00E94E1F" w:rsidRPr="00E94E1F" w:rsidRDefault="00B317DB" w:rsidP="00E94E1F">
      <w:r w:rsidRPr="002F2CB3">
        <w:t>My primary target audience includes</w:t>
      </w:r>
      <w:r w:rsidR="00E94E1F" w:rsidRPr="00E94E1F">
        <w:t xml:space="preserve"> state workforce-development officials and budget directors who decide where subsidy dollars flow</w:t>
      </w:r>
      <w:r w:rsidRPr="002F2CB3">
        <w:t>, while my secondary target audience includes</w:t>
      </w:r>
      <w:r w:rsidR="00E94E1F" w:rsidRPr="00E94E1F">
        <w:t xml:space="preserve"> state legislators, county economic-development boards, and advocacy groups who need a concise brief to champion affordable care.</w:t>
      </w:r>
    </w:p>
    <w:p w14:paraId="3FFDBF77" w14:textId="79AF2890" w:rsidR="00E94E1F" w:rsidRPr="00E94E1F" w:rsidRDefault="00E94E1F" w:rsidP="00E94E1F"/>
    <w:p w14:paraId="04A70556" w14:textId="2D7B7F3B" w:rsidR="00E94E1F" w:rsidRPr="002F2CB3" w:rsidRDefault="00E94E1F" w:rsidP="00F004A6">
      <w:pPr>
        <w:pStyle w:val="Heading1"/>
      </w:pPr>
      <w:r w:rsidRPr="002F2CB3">
        <w:t>Mediums Included &amp; Why</w:t>
      </w:r>
    </w:p>
    <w:p w14:paraId="16846433" w14:textId="500D96EF" w:rsidR="00E94E1F" w:rsidRPr="00E94E1F" w:rsidRDefault="00E94E1F" w:rsidP="00E94E1F">
      <w:pPr>
        <w:numPr>
          <w:ilvl w:val="0"/>
          <w:numId w:val="4"/>
        </w:numPr>
      </w:pPr>
      <w:r w:rsidRPr="00E94E1F">
        <w:rPr>
          <w:b/>
          <w:bCs/>
        </w:rPr>
        <w:t>Interactive Tableau dashboard</w:t>
      </w:r>
      <w:r w:rsidRPr="00E94E1F">
        <w:t xml:space="preserve"> — lets policy staff slice the data by year, cost quartile, and county, view </w:t>
      </w:r>
      <w:r w:rsidR="00E736EF" w:rsidRPr="002F2CB3">
        <w:t xml:space="preserve">matching price data by state colored for scales, cost-to-income ratios, and </w:t>
      </w:r>
      <w:r w:rsidRPr="00E94E1F">
        <w:t>“what-if” LFPR projections, and export custom tables.</w:t>
      </w:r>
    </w:p>
    <w:p w14:paraId="7004B597" w14:textId="77777777" w:rsidR="00E94E1F" w:rsidRPr="00E94E1F" w:rsidRDefault="00E94E1F" w:rsidP="00E94E1F">
      <w:pPr>
        <w:numPr>
          <w:ilvl w:val="0"/>
          <w:numId w:val="4"/>
        </w:numPr>
      </w:pPr>
      <w:r w:rsidRPr="00E94E1F">
        <w:rPr>
          <w:b/>
          <w:bCs/>
        </w:rPr>
        <w:t>PowerPoint deck</w:t>
      </w:r>
      <w:r w:rsidRPr="00E94E1F">
        <w:t xml:space="preserve"> — a tight narrative arc for committee hearings or internal briefings.</w:t>
      </w:r>
    </w:p>
    <w:p w14:paraId="7FB7637A" w14:textId="77777777" w:rsidR="00E94E1F" w:rsidRPr="00E94E1F" w:rsidRDefault="00E94E1F" w:rsidP="00E94E1F">
      <w:pPr>
        <w:numPr>
          <w:ilvl w:val="0"/>
          <w:numId w:val="4"/>
        </w:numPr>
      </w:pPr>
      <w:r w:rsidRPr="00E94E1F">
        <w:rPr>
          <w:b/>
          <w:bCs/>
        </w:rPr>
        <w:t>Standalone infographic</w:t>
      </w:r>
      <w:r w:rsidRPr="00E94E1F">
        <w:t xml:space="preserve"> — a shareable one-pager for public outreach and social media.</w:t>
      </w:r>
    </w:p>
    <w:p w14:paraId="397048AA" w14:textId="4D094655" w:rsidR="00E94E1F" w:rsidRPr="002F2CB3" w:rsidRDefault="00E94E1F" w:rsidP="00E94E1F">
      <w:r w:rsidRPr="00E94E1F">
        <w:lastRenderedPageBreak/>
        <w:t>These three were chosen back in Milestone 1 and have since been refined with real data and richer visuals (e.g., cost-to-income bar charts, tree</w:t>
      </w:r>
      <w:r w:rsidR="00441967" w:rsidRPr="002F2CB3">
        <w:t>-</w:t>
      </w:r>
      <w:r w:rsidRPr="00E94E1F">
        <w:t>map by population) during Milestone 3.</w:t>
      </w:r>
    </w:p>
    <w:p w14:paraId="57EDDAA5" w14:textId="77777777" w:rsidR="009932EE" w:rsidRPr="00E94E1F" w:rsidRDefault="009932EE" w:rsidP="00E94E1F"/>
    <w:p w14:paraId="5E67B19D" w14:textId="4AC23817" w:rsidR="00E94E1F" w:rsidRPr="002F2CB3" w:rsidRDefault="00E94E1F" w:rsidP="00F004A6">
      <w:pPr>
        <w:pStyle w:val="Heading1"/>
      </w:pPr>
      <w:r w:rsidRPr="002F2CB3">
        <w:t>Design Decisions</w:t>
      </w:r>
    </w:p>
    <w:p w14:paraId="4B15CBD8" w14:textId="59796D4D" w:rsidR="00E94E1F" w:rsidRPr="00E94E1F" w:rsidRDefault="00E94E1F" w:rsidP="00E94E1F">
      <w:pPr>
        <w:numPr>
          <w:ilvl w:val="0"/>
          <w:numId w:val="5"/>
        </w:numPr>
      </w:pPr>
      <w:r w:rsidRPr="00E94E1F">
        <w:rPr>
          <w:b/>
          <w:bCs/>
        </w:rPr>
        <w:t>Color discipline.</w:t>
      </w:r>
      <w:r w:rsidRPr="00E94E1F">
        <w:t xml:space="preserve"> Blue = center-based, orange = family-based across all media to reinforce mental mapping</w:t>
      </w:r>
      <w:r w:rsidR="002F2CB3">
        <w:t xml:space="preserve"> (Except for the infographic where green = center-based and blue = family-based due to background contrasting design consideration)</w:t>
      </w:r>
      <w:r w:rsidRPr="00E94E1F">
        <w:t>.</w:t>
      </w:r>
    </w:p>
    <w:p w14:paraId="1E3A0852" w14:textId="19EA3627" w:rsidR="00E94E1F" w:rsidRPr="00E94E1F" w:rsidRDefault="00E94E1F" w:rsidP="00E94E1F">
      <w:pPr>
        <w:numPr>
          <w:ilvl w:val="0"/>
          <w:numId w:val="5"/>
        </w:numPr>
      </w:pPr>
      <w:r w:rsidRPr="00E94E1F">
        <w:rPr>
          <w:b/>
          <w:bCs/>
        </w:rPr>
        <w:t>Visual hierarchy.</w:t>
      </w:r>
      <w:r w:rsidRPr="00E94E1F">
        <w:t xml:space="preserve"> Each PPT slide delivers a single insight with big numerals, high-contrast text, and </w:t>
      </w:r>
      <w:r w:rsidR="002F2CB3">
        <w:t>plenty of</w:t>
      </w:r>
      <w:r w:rsidRPr="00E94E1F">
        <w:t xml:space="preserve"> space to avoid overload.</w:t>
      </w:r>
    </w:p>
    <w:p w14:paraId="335DE604" w14:textId="3AEB927A" w:rsidR="00E94E1F" w:rsidRPr="00E94E1F" w:rsidRDefault="00E94E1F" w:rsidP="00E94E1F">
      <w:pPr>
        <w:numPr>
          <w:ilvl w:val="0"/>
          <w:numId w:val="5"/>
        </w:numPr>
      </w:pPr>
      <w:r w:rsidRPr="00E94E1F">
        <w:rPr>
          <w:b/>
          <w:bCs/>
        </w:rPr>
        <w:t>Map → tree</w:t>
      </w:r>
      <w:r w:rsidR="00153DC8">
        <w:rPr>
          <w:b/>
          <w:bCs/>
        </w:rPr>
        <w:t>-</w:t>
      </w:r>
      <w:r w:rsidRPr="00E94E1F">
        <w:rPr>
          <w:b/>
          <w:bCs/>
        </w:rPr>
        <w:t>map swap.</w:t>
      </w:r>
      <w:r w:rsidRPr="00E94E1F">
        <w:t xml:space="preserve"> For the infographic I replaced a dense choropleth with a tree</w:t>
      </w:r>
      <w:r w:rsidR="00153DC8">
        <w:t>-</w:t>
      </w:r>
      <w:r w:rsidRPr="00E94E1F">
        <w:t>map that simultaneously encodes state population and affordability, reducing visual clutter while keeping geographic patterns obvious</w:t>
      </w:r>
      <w:r w:rsidR="0014131A">
        <w:t xml:space="preserve"> (also due to technical disallowance)</w:t>
      </w:r>
      <w:r w:rsidRPr="00E94E1F">
        <w:t>.</w:t>
      </w:r>
    </w:p>
    <w:p w14:paraId="344DF215" w14:textId="289F263A" w:rsidR="00E94E1F" w:rsidRPr="00E94E1F" w:rsidRDefault="00E94E1F" w:rsidP="00E94E1F">
      <w:pPr>
        <w:numPr>
          <w:ilvl w:val="0"/>
          <w:numId w:val="5"/>
        </w:numPr>
      </w:pPr>
      <w:r w:rsidRPr="00E94E1F">
        <w:rPr>
          <w:b/>
          <w:bCs/>
        </w:rPr>
        <w:t>Accessibility.</w:t>
      </w:r>
      <w:r w:rsidRPr="00E94E1F">
        <w:t xml:space="preserve"> Sans-serif fonts ≥ 12 pt</w:t>
      </w:r>
      <w:r w:rsidR="00487A44">
        <w:t xml:space="preserve"> on general </w:t>
      </w:r>
      <w:r w:rsidRPr="00E94E1F">
        <w:t>and alt-text for dashboard images ensure usability for low-vision readers.</w:t>
      </w:r>
    </w:p>
    <w:p w14:paraId="2D4CE62C" w14:textId="77777777" w:rsidR="00E94E1F" w:rsidRPr="00E94E1F" w:rsidRDefault="00E94E1F" w:rsidP="00E94E1F">
      <w:pPr>
        <w:numPr>
          <w:ilvl w:val="0"/>
          <w:numId w:val="5"/>
        </w:numPr>
      </w:pPr>
      <w:r w:rsidRPr="00E94E1F">
        <w:rPr>
          <w:b/>
          <w:bCs/>
        </w:rPr>
        <w:t>Interactivity.</w:t>
      </w:r>
      <w:r w:rsidRPr="00E94E1F">
        <w:t xml:space="preserve"> Filters (year, care type, price quartile) and tooltips provide exploratory depth without burying casual viewers.</w:t>
      </w:r>
    </w:p>
    <w:p w14:paraId="7A26F7F4" w14:textId="731DEF98" w:rsidR="00E94E1F" w:rsidRPr="00E94E1F" w:rsidRDefault="00E94E1F" w:rsidP="00E94E1F"/>
    <w:p w14:paraId="440340E7" w14:textId="278CC49C" w:rsidR="00E94E1F" w:rsidRPr="002F2CB3" w:rsidRDefault="00E94E1F" w:rsidP="00F004A6">
      <w:pPr>
        <w:pStyle w:val="Heading1"/>
      </w:pPr>
      <w:r w:rsidRPr="002F2CB3">
        <w:t>Ethical Considerations</w:t>
      </w:r>
    </w:p>
    <w:p w14:paraId="4BDDC219" w14:textId="77777777" w:rsidR="00E94E1F" w:rsidRPr="00E94E1F" w:rsidRDefault="00E94E1F" w:rsidP="00E94E1F">
      <w:pPr>
        <w:numPr>
          <w:ilvl w:val="0"/>
          <w:numId w:val="6"/>
        </w:numPr>
      </w:pPr>
      <w:r w:rsidRPr="00E94E1F">
        <w:rPr>
          <w:b/>
          <w:bCs/>
        </w:rPr>
        <w:t>Data changes.</w:t>
      </w:r>
      <w:r w:rsidRPr="00E94E1F">
        <w:t xml:space="preserve"> Besides removing 0-price rows for sanity and computing derived ratios, the raw NDCP values are untouched. All transformations are clearly labeled in captions and tooltips.</w:t>
      </w:r>
    </w:p>
    <w:p w14:paraId="156C0D4E" w14:textId="04610926" w:rsidR="00E94E1F" w:rsidRPr="00E94E1F" w:rsidRDefault="00E94E1F" w:rsidP="00E94E1F">
      <w:pPr>
        <w:numPr>
          <w:ilvl w:val="0"/>
          <w:numId w:val="6"/>
        </w:numPr>
      </w:pPr>
      <w:r w:rsidRPr="00E94E1F">
        <w:rPr>
          <w:b/>
          <w:bCs/>
        </w:rPr>
        <w:t>Regulatory context.</w:t>
      </w:r>
      <w:r w:rsidRPr="00E94E1F">
        <w:t xml:space="preserve"> NDCP is a public dataset aggregated at county level</w:t>
      </w:r>
      <w:r w:rsidR="00524F8F">
        <w:t xml:space="preserve">, so </w:t>
      </w:r>
      <w:r w:rsidRPr="00E94E1F">
        <w:t>no personally identifiable information, so FERPA/HIPAA do not apply.</w:t>
      </w:r>
    </w:p>
    <w:p w14:paraId="6D47231A" w14:textId="77777777" w:rsidR="00E94E1F" w:rsidRPr="00E94E1F" w:rsidRDefault="00E94E1F" w:rsidP="00E94E1F">
      <w:pPr>
        <w:numPr>
          <w:ilvl w:val="0"/>
          <w:numId w:val="6"/>
        </w:numPr>
      </w:pPr>
      <w:r w:rsidRPr="00E94E1F">
        <w:rPr>
          <w:b/>
          <w:bCs/>
        </w:rPr>
        <w:t>Risk of misinterpretation.</w:t>
      </w:r>
      <w:r w:rsidRPr="00E94E1F">
        <w:t xml:space="preserve"> Choropleths can stigmatize “high-cost” counties; I mitigate this by using quartile labels (q1–q4) instead of absolute dollar color ramps and by providing context notes in the legend.</w:t>
      </w:r>
    </w:p>
    <w:p w14:paraId="5D1A9E5F" w14:textId="77777777" w:rsidR="00E94E1F" w:rsidRPr="00E94E1F" w:rsidRDefault="00E94E1F" w:rsidP="00E94E1F">
      <w:pPr>
        <w:numPr>
          <w:ilvl w:val="0"/>
          <w:numId w:val="6"/>
        </w:numPr>
      </w:pPr>
      <w:r w:rsidRPr="00E94E1F">
        <w:rPr>
          <w:b/>
          <w:bCs/>
        </w:rPr>
        <w:t>Analytical assumptions.</w:t>
      </w:r>
      <w:r w:rsidRPr="00E94E1F">
        <w:t xml:space="preserve"> Not adjusting for inflation or household composition can overstate burden; forthcoming robustness checks and a “limitations” footnote flag this openly.</w:t>
      </w:r>
    </w:p>
    <w:p w14:paraId="1B8D9CB3" w14:textId="77777777" w:rsidR="00E94E1F" w:rsidRPr="00E94E1F" w:rsidRDefault="00E94E1F" w:rsidP="00E94E1F">
      <w:pPr>
        <w:numPr>
          <w:ilvl w:val="0"/>
          <w:numId w:val="6"/>
        </w:numPr>
      </w:pPr>
      <w:r w:rsidRPr="00E94E1F">
        <w:rPr>
          <w:b/>
          <w:bCs/>
        </w:rPr>
        <w:t>Verification.</w:t>
      </w:r>
      <w:r w:rsidRPr="00E94E1F">
        <w:t xml:space="preserve"> Spot checks of 20 random counties against state fact sheets show NDCP medians fall within ±7 %. Larger discrepancies are tagged for manual review.</w:t>
      </w:r>
    </w:p>
    <w:p w14:paraId="22C12F82" w14:textId="4EFC52DB" w:rsidR="00E94E1F" w:rsidRPr="00E94E1F" w:rsidRDefault="00E94E1F" w:rsidP="00E94E1F">
      <w:pPr>
        <w:numPr>
          <w:ilvl w:val="0"/>
          <w:numId w:val="6"/>
        </w:numPr>
      </w:pPr>
      <w:r w:rsidRPr="00E94E1F">
        <w:rPr>
          <w:b/>
          <w:bCs/>
        </w:rPr>
        <w:t>Mitigation.</w:t>
      </w:r>
      <w:r w:rsidRPr="00E94E1F">
        <w:t xml:space="preserve"> Any policy simulation will be accompanied by scenario ranges </w:t>
      </w:r>
      <w:r w:rsidR="008E5C08">
        <w:t xml:space="preserve">or disclaimer of limitation </w:t>
      </w:r>
      <w:r w:rsidRPr="00E94E1F">
        <w:t>to avoid prescriptive certainty.</w:t>
      </w:r>
    </w:p>
    <w:p w14:paraId="684855B5" w14:textId="6E360E67" w:rsidR="00E94E1F" w:rsidRPr="00E94E1F" w:rsidRDefault="00E94E1F" w:rsidP="00E94E1F"/>
    <w:p w14:paraId="3A0CE588" w14:textId="2B99BF01" w:rsidR="00E94E1F" w:rsidRPr="002F2CB3" w:rsidRDefault="00E94E1F" w:rsidP="00F004A6">
      <w:pPr>
        <w:pStyle w:val="Heading1"/>
      </w:pPr>
      <w:r w:rsidRPr="002F2CB3">
        <w:lastRenderedPageBreak/>
        <w:t>Lessons Learned</w:t>
      </w:r>
    </w:p>
    <w:p w14:paraId="1BCE7803" w14:textId="61D4BCF3" w:rsidR="00E94E1F" w:rsidRPr="00E94E1F" w:rsidRDefault="00E94E1F" w:rsidP="00E94E1F">
      <w:pPr>
        <w:numPr>
          <w:ilvl w:val="0"/>
          <w:numId w:val="7"/>
        </w:numPr>
      </w:pPr>
      <w:r w:rsidRPr="00E94E1F">
        <w:rPr>
          <w:b/>
          <w:bCs/>
        </w:rPr>
        <w:t>What I’d do differently.</w:t>
      </w:r>
      <w:r w:rsidRPr="00E94E1F">
        <w:t xml:space="preserve"> </w:t>
      </w:r>
      <w:r w:rsidR="0015396E">
        <w:t xml:space="preserve">Start grouping the data columns based on the technical support guidebook like I did in milestone 2 to help me draw the big picture of the data information. The grouping really helped me find the path to drive the data analysis and </w:t>
      </w:r>
      <w:r w:rsidR="007E62D0">
        <w:t>storytelling in an organized way</w:t>
      </w:r>
      <w:r w:rsidR="0015396E">
        <w:t>.</w:t>
      </w:r>
    </w:p>
    <w:p w14:paraId="7EB19E2F" w14:textId="3961A4D4" w:rsidR="00667B72" w:rsidRDefault="00E94E1F" w:rsidP="0058607A">
      <w:pPr>
        <w:numPr>
          <w:ilvl w:val="0"/>
          <w:numId w:val="7"/>
        </w:numPr>
        <w:rPr>
          <w:rFonts w:hint="eastAsia"/>
        </w:rPr>
      </w:pPr>
      <w:r w:rsidRPr="00E94E1F">
        <w:rPr>
          <w:b/>
          <w:bCs/>
        </w:rPr>
        <w:t>What I enjoyed most.</w:t>
      </w:r>
      <w:r w:rsidRPr="00E94E1F">
        <w:t xml:space="preserve"> </w:t>
      </w:r>
      <w:r w:rsidR="0058607A">
        <w:t xml:space="preserve">Bouncing between the three mediums to accommodate their strengths for different audience, meanwhile gaining new insights along the journey. </w:t>
      </w:r>
    </w:p>
    <w:sectPr w:rsidR="00667B72" w:rsidSect="00E742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68EC"/>
    <w:multiLevelType w:val="multilevel"/>
    <w:tmpl w:val="F7F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3751A"/>
    <w:multiLevelType w:val="multilevel"/>
    <w:tmpl w:val="6D6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56B92"/>
    <w:multiLevelType w:val="multilevel"/>
    <w:tmpl w:val="2A8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0702D"/>
    <w:multiLevelType w:val="multilevel"/>
    <w:tmpl w:val="661A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41E80"/>
    <w:multiLevelType w:val="multilevel"/>
    <w:tmpl w:val="7E6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3011A"/>
    <w:multiLevelType w:val="multilevel"/>
    <w:tmpl w:val="F2C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60E35"/>
    <w:multiLevelType w:val="multilevel"/>
    <w:tmpl w:val="86E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800313">
    <w:abstractNumId w:val="3"/>
  </w:num>
  <w:num w:numId="2" w16cid:durableId="1810324822">
    <w:abstractNumId w:val="1"/>
  </w:num>
  <w:num w:numId="3" w16cid:durableId="36860218">
    <w:abstractNumId w:val="5"/>
  </w:num>
  <w:num w:numId="4" w16cid:durableId="1442915571">
    <w:abstractNumId w:val="6"/>
  </w:num>
  <w:num w:numId="5" w16cid:durableId="476144770">
    <w:abstractNumId w:val="2"/>
  </w:num>
  <w:num w:numId="6" w16cid:durableId="1675300113">
    <w:abstractNumId w:val="0"/>
  </w:num>
  <w:num w:numId="7" w16cid:durableId="1077049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61"/>
    <w:rsid w:val="00026335"/>
    <w:rsid w:val="000750E0"/>
    <w:rsid w:val="0014131A"/>
    <w:rsid w:val="0015396E"/>
    <w:rsid w:val="00153DC8"/>
    <w:rsid w:val="00156B4E"/>
    <w:rsid w:val="00204A26"/>
    <w:rsid w:val="002F2CB3"/>
    <w:rsid w:val="00441967"/>
    <w:rsid w:val="00481192"/>
    <w:rsid w:val="00487A44"/>
    <w:rsid w:val="00524F8F"/>
    <w:rsid w:val="0058607A"/>
    <w:rsid w:val="005B7EA1"/>
    <w:rsid w:val="00667B72"/>
    <w:rsid w:val="00733215"/>
    <w:rsid w:val="00747875"/>
    <w:rsid w:val="007931FA"/>
    <w:rsid w:val="007E62D0"/>
    <w:rsid w:val="00831461"/>
    <w:rsid w:val="0089397A"/>
    <w:rsid w:val="008E5C08"/>
    <w:rsid w:val="00926C4B"/>
    <w:rsid w:val="009932EE"/>
    <w:rsid w:val="00A40096"/>
    <w:rsid w:val="00A4414B"/>
    <w:rsid w:val="00A44EA8"/>
    <w:rsid w:val="00A62DBD"/>
    <w:rsid w:val="00AC3980"/>
    <w:rsid w:val="00B317DB"/>
    <w:rsid w:val="00B9274B"/>
    <w:rsid w:val="00BB1D86"/>
    <w:rsid w:val="00BC2CEB"/>
    <w:rsid w:val="00BF4449"/>
    <w:rsid w:val="00C82537"/>
    <w:rsid w:val="00D413E5"/>
    <w:rsid w:val="00D72966"/>
    <w:rsid w:val="00E736EF"/>
    <w:rsid w:val="00E74269"/>
    <w:rsid w:val="00E94E1F"/>
    <w:rsid w:val="00EA5C67"/>
    <w:rsid w:val="00EE5DC0"/>
    <w:rsid w:val="00F004A6"/>
    <w:rsid w:val="00F96B0F"/>
    <w:rsid w:val="00FD6D36"/>
    <w:rsid w:val="00FE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FE86"/>
  <w15:chartTrackingRefBased/>
  <w15:docId w15:val="{35387714-C219-504B-85D9-19E72A54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C5E0B9-8353-F749-9E07-0DCC3F2D1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Zicheng Xu</dc:creator>
  <cp:keywords/>
  <dc:description/>
  <cp:lastModifiedBy>Zicheng Xu</cp:lastModifiedBy>
  <cp:revision>47</cp:revision>
  <dcterms:created xsi:type="dcterms:W3CDTF">2025-07-27T03:20:00Z</dcterms:created>
  <dcterms:modified xsi:type="dcterms:W3CDTF">2025-07-27T16:02:00Z</dcterms:modified>
</cp:coreProperties>
</file>