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11028" w14:textId="29004073" w:rsidR="00747875" w:rsidRPr="002F2CB3" w:rsidRDefault="00747875" w:rsidP="00747875">
      <w:pPr>
        <w:pStyle w:val="Title"/>
        <w:rPr>
          <w:color w:val="000000" w:themeColor="text1"/>
        </w:rPr>
      </w:pPr>
      <w:r w:rsidRPr="002F2CB3">
        <w:rPr>
          <w:color w:val="000000" w:themeColor="text1"/>
        </w:rPr>
        <w:t xml:space="preserve">DSC640 - Milestone </w:t>
      </w:r>
      <w:r w:rsidR="00D93A83">
        <w:rPr>
          <w:color w:val="000000" w:themeColor="text1"/>
        </w:rPr>
        <w:t>5</w:t>
      </w:r>
      <w:r w:rsidRPr="002F2CB3">
        <w:rPr>
          <w:color w:val="000000" w:themeColor="text1"/>
        </w:rPr>
        <w:t xml:space="preserve"> - </w:t>
      </w:r>
      <w:r w:rsidR="00D93A83" w:rsidRPr="00D93A83">
        <w:rPr>
          <w:color w:val="000000" w:themeColor="text1"/>
        </w:rPr>
        <w:t>Final Delivery Summary Paper</w:t>
      </w:r>
    </w:p>
    <w:p w14:paraId="3B06A58F" w14:textId="731C5E77" w:rsidR="00747875" w:rsidRPr="002F2CB3" w:rsidRDefault="00747875" w:rsidP="00747875">
      <w:pPr>
        <w:pStyle w:val="Subtitle"/>
        <w:rPr>
          <w:color w:val="000000" w:themeColor="text1"/>
        </w:rPr>
      </w:pPr>
      <w:r w:rsidRPr="002F2CB3">
        <w:rPr>
          <w:color w:val="000000" w:themeColor="text1"/>
        </w:rPr>
        <w:t>Professor: Ben Schneider</w:t>
      </w:r>
    </w:p>
    <w:p w14:paraId="1F824FE8" w14:textId="16CFC008" w:rsidR="00747875" w:rsidRPr="002F2CB3" w:rsidRDefault="00747875" w:rsidP="00747875">
      <w:pPr>
        <w:pStyle w:val="Subtitle"/>
        <w:rPr>
          <w:color w:val="000000" w:themeColor="text1"/>
        </w:rPr>
      </w:pPr>
      <w:r w:rsidRPr="002F2CB3">
        <w:rPr>
          <w:color w:val="000000" w:themeColor="text1"/>
        </w:rPr>
        <w:t>Zicheng (Chance) Xu</w:t>
      </w:r>
    </w:p>
    <w:p w14:paraId="087BF76D" w14:textId="77777777" w:rsidR="00747875" w:rsidRPr="002F2CB3" w:rsidRDefault="00747875" w:rsidP="00747875"/>
    <w:p w14:paraId="0439D808" w14:textId="27F316E6" w:rsidR="00E94E1F" w:rsidRPr="002F2CB3" w:rsidRDefault="00E94E1F" w:rsidP="007931FA">
      <w:pPr>
        <w:pStyle w:val="Heading1"/>
      </w:pPr>
      <w:r w:rsidRPr="002F2CB3">
        <w:t>Summary of Analysis</w:t>
      </w:r>
    </w:p>
    <w:p w14:paraId="05612DFB" w14:textId="77777777" w:rsidR="005638C9" w:rsidRDefault="005638C9" w:rsidP="00F96B0F">
      <w:pPr>
        <w:pStyle w:val="Heading2"/>
      </w:pPr>
      <w:r>
        <w:t>Findings</w:t>
      </w:r>
    </w:p>
    <w:p w14:paraId="1E0CDBCE" w14:textId="77777777" w:rsidR="005638C9" w:rsidRPr="005638C9" w:rsidRDefault="005638C9" w:rsidP="009A0088">
      <w:pPr>
        <w:pStyle w:val="ListParagraph"/>
        <w:numPr>
          <w:ilvl w:val="0"/>
          <w:numId w:val="11"/>
        </w:numPr>
      </w:pPr>
      <w:r w:rsidRPr="009A0088">
        <w:rPr>
          <w:b/>
          <w:bCs/>
        </w:rPr>
        <w:t>Prices rise throughout the series, with a sharper post-2019 slope.</w:t>
      </w:r>
      <w:r w:rsidRPr="005638C9">
        <w:t xml:space="preserve"> From 2008–2010 prices are relatively flat, there’s a noticeable bump in 2011 and intermittent step-ups, and then a sustained year-over-year climb after 2019.</w:t>
      </w:r>
    </w:p>
    <w:p w14:paraId="6E5920A3" w14:textId="77777777" w:rsidR="005638C9" w:rsidRPr="005638C9" w:rsidRDefault="005638C9" w:rsidP="009A0088">
      <w:pPr>
        <w:pStyle w:val="ListParagraph"/>
        <w:numPr>
          <w:ilvl w:val="0"/>
          <w:numId w:val="11"/>
        </w:numPr>
      </w:pPr>
      <w:r w:rsidRPr="009A0088">
        <w:rPr>
          <w:b/>
          <w:bCs/>
        </w:rPr>
        <w:t>Center-based care costs more than family-based care</w:t>
      </w:r>
      <w:r w:rsidRPr="005638C9">
        <w:t xml:space="preserve"> across the period; the gap widens in higher-cost areas.</w:t>
      </w:r>
    </w:p>
    <w:p w14:paraId="6C45ECE5" w14:textId="627F2FCA" w:rsidR="005638C9" w:rsidRPr="005638C9" w:rsidRDefault="005638C9" w:rsidP="009A0088">
      <w:pPr>
        <w:pStyle w:val="ListParagraph"/>
        <w:numPr>
          <w:ilvl w:val="0"/>
          <w:numId w:val="11"/>
        </w:numPr>
      </w:pPr>
      <w:r w:rsidRPr="009A0088">
        <w:rPr>
          <w:b/>
          <w:bCs/>
        </w:rPr>
        <w:t>Affordability varies widely by state/region.</w:t>
      </w:r>
      <w:r w:rsidRPr="005638C9">
        <w:t xml:space="preserve"> States like DC and Puerto Rico show higher childcare-to-income ratios than many large states.</w:t>
      </w:r>
      <w:r>
        <w:t xml:space="preserve"> But generally coastal states and Colorado have </w:t>
      </w:r>
      <w:proofErr w:type="gramStart"/>
      <w:r>
        <w:t>high cost</w:t>
      </w:r>
      <w:proofErr w:type="gramEnd"/>
      <w:r>
        <w:t xml:space="preserve"> ratio of childcare. </w:t>
      </w:r>
    </w:p>
    <w:p w14:paraId="519E0BBF" w14:textId="77777777" w:rsidR="005638C9" w:rsidRPr="005638C9" w:rsidRDefault="005638C9" w:rsidP="009A0088">
      <w:pPr>
        <w:pStyle w:val="ListParagraph"/>
        <w:numPr>
          <w:ilvl w:val="0"/>
          <w:numId w:val="11"/>
        </w:numPr>
      </w:pPr>
      <w:r w:rsidRPr="009A0088">
        <w:rPr>
          <w:b/>
          <w:bCs/>
        </w:rPr>
        <w:t>Annual burden is meaningful.</w:t>
      </w:r>
      <w:r w:rsidRPr="005638C9">
        <w:t xml:space="preserve"> Using the weekly series, the implied annual spend is roughly in the mid-$6k range, and in some </w:t>
      </w:r>
      <w:proofErr w:type="gramStart"/>
      <w:r w:rsidRPr="005638C9">
        <w:t>places</w:t>
      </w:r>
      <w:proofErr w:type="gramEnd"/>
      <w:r w:rsidRPr="005638C9">
        <w:t xml:space="preserve"> childcare can consume a very large share of women’s earnings.</w:t>
      </w:r>
    </w:p>
    <w:p w14:paraId="37357049" w14:textId="77777777" w:rsidR="005638C9" w:rsidRPr="005638C9" w:rsidRDefault="005638C9" w:rsidP="009A0088">
      <w:pPr>
        <w:pStyle w:val="ListParagraph"/>
        <w:numPr>
          <w:ilvl w:val="0"/>
          <w:numId w:val="11"/>
        </w:numPr>
      </w:pPr>
      <w:r w:rsidRPr="009A0088">
        <w:rPr>
          <w:b/>
          <w:bCs/>
        </w:rPr>
        <w:t>Gender context matters.</w:t>
      </w:r>
      <w:r w:rsidRPr="005638C9">
        <w:t xml:space="preserve"> The female-to-male earnings ratio is ~70% in the most recent year available—improving over time, but not enough to offset rising prices everywhere.</w:t>
      </w:r>
    </w:p>
    <w:p w14:paraId="24163398" w14:textId="77777777" w:rsidR="009A0088" w:rsidRDefault="009A0088" w:rsidP="009A0088">
      <w:pPr>
        <w:pStyle w:val="Heading2"/>
      </w:pPr>
      <w:r>
        <w:t>Assumptions</w:t>
      </w:r>
    </w:p>
    <w:p w14:paraId="2768F7E0" w14:textId="5C5A4BDA" w:rsidR="009A0088" w:rsidRPr="009A0088" w:rsidRDefault="009A0088" w:rsidP="009A0088">
      <w:pPr>
        <w:pStyle w:val="ListParagraph"/>
        <w:numPr>
          <w:ilvl w:val="0"/>
          <w:numId w:val="10"/>
        </w:numPr>
      </w:pPr>
      <w:r w:rsidRPr="009A0088">
        <w:rPr>
          <w:b/>
          <w:bCs/>
        </w:rPr>
        <w:t>Nominal dollars for consistency.</w:t>
      </w:r>
      <w:r w:rsidRPr="009A0088">
        <w:t xml:space="preserve"> I use nominal Median Household Income (MHI) because the childcare price series is also nominal. Ratios are most interpretable when numerator and denominator share the same dollar basis.</w:t>
      </w:r>
    </w:p>
    <w:p w14:paraId="00FA1429" w14:textId="54DF0203" w:rsidR="009A0088" w:rsidRPr="009A0088" w:rsidRDefault="009A0088" w:rsidP="009A0088">
      <w:pPr>
        <w:pStyle w:val="ListParagraph"/>
        <w:numPr>
          <w:ilvl w:val="0"/>
          <w:numId w:val="10"/>
        </w:numPr>
      </w:pPr>
      <w:r w:rsidRPr="009A0088">
        <w:rPr>
          <w:b/>
          <w:bCs/>
        </w:rPr>
        <w:t>Project timing.</w:t>
      </w:r>
      <w:r w:rsidRPr="009A0088">
        <w:t xml:space="preserve"> Anchoring to “2022 dollars” adds little value for a 2025 readout; any constant-dollar base would be arbitrary unless all series are rebased together.</w:t>
      </w:r>
    </w:p>
    <w:p w14:paraId="14E41CD3" w14:textId="0F350A80" w:rsidR="009A0088" w:rsidRPr="009A0088" w:rsidRDefault="009A0088" w:rsidP="009A0088">
      <w:pPr>
        <w:pStyle w:val="ListParagraph"/>
        <w:numPr>
          <w:ilvl w:val="0"/>
          <w:numId w:val="10"/>
        </w:numPr>
      </w:pPr>
      <w:r w:rsidRPr="009A0088">
        <w:rPr>
          <w:b/>
          <w:bCs/>
        </w:rPr>
        <w:t>Age definitions.</w:t>
      </w:r>
      <w:r w:rsidRPr="009A0088">
        <w:t xml:space="preserve"> I keep NDCP’s definitions (e.g., Infant = 0–23 months).</w:t>
      </w:r>
    </w:p>
    <w:p w14:paraId="0E32796A" w14:textId="3B70198B" w:rsidR="009A0088" w:rsidRPr="009A0088" w:rsidRDefault="009A0088" w:rsidP="009A0088">
      <w:pPr>
        <w:pStyle w:val="ListParagraph"/>
        <w:numPr>
          <w:ilvl w:val="0"/>
          <w:numId w:val="10"/>
        </w:numPr>
      </w:pPr>
      <w:r w:rsidRPr="009A0088">
        <w:rPr>
          <w:b/>
          <w:bCs/>
        </w:rPr>
        <w:t>Age coverage alignment.</w:t>
      </w:r>
      <w:r w:rsidRPr="009A0088">
        <w:t xml:space="preserve"> MHI is an all-household measure; for this project I treat the age-coverage mismatch between income and price as not material to the core affordability ratios.</w:t>
      </w:r>
    </w:p>
    <w:p w14:paraId="41687D4F" w14:textId="6B3D0641" w:rsidR="009A0088" w:rsidRPr="009A0088" w:rsidRDefault="009A0088" w:rsidP="009A0088">
      <w:pPr>
        <w:pStyle w:val="ListParagraph"/>
        <w:numPr>
          <w:ilvl w:val="0"/>
          <w:numId w:val="10"/>
        </w:numPr>
      </w:pPr>
      <w:r w:rsidRPr="009A0088">
        <w:rPr>
          <w:b/>
          <w:bCs/>
        </w:rPr>
        <w:t>Aggregation.</w:t>
      </w:r>
      <w:r w:rsidRPr="009A0088">
        <w:t xml:space="preserve"> When rolling county results to state views, I use simple averages unless otherwise noted. I do not population-weight state summaries in the final visuals.</w:t>
      </w:r>
    </w:p>
    <w:p w14:paraId="609C1ED2" w14:textId="4470F12A" w:rsidR="009A0088" w:rsidRPr="009A0088" w:rsidRDefault="009A0088" w:rsidP="009A0088">
      <w:pPr>
        <w:pStyle w:val="ListParagraph"/>
        <w:numPr>
          <w:ilvl w:val="0"/>
          <w:numId w:val="10"/>
        </w:numPr>
      </w:pPr>
      <w:r w:rsidRPr="009A0088">
        <w:rPr>
          <w:b/>
          <w:bCs/>
        </w:rPr>
        <w:t>Annualization.</w:t>
      </w:r>
      <w:r w:rsidRPr="009A0088">
        <w:t xml:space="preserve"> Where needed, I annualize weekly costs by ×52.</w:t>
      </w:r>
    </w:p>
    <w:p w14:paraId="60573BB9" w14:textId="371484A8" w:rsidR="009A0088" w:rsidRPr="009A0088" w:rsidRDefault="009A0088" w:rsidP="009A0088">
      <w:pPr>
        <w:pStyle w:val="ListParagraph"/>
        <w:numPr>
          <w:ilvl w:val="0"/>
          <w:numId w:val="10"/>
        </w:numPr>
      </w:pPr>
      <w:r w:rsidRPr="009A0088">
        <w:rPr>
          <w:b/>
          <w:bCs/>
        </w:rPr>
        <w:t>Data hygiene.</w:t>
      </w:r>
      <w:r w:rsidRPr="009A0088">
        <w:t xml:space="preserve"> I exclude obviously invalid records (e.g., missing/zero prices) and document filters in the notebook and captions.</w:t>
      </w:r>
    </w:p>
    <w:p w14:paraId="21BFA089" w14:textId="77777777" w:rsidR="009A0088" w:rsidRDefault="009A0088" w:rsidP="009A0088">
      <w:pPr>
        <w:pStyle w:val="Heading2"/>
      </w:pPr>
      <w:r w:rsidRPr="009A0088">
        <w:lastRenderedPageBreak/>
        <w:t>Items that still need clarification</w:t>
      </w:r>
    </w:p>
    <w:p w14:paraId="4D65D740" w14:textId="6C9AA88B" w:rsidR="0065179C" w:rsidRDefault="009A0088" w:rsidP="0065179C">
      <w:r w:rsidRPr="009A0088">
        <w:t>No blockers remain for my final story. If I extend this work, I would (a) build a constant-dollar scenario to compare with nominal results, (b) test population-weighted state summaries, and (c) re-examine labor-force-participation relationships by child-age cohort for tighter alignment.</w:t>
      </w:r>
      <w:r w:rsidR="00E94E1F" w:rsidRPr="002F2CB3">
        <w:br/>
      </w:r>
    </w:p>
    <w:p w14:paraId="75AF0DAC" w14:textId="2E92458D" w:rsidR="0065179C" w:rsidRDefault="0065179C" w:rsidP="0065179C">
      <w:pPr>
        <w:pStyle w:val="Heading1"/>
      </w:pPr>
      <w:r w:rsidRPr="0065179C">
        <w:t>Direction of Story / Plan of Attack / Message</w:t>
      </w:r>
    </w:p>
    <w:p w14:paraId="404A1BAE" w14:textId="2479E4DC" w:rsidR="0065179C" w:rsidRDefault="0065179C" w:rsidP="0065179C">
      <w:r w:rsidRPr="0065179C">
        <w:t xml:space="preserve">My story is straightforward: </w:t>
      </w:r>
      <w:r w:rsidRPr="0065179C">
        <w:rPr>
          <w:b/>
          <w:bCs/>
        </w:rPr>
        <w:t>childcare costs have risen meaningfully, straining family budgets and disproportionately affecting working women; the burden is not uniform across the country.</w:t>
      </w:r>
      <w:r w:rsidRPr="0065179C">
        <w:t xml:space="preserve"> I lead with the long-run trend, then quantify affordability via cost-to-income ratios, and close by highlighting geographic disparities that suggest where targeted policy or employer benefits could matter most.</w:t>
      </w:r>
    </w:p>
    <w:p w14:paraId="2A506592" w14:textId="77777777" w:rsidR="0065179C" w:rsidRDefault="0065179C" w:rsidP="0065179C"/>
    <w:p w14:paraId="0CD08BA6" w14:textId="7B743E74" w:rsidR="0065179C" w:rsidRDefault="0065179C" w:rsidP="0065179C">
      <w:pPr>
        <w:pStyle w:val="Heading1"/>
      </w:pPr>
      <w:r w:rsidRPr="0065179C">
        <w:t>Target Audience</w:t>
      </w:r>
    </w:p>
    <w:p w14:paraId="171A64C5" w14:textId="134B1D8B" w:rsidR="0065179C" w:rsidRDefault="0065179C" w:rsidP="0065179C">
      <w:r w:rsidRPr="0065179C">
        <w:t>Primary: policymakers, state agencies, and workforce/early-education stakeholders who need an at-a-glance affordability picture with the ability to drill down.</w:t>
      </w:r>
      <w:r w:rsidRPr="0065179C">
        <w:br/>
        <w:t xml:space="preserve">Secondary: </w:t>
      </w:r>
      <w:proofErr w:type="gramStart"/>
      <w:r w:rsidRPr="0065179C">
        <w:t>general public</w:t>
      </w:r>
      <w:proofErr w:type="gramEnd"/>
      <w:r w:rsidRPr="0065179C">
        <w:t xml:space="preserve"> and advocacy groups who benefit from a clear, non-technical summary.</w:t>
      </w:r>
    </w:p>
    <w:p w14:paraId="511091AB" w14:textId="77777777" w:rsidR="0065179C" w:rsidRDefault="0065179C" w:rsidP="0065179C"/>
    <w:p w14:paraId="3F6CAED0" w14:textId="436F0ABC" w:rsidR="0065179C" w:rsidRDefault="0065179C" w:rsidP="0065179C">
      <w:pPr>
        <w:pStyle w:val="Heading1"/>
      </w:pPr>
      <w:r w:rsidRPr="0065179C">
        <w:t>Mediums I Included &amp; Why</w:t>
      </w:r>
    </w:p>
    <w:p w14:paraId="5070461A" w14:textId="1E29BB91" w:rsidR="009447F9" w:rsidRPr="009447F9" w:rsidRDefault="009447F9" w:rsidP="009447F9">
      <w:pPr>
        <w:pStyle w:val="ListParagraph"/>
        <w:numPr>
          <w:ilvl w:val="0"/>
          <w:numId w:val="13"/>
        </w:numPr>
      </w:pPr>
      <w:r w:rsidRPr="009447F9">
        <w:rPr>
          <w:b/>
          <w:bCs/>
        </w:rPr>
        <w:t>Tableau dashboard:</w:t>
      </w:r>
      <w:r w:rsidRPr="009447F9">
        <w:t xml:space="preserve"> interactive filtering by year, care type, and geography to explore affordability ratios and trends. Ideal for stakeholders who want to interrogate the data.</w:t>
      </w:r>
    </w:p>
    <w:p w14:paraId="7E3E3BBE" w14:textId="0148B0E7" w:rsidR="009447F9" w:rsidRPr="009447F9" w:rsidRDefault="009447F9" w:rsidP="009447F9">
      <w:pPr>
        <w:pStyle w:val="ListParagraph"/>
        <w:numPr>
          <w:ilvl w:val="0"/>
          <w:numId w:val="13"/>
        </w:numPr>
      </w:pPr>
      <w:r w:rsidRPr="009447F9">
        <w:rPr>
          <w:b/>
          <w:bCs/>
        </w:rPr>
        <w:t>PowerPoint deck:</w:t>
      </w:r>
      <w:r w:rsidRPr="009447F9">
        <w:t xml:space="preserve"> a concise, meeting-friendly narrative that walks decision-makers through the problem, the evidence, and the implications.</w:t>
      </w:r>
    </w:p>
    <w:p w14:paraId="1E6DEAA7" w14:textId="77777777" w:rsidR="009447F9" w:rsidRDefault="009447F9" w:rsidP="009447F9">
      <w:pPr>
        <w:pStyle w:val="ListParagraph"/>
        <w:numPr>
          <w:ilvl w:val="0"/>
          <w:numId w:val="13"/>
        </w:numPr>
      </w:pPr>
      <w:r w:rsidRPr="009447F9">
        <w:rPr>
          <w:b/>
          <w:bCs/>
        </w:rPr>
        <w:t>Infographic:</w:t>
      </w:r>
      <w:r w:rsidRPr="009447F9">
        <w:t xml:space="preserve"> a public-facing, scannable summary that foregrounds the key numbers and geographic insights without technical detail.</w:t>
      </w:r>
    </w:p>
    <w:p w14:paraId="3486E23C" w14:textId="49C7B224" w:rsidR="009447F9" w:rsidRDefault="009447F9" w:rsidP="009447F9">
      <w:r w:rsidRPr="009447F9">
        <w:t xml:space="preserve">All three are sourced from the same cleaned dataset and calculations documented in my </w:t>
      </w:r>
      <w:proofErr w:type="spellStart"/>
      <w:r w:rsidRPr="009447F9">
        <w:t>Jupyter</w:t>
      </w:r>
      <w:proofErr w:type="spellEnd"/>
      <w:r w:rsidRPr="009447F9">
        <w:t xml:space="preserve"> notebook (exported as PDF for submission).</w:t>
      </w:r>
      <w:r>
        <w:t xml:space="preserve"> </w:t>
      </w:r>
    </w:p>
    <w:p w14:paraId="4F47DBE8" w14:textId="77777777" w:rsidR="009447F9" w:rsidRDefault="009447F9" w:rsidP="009447F9"/>
    <w:p w14:paraId="3DFD0F28" w14:textId="4B16451C" w:rsidR="009447F9" w:rsidRDefault="009447F9" w:rsidP="009447F9">
      <w:pPr>
        <w:pStyle w:val="Heading1"/>
      </w:pPr>
      <w:r w:rsidRPr="009447F9">
        <w:t>Design Decisions</w:t>
      </w:r>
    </w:p>
    <w:p w14:paraId="24066E5C" w14:textId="7CF0F0FE" w:rsidR="009447F9" w:rsidRPr="009447F9" w:rsidRDefault="009447F9" w:rsidP="009447F9">
      <w:pPr>
        <w:pStyle w:val="ListParagraph"/>
        <w:numPr>
          <w:ilvl w:val="0"/>
          <w:numId w:val="15"/>
        </w:numPr>
      </w:pPr>
      <w:r w:rsidRPr="009447F9">
        <w:rPr>
          <w:b/>
          <w:bCs/>
        </w:rPr>
        <w:t>Consistency first.</w:t>
      </w:r>
      <w:r w:rsidRPr="009447F9">
        <w:t xml:space="preserve"> I keep a stable color encoding for center- vs. family-based care and repeat it across mediums so viewers don’t relearn the legend.</w:t>
      </w:r>
    </w:p>
    <w:p w14:paraId="25C48063" w14:textId="5B41A071" w:rsidR="009447F9" w:rsidRPr="009447F9" w:rsidRDefault="009447F9" w:rsidP="009447F9">
      <w:pPr>
        <w:pStyle w:val="ListParagraph"/>
        <w:numPr>
          <w:ilvl w:val="0"/>
          <w:numId w:val="15"/>
        </w:numPr>
      </w:pPr>
      <w:r w:rsidRPr="009447F9">
        <w:rPr>
          <w:b/>
          <w:bCs/>
        </w:rPr>
        <w:t>Hierarchy and restraint.</w:t>
      </w:r>
      <w:r w:rsidRPr="009447F9">
        <w:t xml:space="preserve"> One idea per slide/section, large numerals for key stats, and plenty of whitespace to reduce cognitive load.</w:t>
      </w:r>
    </w:p>
    <w:p w14:paraId="7E7E1BF2" w14:textId="66E59684" w:rsidR="009447F9" w:rsidRPr="009447F9" w:rsidRDefault="009447F9" w:rsidP="009447F9">
      <w:pPr>
        <w:pStyle w:val="ListParagraph"/>
        <w:numPr>
          <w:ilvl w:val="0"/>
          <w:numId w:val="15"/>
        </w:numPr>
      </w:pPr>
      <w:r w:rsidRPr="009447F9">
        <w:rPr>
          <w:b/>
          <w:bCs/>
        </w:rPr>
        <w:lastRenderedPageBreak/>
        <w:t xml:space="preserve">Map to </w:t>
      </w:r>
      <w:proofErr w:type="spellStart"/>
      <w:r w:rsidRPr="009447F9">
        <w:rPr>
          <w:b/>
          <w:bCs/>
        </w:rPr>
        <w:t>treemap</w:t>
      </w:r>
      <w:proofErr w:type="spellEnd"/>
      <w:r w:rsidRPr="009447F9">
        <w:rPr>
          <w:b/>
          <w:bCs/>
        </w:rPr>
        <w:t xml:space="preserve"> swap (infographic).</w:t>
      </w:r>
      <w:r w:rsidRPr="009447F9">
        <w:t xml:space="preserve"> I replaced a choropleth with a </w:t>
      </w:r>
      <w:proofErr w:type="spellStart"/>
      <w:r w:rsidRPr="009447F9">
        <w:t>treemap</w:t>
      </w:r>
      <w:proofErr w:type="spellEnd"/>
      <w:r w:rsidRPr="009447F9">
        <w:t xml:space="preserve"> to show relative scale without over-implying geographic precision, and to keep labels readable.</w:t>
      </w:r>
    </w:p>
    <w:p w14:paraId="470305C7" w14:textId="7425949F" w:rsidR="009447F9" w:rsidRPr="009447F9" w:rsidRDefault="009447F9" w:rsidP="009447F9">
      <w:pPr>
        <w:pStyle w:val="ListParagraph"/>
        <w:numPr>
          <w:ilvl w:val="0"/>
          <w:numId w:val="15"/>
        </w:numPr>
      </w:pPr>
      <w:r w:rsidRPr="009447F9">
        <w:rPr>
          <w:b/>
          <w:bCs/>
        </w:rPr>
        <w:t>Clear labeling.</w:t>
      </w:r>
      <w:r w:rsidRPr="009447F9">
        <w:t xml:space="preserve"> Captions and footnotes call out that values are </w:t>
      </w:r>
      <w:r w:rsidRPr="009447F9">
        <w:rPr>
          <w:b/>
          <w:bCs/>
        </w:rPr>
        <w:t>nominal</w:t>
      </w:r>
      <w:r w:rsidRPr="009447F9">
        <w:t>, and tooltips/legends show how ratios are constructed.</w:t>
      </w:r>
    </w:p>
    <w:p w14:paraId="031401EE" w14:textId="062CD7D4" w:rsidR="009447F9" w:rsidRDefault="009447F9" w:rsidP="009447F9">
      <w:pPr>
        <w:pStyle w:val="Heading1"/>
      </w:pPr>
      <w:r w:rsidRPr="009447F9">
        <w:t>Ethical Considerations</w:t>
      </w:r>
    </w:p>
    <w:p w14:paraId="694F7152" w14:textId="47442733" w:rsidR="0079660E" w:rsidRPr="0079660E" w:rsidRDefault="0079660E" w:rsidP="0079660E">
      <w:pPr>
        <w:pStyle w:val="ListParagraph"/>
        <w:numPr>
          <w:ilvl w:val="0"/>
          <w:numId w:val="17"/>
        </w:numPr>
      </w:pPr>
      <w:r w:rsidRPr="0079660E">
        <w:rPr>
          <w:b/>
          <w:bCs/>
        </w:rPr>
        <w:t>What changes were made?</w:t>
      </w:r>
      <w:r w:rsidRPr="0079660E">
        <w:t xml:space="preserve"> I removed invalid rows (e.g., missing/zero prices), created derived fields (annualized costs, ratios, quartiles), and documented filters.</w:t>
      </w:r>
    </w:p>
    <w:p w14:paraId="27BB5160" w14:textId="13FAF18B" w:rsidR="0079660E" w:rsidRPr="0079660E" w:rsidRDefault="0079660E" w:rsidP="0079660E">
      <w:pPr>
        <w:pStyle w:val="ListParagraph"/>
        <w:numPr>
          <w:ilvl w:val="0"/>
          <w:numId w:val="17"/>
        </w:numPr>
      </w:pPr>
      <w:r w:rsidRPr="0079660E">
        <w:rPr>
          <w:b/>
          <w:bCs/>
        </w:rPr>
        <w:t>Legal/regulatory constraints.</w:t>
      </w:r>
      <w:r w:rsidRPr="0079660E">
        <w:t xml:space="preserve"> The data are public and aggregated; no personally identifiable information is used.</w:t>
      </w:r>
    </w:p>
    <w:p w14:paraId="582D89A5" w14:textId="7316D3BB" w:rsidR="0079660E" w:rsidRPr="0079660E" w:rsidRDefault="0079660E" w:rsidP="0079660E">
      <w:pPr>
        <w:pStyle w:val="ListParagraph"/>
        <w:numPr>
          <w:ilvl w:val="0"/>
          <w:numId w:val="17"/>
        </w:numPr>
      </w:pPr>
      <w:r w:rsidRPr="0079660E">
        <w:rPr>
          <w:b/>
          <w:bCs/>
        </w:rPr>
        <w:t>Presentation risks.</w:t>
      </w:r>
      <w:r w:rsidRPr="0079660E">
        <w:t xml:space="preserve"> Choropleths and rankings can stigmatize regions; I mitigate this by focusing on quartiles, ranges, and context notes.</w:t>
      </w:r>
    </w:p>
    <w:p w14:paraId="66065A80" w14:textId="5963D1D0" w:rsidR="0079660E" w:rsidRPr="0079660E" w:rsidRDefault="0079660E" w:rsidP="0079660E">
      <w:pPr>
        <w:pStyle w:val="ListParagraph"/>
        <w:numPr>
          <w:ilvl w:val="0"/>
          <w:numId w:val="17"/>
        </w:numPr>
      </w:pPr>
      <w:r w:rsidRPr="0079660E">
        <w:rPr>
          <w:b/>
          <w:bCs/>
        </w:rPr>
        <w:t>Assumptions disclosure.</w:t>
      </w:r>
      <w:r w:rsidRPr="0079660E">
        <w:t xml:space="preserve"> I clearly state that I use nominal dollars for consistency and discuss the trade-off versus a constant-dollar view.</w:t>
      </w:r>
    </w:p>
    <w:p w14:paraId="1CCADF5B" w14:textId="6A37F9D2" w:rsidR="0079660E" w:rsidRPr="0079660E" w:rsidRDefault="0079660E" w:rsidP="0079660E">
      <w:pPr>
        <w:pStyle w:val="ListParagraph"/>
        <w:numPr>
          <w:ilvl w:val="0"/>
          <w:numId w:val="17"/>
        </w:numPr>
      </w:pPr>
      <w:r w:rsidRPr="0079660E">
        <w:rPr>
          <w:b/>
          <w:bCs/>
        </w:rPr>
        <w:t>Filtering transparency.</w:t>
      </w:r>
      <w:r w:rsidRPr="0079660E">
        <w:t xml:space="preserve"> Any filter used in the visuals is visible to the audience (e.g., year, care type).</w:t>
      </w:r>
    </w:p>
    <w:p w14:paraId="2DE76D64" w14:textId="3AEF5044" w:rsidR="0079660E" w:rsidRPr="0079660E" w:rsidRDefault="0079660E" w:rsidP="0079660E">
      <w:pPr>
        <w:pStyle w:val="ListParagraph"/>
        <w:numPr>
          <w:ilvl w:val="0"/>
          <w:numId w:val="17"/>
        </w:numPr>
      </w:pPr>
      <w:r w:rsidRPr="0079660E">
        <w:rPr>
          <w:b/>
          <w:bCs/>
        </w:rPr>
        <w:t>Sourcing and credibility.</w:t>
      </w:r>
      <w:r w:rsidRPr="0079660E">
        <w:t xml:space="preserve"> All calculations are reproducible from the notebook and are traceable back to the NDCP fields.</w:t>
      </w:r>
    </w:p>
    <w:p w14:paraId="225C6C2C" w14:textId="548C147F" w:rsidR="0079660E" w:rsidRPr="0079660E" w:rsidRDefault="0079660E" w:rsidP="0079660E">
      <w:pPr>
        <w:pStyle w:val="ListParagraph"/>
        <w:numPr>
          <w:ilvl w:val="0"/>
          <w:numId w:val="17"/>
        </w:numPr>
      </w:pPr>
      <w:r w:rsidRPr="0079660E">
        <w:rPr>
          <w:b/>
          <w:bCs/>
        </w:rPr>
        <w:t>Mitigations.</w:t>
      </w:r>
      <w:r w:rsidRPr="0079660E">
        <w:t xml:space="preserve"> I include method notes, label nominal values, avoid over-precise claims, and provide multiple views (trend + ratio + state summaries) to reduce misinterpretation.</w:t>
      </w:r>
    </w:p>
    <w:p w14:paraId="2975F75E" w14:textId="53B6BB44" w:rsidR="009447F9" w:rsidRDefault="001F2256" w:rsidP="001F2256">
      <w:pPr>
        <w:pStyle w:val="Heading1"/>
      </w:pPr>
      <w:r w:rsidRPr="001F2256">
        <w:t>Lessons Learned</w:t>
      </w:r>
    </w:p>
    <w:p w14:paraId="5A900719" w14:textId="05F0E6C6" w:rsidR="001F2256" w:rsidRPr="001F2256" w:rsidRDefault="001F2256" w:rsidP="001F2256">
      <w:pPr>
        <w:pStyle w:val="ListParagraph"/>
        <w:numPr>
          <w:ilvl w:val="0"/>
          <w:numId w:val="19"/>
        </w:numPr>
      </w:pPr>
      <w:r w:rsidRPr="001F2256">
        <w:rPr>
          <w:b/>
          <w:bCs/>
        </w:rPr>
        <w:t>What I’d do differently next time.</w:t>
      </w:r>
      <w:r w:rsidRPr="001F2256">
        <w:t xml:space="preserve"> Decide on nominal vs. constant-dollar at the </w:t>
      </w:r>
      <w:proofErr w:type="gramStart"/>
      <w:r w:rsidRPr="001F2256">
        <w:t>start, and</w:t>
      </w:r>
      <w:proofErr w:type="gramEnd"/>
      <w:r w:rsidRPr="001F2256">
        <w:t xml:space="preserve"> consider population-weighted state rollups to better reflect where families live. I’d also prototype the LFPR analysis with matched child-age cohorts earlier to see if it strengthens the story.</w:t>
      </w:r>
    </w:p>
    <w:p w14:paraId="626D232C" w14:textId="099B373B" w:rsidR="001F2256" w:rsidRPr="001F2256" w:rsidRDefault="001F2256" w:rsidP="001F2256">
      <w:pPr>
        <w:pStyle w:val="ListParagraph"/>
        <w:numPr>
          <w:ilvl w:val="0"/>
          <w:numId w:val="19"/>
        </w:numPr>
      </w:pPr>
      <w:r w:rsidRPr="001F2256">
        <w:rPr>
          <w:b/>
          <w:bCs/>
        </w:rPr>
        <w:t>What I enjoyed most.</w:t>
      </w:r>
      <w:r w:rsidRPr="001F2256">
        <w:t xml:space="preserve"> Converging three mediums on one clear message. Turning a noisy, multi-year dataset into an approachable, shareable narrative—and seeing the final Tableau + infographic combo resonate—was the most satisfying part.</w:t>
      </w:r>
    </w:p>
    <w:p w14:paraId="65576734" w14:textId="77777777" w:rsidR="001F2256" w:rsidRPr="001F2256" w:rsidRDefault="001F2256" w:rsidP="001F2256"/>
    <w:p w14:paraId="7EB19E2F" w14:textId="473F698D" w:rsidR="00667B72" w:rsidRDefault="0058607A" w:rsidP="0065179C">
      <w:r>
        <w:t xml:space="preserve"> </w:t>
      </w:r>
    </w:p>
    <w:sectPr w:rsidR="00667B72" w:rsidSect="00E7426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90F2F"/>
    <w:multiLevelType w:val="hybridMultilevel"/>
    <w:tmpl w:val="507E7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6268EC"/>
    <w:multiLevelType w:val="multilevel"/>
    <w:tmpl w:val="F7F4E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795DFA"/>
    <w:multiLevelType w:val="hybridMultilevel"/>
    <w:tmpl w:val="20E2E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CE7ED0"/>
    <w:multiLevelType w:val="hybridMultilevel"/>
    <w:tmpl w:val="67D83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AA04C1"/>
    <w:multiLevelType w:val="hybridMultilevel"/>
    <w:tmpl w:val="07385B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8A7E3B"/>
    <w:multiLevelType w:val="hybridMultilevel"/>
    <w:tmpl w:val="C33A14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0A2743"/>
    <w:multiLevelType w:val="hybridMultilevel"/>
    <w:tmpl w:val="FE3AB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F3751A"/>
    <w:multiLevelType w:val="multilevel"/>
    <w:tmpl w:val="6D6EB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756B92"/>
    <w:multiLevelType w:val="multilevel"/>
    <w:tmpl w:val="2A80F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0440CA"/>
    <w:multiLevelType w:val="multilevel"/>
    <w:tmpl w:val="9D4E4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70702D"/>
    <w:multiLevelType w:val="multilevel"/>
    <w:tmpl w:val="661A6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A41933"/>
    <w:multiLevelType w:val="hybridMultilevel"/>
    <w:tmpl w:val="04685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ED635E"/>
    <w:multiLevelType w:val="hybridMultilevel"/>
    <w:tmpl w:val="97FE8E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D44AB5"/>
    <w:multiLevelType w:val="hybridMultilevel"/>
    <w:tmpl w:val="97A888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2E7AC2"/>
    <w:multiLevelType w:val="hybridMultilevel"/>
    <w:tmpl w:val="53181B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B41E80"/>
    <w:multiLevelType w:val="multilevel"/>
    <w:tmpl w:val="7E6A0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D452A4"/>
    <w:multiLevelType w:val="hybridMultilevel"/>
    <w:tmpl w:val="31481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D73011A"/>
    <w:multiLevelType w:val="multilevel"/>
    <w:tmpl w:val="F2C2C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460E35"/>
    <w:multiLevelType w:val="multilevel"/>
    <w:tmpl w:val="86E22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1800313">
    <w:abstractNumId w:val="10"/>
  </w:num>
  <w:num w:numId="2" w16cid:durableId="1810324822">
    <w:abstractNumId w:val="7"/>
  </w:num>
  <w:num w:numId="3" w16cid:durableId="36860218">
    <w:abstractNumId w:val="17"/>
  </w:num>
  <w:num w:numId="4" w16cid:durableId="1442915571">
    <w:abstractNumId w:val="18"/>
  </w:num>
  <w:num w:numId="5" w16cid:durableId="476144770">
    <w:abstractNumId w:val="8"/>
  </w:num>
  <w:num w:numId="6" w16cid:durableId="1675300113">
    <w:abstractNumId w:val="1"/>
  </w:num>
  <w:num w:numId="7" w16cid:durableId="1077049383">
    <w:abstractNumId w:val="15"/>
  </w:num>
  <w:num w:numId="8" w16cid:durableId="474176254">
    <w:abstractNumId w:val="9"/>
  </w:num>
  <w:num w:numId="9" w16cid:durableId="2038971339">
    <w:abstractNumId w:val="3"/>
  </w:num>
  <w:num w:numId="10" w16cid:durableId="294141205">
    <w:abstractNumId w:val="2"/>
  </w:num>
  <w:num w:numId="11" w16cid:durableId="917665613">
    <w:abstractNumId w:val="0"/>
  </w:num>
  <w:num w:numId="12" w16cid:durableId="1326320489">
    <w:abstractNumId w:val="12"/>
  </w:num>
  <w:num w:numId="13" w16cid:durableId="258686678">
    <w:abstractNumId w:val="11"/>
  </w:num>
  <w:num w:numId="14" w16cid:durableId="62797115">
    <w:abstractNumId w:val="13"/>
  </w:num>
  <w:num w:numId="15" w16cid:durableId="673149023">
    <w:abstractNumId w:val="6"/>
  </w:num>
  <w:num w:numId="16" w16cid:durableId="528033334">
    <w:abstractNumId w:val="5"/>
  </w:num>
  <w:num w:numId="17" w16cid:durableId="1966497196">
    <w:abstractNumId w:val="14"/>
  </w:num>
  <w:num w:numId="18" w16cid:durableId="96215405">
    <w:abstractNumId w:val="16"/>
  </w:num>
  <w:num w:numId="19" w16cid:durableId="4455860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461"/>
    <w:rsid w:val="00026335"/>
    <w:rsid w:val="000750E0"/>
    <w:rsid w:val="000F2A5B"/>
    <w:rsid w:val="0014131A"/>
    <w:rsid w:val="0015396E"/>
    <w:rsid w:val="00153DC8"/>
    <w:rsid w:val="00156B4E"/>
    <w:rsid w:val="001F2256"/>
    <w:rsid w:val="00204A26"/>
    <w:rsid w:val="002F2CB3"/>
    <w:rsid w:val="00441967"/>
    <w:rsid w:val="00481192"/>
    <w:rsid w:val="00487A44"/>
    <w:rsid w:val="00524F8F"/>
    <w:rsid w:val="005638C9"/>
    <w:rsid w:val="0058607A"/>
    <w:rsid w:val="005B7EA1"/>
    <w:rsid w:val="0065179C"/>
    <w:rsid w:val="00667B72"/>
    <w:rsid w:val="00733215"/>
    <w:rsid w:val="00747875"/>
    <w:rsid w:val="007931FA"/>
    <w:rsid w:val="0079660E"/>
    <w:rsid w:val="007E62D0"/>
    <w:rsid w:val="00831461"/>
    <w:rsid w:val="0089397A"/>
    <w:rsid w:val="008E5C08"/>
    <w:rsid w:val="00926C4B"/>
    <w:rsid w:val="009447F9"/>
    <w:rsid w:val="009932EE"/>
    <w:rsid w:val="009A0088"/>
    <w:rsid w:val="00A40096"/>
    <w:rsid w:val="00A4414B"/>
    <w:rsid w:val="00A44EA8"/>
    <w:rsid w:val="00A62DBD"/>
    <w:rsid w:val="00AC3980"/>
    <w:rsid w:val="00B317DB"/>
    <w:rsid w:val="00B9274B"/>
    <w:rsid w:val="00BB1D86"/>
    <w:rsid w:val="00BC2CEB"/>
    <w:rsid w:val="00BF4449"/>
    <w:rsid w:val="00C82537"/>
    <w:rsid w:val="00D413E5"/>
    <w:rsid w:val="00D72966"/>
    <w:rsid w:val="00D93A83"/>
    <w:rsid w:val="00E736EF"/>
    <w:rsid w:val="00E74269"/>
    <w:rsid w:val="00E94E1F"/>
    <w:rsid w:val="00EA5C67"/>
    <w:rsid w:val="00EE5DC0"/>
    <w:rsid w:val="00F004A6"/>
    <w:rsid w:val="00F96B0F"/>
    <w:rsid w:val="00FD6D36"/>
    <w:rsid w:val="00FE3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7FE86"/>
  <w15:chartTrackingRefBased/>
  <w15:docId w15:val="{35387714-C219-504B-85D9-19E72A54F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14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14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4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4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4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4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4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4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4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4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314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4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4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4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4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4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4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4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4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4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4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4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4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4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4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4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4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4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4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4C5E0B9-8353-F749-9E07-0DCC3F2D19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3</Pages>
  <Words>838</Words>
  <Characters>4987</Characters>
  <Application>Microsoft Office Word</Application>
  <DocSecurity>0</DocSecurity>
  <Lines>97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Zicheng Xu</dc:creator>
  <cp:keywords/>
  <dc:description/>
  <cp:lastModifiedBy>Zicheng Xu</cp:lastModifiedBy>
  <cp:revision>55</cp:revision>
  <dcterms:created xsi:type="dcterms:W3CDTF">2025-07-27T03:20:00Z</dcterms:created>
  <dcterms:modified xsi:type="dcterms:W3CDTF">2025-08-10T19:43:00Z</dcterms:modified>
</cp:coreProperties>
</file>