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 xml:space="preserve">The Pythagorean theorem: </w:t>
      </w:r>
      <m:oMath xmlns:m="http://schemas.openxmlformats.org/officeDocument/2006/math" xmlns:mml="http://www.w3.org/1998/Math/MathML">
        <m:sSup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>
      <w:r>
        <w:t xml:space="preserve">The Quadratic Formula: </w:t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on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4ac</m:t>
                </m:r>
              </m:e>
            </m:rad>
          </m:num>
          <m:den>
            <m:r>
              <m:rPr>
                <m:nor/>
              </m:rPr>
              <w:rPr>
                <w:rFonts w:ascii="Cambria Math" w:hAnsi="Cambria Math"/>
              </w:rPr>
              <m:t>2a</m:t>
            </m:r>
          </m:den>
        </m:f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2020-11-16T12:59:53Z</dcterms:created>
  <dc:creator>Apache POI</dc:creator>
</cp:coreProperties>
</file>