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REMM Master</w:t>
      </w:r>
    </w:p>
    <w:p>
      <w:pPr>
        <w:spacing w:after="60" w:before="0"/>
      </w:pPr>
      <w:r>
        <w:rPr>
          <w:rFonts w:ascii="Arial" w:cs="Arial" w:eastAsia="Arial" w:hAnsi="Arial"/>
          <w:color w:val="2E4057"/>
          <w:sz w:val="28"/>
          <w:szCs w:val="28"/>
        </w:rPr>
        <w:t xml:space="preserve">Data Governance Rules</w:t>
      </w:r>
    </w:p>
    <w:p>
      <w:pPr>
        <w:spacing w:after="30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Pune Divisional Office  |  Indian Oil Corporation Limited  |  June 2026</w:t>
      </w:r>
    </w:p>
    <w:p>
      <w:pPr>
        <w:pBdr>
          <w:bottom w:val="single" w:color="1F4E79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establishes data governance rules for the REMM Master file — the authoritative register of lease payment obligations for A-Site Retail Outlets in the Pune Divisional Office. These rules govern data entry, maintenance, quality assurance and database loading.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Data Ownership and Stewardship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REMM Master is owned by the Pune DO Retail Sales function.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Deputy General Manager (Retail Sales) is the Data Owner — responsible for accuracy and completeness.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REMM Master is the single source of truth for lease payment data. No parallel tracking in separate sheets is permitted.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changes to the REMM Master must be documented with date, changed-by and reason in the Remarks column.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Primary Key Integrity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Every row must have a valid REMM_ID before it can be loaded into the database.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REMM_ID is permanent and immutable once assigned. It cannot be changed even if other fields are updated.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REMM_ID containing FLAG in the Vendor segment indicates incomplete vendor data. Such rows may be loaded to the database but must not trigger payment processing until the FLAG is resolved.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REMM_ID containing PENDING in the Agreement segment indicates no executed agreement. Such rows must not trigger payment processing.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REMM_ID containing OWN in the Agreement segment indicates own land — no payment obligation exists.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Lease Status and Urgency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LEASE_STATUS_CODE is a computed field. It is never entered manually and never stored as a static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code is recalculated at every database access or dashboard load based on Lease Validity vs the current system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dashboard must display a notification alert for all S1 (Expired), S2 (Emergency) and S3 (Critical) records on every 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S2 Emergency threshold is 90 days. Any lease expiring within 90 days from today triggers S2 status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Govt Landlord rows (S7) are always displayed separately from date-based urgency rows. The renewal process for government land follows a different channel and timeline.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Field Population Rules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5.1 Mandatory Fields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following fields are mandatory for any row to be considered complete: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RDB CODE — must match a valid SAP code in the RO Master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RETAIL OUTLET NAME — must match RO List exactly (after normalisation)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REMM_ID — must be unique, no duplicates permitted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Agreement No — mandatory for all non-Own, non-Govt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Sub Agreement No — mandatory wherever Agreement No is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Vendor Code — mandatory for all rows with an agreement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Vendor Name — mandatory wherever Vendor Code is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Lease From — mandatory for all active agreements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Lease Validity — mandatory for all active agreements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Vendor PAN — mandatory for all vendors receiving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Bank IFSC Code — must be valid 11-character IFSC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Bank Account Number — must be stored as text string, not numeric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5.2 Conditional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Revised Rent — populated only where a formal supplementary agreement for rent revision exists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Action Plan / Action Taken / Target Date — populated for Expired (S1) and Emergency (S2) rows; blank for others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Legacy_RDB_Codes — populated for COCO outlets and any RO where SAP code has changed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5.3 Prohibited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Bank Account Numbers must never be stored in numeric or float format — text string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MICR codes (9-digit numeric) must never be entered in the IFSC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Grand total rows must never appear as data rows in the master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Embedded SAP codes in RO names are a workaround — they must be migrated to Legacy_RDB_Codes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New fields must not be added to the schema without substantial data to populate them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Data Quality Standards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6.1 Name Normalisation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name fields must conform to the normalisation rules defined in the Rules and Definitions document. Key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COCO outlets — ALL CAPS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other names — Title Case (first letter upper, rest lower)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Acronyms — ALL CAPS regardless of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Dot-separated initials — space after each dot (D. S. Bhosale)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Leading/trailing spaces — always stripped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Multiple internal spaces — collapsed to single space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6.2 IFSC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Valid IFSC format: 4 uppercase letters + 0 + 6 alphanumeric characters (11 chars total)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Any IFSC entry that does not match this pattern is flagged in Remarks as requiring fresh collection from vendor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MICR codes (9-digit numbers) that have been entered in IFSC fields must be replaced with valid IFSC codes obtained from a cancelled cheque or bank passbook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6.3 Lease Date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Lease From must always be earlier than Lease Validity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Current rent must not be lower than Initial Rent unless a formal Revised Rent entry exists with a documented supplementary agreement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Leases with 50-year duration (pre-1970 agreements) are valid under old land lease policy and are not treated as errors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6.4 Mutation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Mutation status must be verified from 7/12 extract (Satbara Utara) for all private lease and own land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Mutation is Not Applicable only for government/defence/PSU landlord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other cases carry 'To Be Done and Verified' until physical verification is completed and the field is updated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Remarks Column Protocol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Every data quality issue, pending action or exception is recorded in the Remarks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Multiple issues on the same row are separated by pipe character: Issue 1 | Issue 2 | Issue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When an issue is resolved, the corresponding Remarks entry is updated or removed — not left stale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Remarks entries follow standard language for consistency: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IFSC — MICR code entered, valid IFSC required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Bank A/c — corrected from float to text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Vendor Code — invalid, FLAG applied, fresh SAP Vendor Code required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Lease From — not populated, physical agreement required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Initial Rent — not populated, physical agreement required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Lease Validity — lapsed, renewal or legal action required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Agreement No — not populated, pending documentation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RO Name — truncated in SAP, verify and correct in SAP system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COCO and Legacy Code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COCO outlets in the REMM Master are identified by their original land-owning entity SAP code, not the current operative COCO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current operative SAP code must be recorded in the Legacy_RDB_Codes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When a new COCO assignment occurs, the Legacy_RDB_Codes field must be updated before the next database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COCO RO names in the master must be in ALL CAPS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Embedded SAP codes in RO names (e.g. '368608 COCO Astagaon') must be migrated to the Legacy_RDB_Codes field and removed from the name field in the next major revision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Database Load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REMM Master is exported as CSV before database loading. No other format is used for DB loading.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Row 219 (grand total row in source file) is permanently excluded from all exports and 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Rows with REMM_ID = NORDB-PENDING-FLAG-00 (blank row) are excluded from all exports and 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FLAG and PENDING rows are included in the export but flagged in the dashboard as incomplete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LEASE_STATUS_CODE column in the CSV export carries the value computed at time of export. The dashboard recomputes this dynamically and does not rely on the exported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Bank Account Numbers must be verified as text strings in the CSV before loading — any float or scientific notation in the export must be treated as a data error and corrected before load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Periodic Review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REMM Master must be reviewed and reconciled with REMM portal data at minimum once per quarter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Lease expiry dates must be checked at the start of each financial year and Action Plans populated for all S1 and S2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Any new A-Site RO commissioned must be added to the REMM Master within 30 days of commissioning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Any SAP code change or COCO transition must be reflected in the master within 7 days of the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Vendor KYC fields (PAN, IFSC, Bank Account) must be verified against actual payment confirmations at least annually</w:t>
      </w:r>
    </w:p>
    <w:p>
      <w:pPr>
        <w:spacing w:after="80" w:before="80"/>
      </w:pPr>
      <w:r>
        <w:t xml:space="preserve"/>
      </w:r>
    </w:p>
    <w:p>
      <w:pPr>
        <w:pBdr>
          <w:bottom w:val="single" w:color="1F4E79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Document prepared during REMM Master Sanitisation Session — June 2026  |  Pune Divisional Office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jc w:val="right"/>
    </w:pPr>
    <w:r>
      <w:rPr>
        <w:rFonts w:ascii="Arial" w:cs="Arial" w:eastAsia="Arial" w:hAnsi="Arial"/>
        <w:color w:val="2E4057"/>
        <w:sz w:val="16"/>
        <w:szCs w:val="16"/>
      </w:rPr>
      <w:t xml:space="preserve">Page </w:t>
    </w:r>
    <w:r>
      <w:rPr>
        <w:rFonts w:ascii="Arial" w:cs="Arial" w:eastAsia="Arial" w:hAnsi="Arial"/>
        <w:color w:val="2E405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2E4057"/>
        <w:sz w:val="16"/>
        <w:szCs w:val="16"/>
      </w:rPr>
      <w:t xml:space="preserve"> of </w:t>
    </w:r>
    <w:r>
      <w:rPr>
        <w:rFonts w:ascii="Arial" w:cs="Arial" w:eastAsia="Arial" w:hAnsi="Arial"/>
        <w:color w:val="2E405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rFonts w:ascii="Arial" w:cs="Arial" w:eastAsia="Arial" w:hAnsi="Arial"/>
        <w:b/>
        <w:bCs/>
        <w:color w:val="2E4057"/>
        <w:sz w:val="18"/>
        <w:szCs w:val="18"/>
      </w:rPr>
      <w:t xml:space="preserve">REMM Master — Data Governance Rules  |  Pune Divisional Office  |  IOCL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2026-06-08T12:17:45.332Z</dcterms:created>
  <dcterms:modified xsi:type="dcterms:W3CDTF">2026-06-08T12:17:45.332Z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