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80" w:before="200"/>
        <w:jc w:val="left"/>
      </w:pPr>
      <w:r>
        <w:rPr>
          <w:rFonts w:ascii="Arial" w:cs="Arial" w:eastAsia="Arial" w:hAnsi="Arial"/>
          <w:b/>
          <w:bCs/>
          <w:color w:val="1F4E79"/>
          <w:sz w:val="48"/>
          <w:szCs w:val="48"/>
        </w:rPr>
        <w:t xml:space="preserve">REMM Master</w:t>
      </w:r>
    </w:p>
    <w:p>
      <w:pPr>
        <w:spacing w:after="60" w:before="0"/>
        <w:jc w:val="left"/>
      </w:pPr>
      <w:r>
        <w:rPr>
          <w:rFonts w:ascii="Arial" w:cs="Arial" w:eastAsia="Arial" w:hAnsi="Arial"/>
          <w:color w:val="2E4057"/>
          <w:sz w:val="28"/>
          <w:szCs w:val="28"/>
        </w:rPr>
        <w:t xml:space="preserve">Sanitisation Session — Rules, Decisions &amp; Definitions</w:t>
      </w:r>
    </w:p>
    <w:p>
      <w:pPr>
        <w:spacing w:after="300" w:before="0"/>
        <w:jc w:val="left"/>
      </w:pPr>
      <w:r>
        <w:rPr>
          <w:rFonts w:ascii="Arial" w:cs="Arial" w:eastAsia="Arial" w:hAnsi="Arial"/>
          <w:i/>
          <w:iCs/>
          <w:color w:val="595959"/>
          <w:sz w:val="20"/>
          <w:szCs w:val="20"/>
        </w:rPr>
        <w:t xml:space="preserve">Pune Divisional Office  |  Indian Oil Corporation Limited  |  June 2026</w:t>
      </w:r>
    </w:p>
    <w:p>
      <w:pPr>
        <w:pBdr>
          <w:bottom w:val="single" w:color="1F4E79" w:sz="4" w:space="1"/>
        </w:pBdr>
        <w:spacing w:after="120" w:before="120"/>
      </w:pPr>
      <w:r>
        <w:t xml:space="preserve"/>
      </w:r>
    </w:p>
    <w:p>
      <w:pPr>
        <w:pStyle w:val="Heading1"/>
        <w:spacing w:after="120" w:before="280"/>
      </w:pPr>
      <w:r>
        <w:rPr>
          <w:rFonts w:ascii="Arial" w:cs="Arial" w:eastAsia="Arial" w:hAnsi="Arial"/>
          <w:b/>
          <w:bCs/>
          <w:color w:val="1F4E79"/>
          <w:sz w:val="28"/>
          <w:szCs w:val="28"/>
        </w:rPr>
        <w:t xml:space="preserve">1. Scope and Purpose</w:t>
      </w:r>
    </w:p>
    <w:p>
      <w:pPr>
        <w:spacing w:after="60" w:before="60"/>
      </w:pPr>
      <w:r>
        <w:rPr>
          <w:rFonts w:ascii="Arial" w:cs="Arial" w:eastAsia="Arial" w:hAnsi="Arial"/>
          <w:b w:val="false"/>
          <w:bCs w:val="false"/>
          <w:i w:val="false"/>
          <w:iCs w:val="false"/>
          <w:color w:val="000000"/>
          <w:sz w:val="20"/>
          <w:szCs w:val="20"/>
        </w:rPr>
        <w:t xml:space="preserve">This document records all rules, decisions and field definitions agreed during the REMM Master data sanitisation session conducted in June 2026. It governs how the REMM Master is structured, maintained and loaded into the PDO Dashboard database.</w:t>
      </w:r>
    </w:p>
    <w:p>
      <w:pPr>
        <w:spacing w:after="60" w:before="60"/>
      </w:pPr>
      <w:r>
        <w:rPr>
          <w:rFonts w:ascii="Arial" w:cs="Arial" w:eastAsia="Arial" w:hAnsi="Arial"/>
          <w:b w:val="false"/>
          <w:bCs w:val="false"/>
          <w:i w:val="false"/>
          <w:iCs w:val="false"/>
          <w:color w:val="000000"/>
          <w:sz w:val="20"/>
          <w:szCs w:val="20"/>
        </w:rPr>
        <w:t xml:space="preserve">The REMM Master covers all A-Site Retail Outlets (ROs) in the Pune Divisional Office jurisdiction — outlets where IOCL holds land title either through outright purchase or long-term lease. The file tracks lease agreements, vendor (landlord) details and monthly rent payments.</w:t>
      </w:r>
    </w:p>
    <w:p>
      <w:pPr>
        <w:spacing w:after="80" w:before="80"/>
      </w:pPr>
      <w:r>
        <w:t xml:space="preserve"/>
      </w:r>
    </w:p>
    <w:p>
      <w:pPr>
        <w:pStyle w:val="Heading1"/>
        <w:spacing w:after="120" w:before="280"/>
      </w:pPr>
      <w:r>
        <w:rPr>
          <w:rFonts w:ascii="Arial" w:cs="Arial" w:eastAsia="Arial" w:hAnsi="Arial"/>
          <w:b/>
          <w:bCs/>
          <w:color w:val="1F4E79"/>
          <w:sz w:val="28"/>
          <w:szCs w:val="28"/>
        </w:rPr>
        <w:t xml:space="preserve">2. Primary Key — REMM_ID</w:t>
      </w:r>
    </w:p>
    <w:p>
      <w:pPr>
        <w:spacing w:after="60" w:before="60"/>
      </w:pPr>
      <w:r>
        <w:rPr>
          <w:rFonts w:ascii="Arial" w:cs="Arial" w:eastAsia="Arial" w:hAnsi="Arial"/>
          <w:b w:val="false"/>
          <w:bCs w:val="false"/>
          <w:i w:val="false"/>
          <w:iCs w:val="false"/>
          <w:color w:val="000000"/>
          <w:sz w:val="20"/>
          <w:szCs w:val="20"/>
        </w:rPr>
        <w:t xml:space="preserve">Every row in the REMM Master is uniquely identified by a REMM_ID constructed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Segment</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rPr>
          <w:tblHeader w:val="false"/>
        </w:trP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RDB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SAP/RDB Code of RO</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125725</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6-digit SAP code</w:t>
            </w:r>
          </w:p>
        </w:tc>
      </w:tr>
      <w:tr>
        <w:trPr>
          <w:tblHeader w:val="false"/>
        </w:trPr>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Agreement Number</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32030003</w:t>
            </w:r>
          </w:p>
        </w:tc>
        <w:tc>
          <w:tcPr>
            <w:tcW w:type="dxa" w:w="3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 / GOVT / PENDING if no agreement</w:t>
            </w:r>
          </w:p>
        </w:tc>
      </w:tr>
      <w:tr>
        <w:trPr>
          <w:tblHeader w:val="false"/>
        </w:trP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VENDOR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SAP Vendor Code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10132960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FLAG if not available or invalid</w:t>
            </w:r>
          </w:p>
        </w:tc>
      </w:tr>
      <w:tr>
        <w:trPr>
          <w:tblHeader w:val="false"/>
        </w:trPr>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SEQ</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2-digit sequence</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01</w:t>
            </w:r>
          </w:p>
        </w:tc>
        <w:tc>
          <w:tcPr>
            <w:tcW w:type="dxa" w:w="33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Sub-Agreement suffix; 00 for OWN/GOVT/PENDING</w:t>
            </w:r>
          </w:p>
        </w:tc>
      </w:tr>
    </w:tbl>
    <w:p>
      <w:pPr>
        <w:spacing w:after="80" w:before="80"/>
      </w:pPr>
      <w:r>
        <w:t xml:space="preserve"/>
      </w:r>
    </w:p>
    <w:p>
      <w:pPr>
        <w:spacing w:after="60" w:before="60"/>
      </w:pPr>
      <w:r>
        <w:rPr>
          <w:rFonts w:ascii="Arial" w:cs="Arial" w:eastAsia="Arial" w:hAnsi="Arial"/>
          <w:b/>
          <w:bCs/>
          <w:i w:val="false"/>
          <w:iCs w:val="false"/>
          <w:color w:val="000000"/>
          <w:sz w:val="20"/>
          <w:szCs w:val="20"/>
        </w:rPr>
        <w:t xml:space="preserve">Full example: 125725-32030003-10132960-01</w:t>
      </w:r>
    </w:p>
    <w:p>
      <w:pPr>
        <w:spacing w:after="60" w:before="60"/>
      </w:pPr>
      <w:r>
        <w:rPr>
          <w:rFonts w:ascii="Arial" w:cs="Arial" w:eastAsia="Arial" w:hAnsi="Arial"/>
          <w:b w:val="false"/>
          <w:bCs w:val="false"/>
          <w:i w:val="false"/>
          <w:iCs w:val="false"/>
          <w:color w:val="000000"/>
          <w:sz w:val="20"/>
          <w:szCs w:val="20"/>
        </w:rPr>
        <w:t xml:space="preserve">The REMM_ID is a permanent key — it never changes once assigned. It is not a sequence number. It is not recalculated on re-sort.</w:t>
      </w:r>
    </w:p>
    <w:p>
      <w:pPr>
        <w:spacing w:after="80" w:before="80"/>
      </w:pPr>
      <w:r>
        <w:t xml:space="preserve"/>
      </w:r>
    </w:p>
    <w:p>
      <w:pPr>
        <w:pStyle w:val="Heading1"/>
        <w:spacing w:after="120" w:before="280"/>
      </w:pPr>
      <w:r>
        <w:rPr>
          <w:rFonts w:ascii="Arial" w:cs="Arial" w:eastAsia="Arial" w:hAnsi="Arial"/>
          <w:b/>
          <w:bCs/>
          <w:color w:val="1F4E79"/>
          <w:sz w:val="28"/>
          <w:szCs w:val="28"/>
        </w:rPr>
        <w:t xml:space="preserve">3. Lease Status Code (LEASE_STATUS_CODE)</w:t>
      </w:r>
    </w:p>
    <w:p>
      <w:pPr>
        <w:spacing w:after="60" w:before="60"/>
      </w:pPr>
      <w:r>
        <w:rPr>
          <w:rFonts w:ascii="Arial" w:cs="Arial" w:eastAsia="Arial" w:hAnsi="Arial"/>
          <w:b w:val="false"/>
          <w:bCs w:val="false"/>
          <w:i w:val="false"/>
          <w:iCs w:val="false"/>
          <w:color w:val="000000"/>
          <w:sz w:val="20"/>
          <w:szCs w:val="20"/>
        </w:rPr>
        <w:t xml:space="preserve">A dynamic computed field, recalculated at every database access or dashboard load based on Lease Validity vs the current date. Never stored as a static value. Drives the sort order of the master — S0 appears first, S8 last.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400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 Condition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rPr>
          <w:tblHeader w:val="false"/>
        </w:trP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 Land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Own/Lease = Own, no agreement</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Verify title documents on record</w:t>
            </w:r>
          </w:p>
        </w:tc>
      </w:tr>
      <w:tr>
        <w:trPr>
          <w:tblHeader w:val="false"/>
        </w:trPr>
        <w:tc>
          <w:tcPr>
            <w:tcW w:type="dxa" w:w="8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Expired</w:t>
            </w:r>
          </w:p>
        </w:tc>
        <w:tc>
          <w:tcPr>
            <w:tcW w:type="dxa" w:w="25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Lease Validity &lt; today</w:t>
            </w:r>
          </w:p>
        </w:tc>
        <w:tc>
          <w:tcPr>
            <w:tcW w:type="dxa" w:w="4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Immediate — renewal or legal action</w:t>
            </w:r>
          </w:p>
        </w:tc>
      </w:tr>
      <w:tr>
        <w:trPr>
          <w:tblHeader w:val="false"/>
        </w:trP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Emergency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today &lt;= Validity &lt; today + 90 days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Urgent — renewal must be active now</w:t>
            </w:r>
          </w:p>
        </w:tc>
      </w:tr>
      <w:tr>
        <w:trPr>
          <w:tblHeader w:val="false"/>
        </w:trPr>
        <w:tc>
          <w:tcPr>
            <w:tcW w:type="dxa" w:w="8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S3</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w:t>
            </w:r>
          </w:p>
        </w:tc>
        <w:tc>
          <w:tcPr>
            <w:tcW w:type="dxa" w:w="25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today + 90d &lt;= Validity &lt; today + 1yr</w:t>
            </w:r>
          </w:p>
        </w:tc>
        <w:tc>
          <w:tcPr>
            <w:tcW w:type="dxa" w:w="4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Renewal process must be initiated</w:t>
            </w:r>
          </w:p>
        </w:tc>
      </w:tr>
      <w:tr>
        <w:trPr>
          <w:tblHeader w:val="false"/>
        </w:trP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Warning</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year &lt;= Validity &lt; 3 years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 and initiate renewal</w:t>
            </w:r>
          </w:p>
        </w:tc>
      </w:tr>
      <w:tr>
        <w:trPr>
          <w:tblHeader w:val="false"/>
        </w:trPr>
        <w:tc>
          <w:tcPr>
            <w:tcW w:type="dxa" w:w="8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S5</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Watch</w:t>
            </w:r>
          </w:p>
        </w:tc>
        <w:tc>
          <w:tcPr>
            <w:tcW w:type="dxa" w:w="25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years &lt;= Validity &lt; 5 years</w:t>
            </w:r>
          </w:p>
        </w:tc>
        <w:tc>
          <w:tcPr>
            <w:tcW w:type="dxa" w:w="4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Schedule renewal in planning cycle</w:t>
            </w:r>
          </w:p>
        </w:tc>
      </w:tr>
      <w:tr>
        <w:trPr>
          <w:tblHeader w:val="false"/>
        </w:trP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S6</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Validity &gt;= today + 5 years</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Routine monitoring</w:t>
            </w:r>
          </w:p>
        </w:tc>
      </w:tr>
      <w:tr>
        <w:trPr>
          <w:tblHeader w:val="false"/>
        </w:trPr>
        <w:tc>
          <w:tcPr>
            <w:tcW w:type="dxa" w:w="8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S7</w:t>
            </w:r>
          </w:p>
        </w:tc>
        <w:tc>
          <w:tcPr>
            <w:tcW w:type="dxa" w:w="2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Govt Landlord</w:t>
            </w:r>
          </w:p>
        </w:tc>
        <w:tc>
          <w:tcPr>
            <w:tcW w:type="dxa" w:w="256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Govt/Pvt = Govt</w:t>
            </w:r>
          </w:p>
        </w:tc>
        <w:tc>
          <w:tcPr>
            <w:tcW w:type="dxa" w:w="4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process — DEO/MoD/Govt channel</w:t>
            </w:r>
          </w:p>
        </w:tc>
      </w:tr>
      <w:tr>
        <w:trPr>
          <w:tblHeader w:val="false"/>
        </w:trP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S8</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agreement and no vendor data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Collect and populate — do not process payments</w:t>
            </w:r>
          </w:p>
        </w:tc>
      </w:tr>
    </w:tbl>
    <w:p>
      <w:pPr>
        <w:spacing w:after="80" w:before="80"/>
      </w:pPr>
      <w:r>
        <w:t xml:space="preserve"/>
      </w:r>
    </w:p>
    <w:p>
      <w:pPr>
        <w:pStyle w:val="Heading1"/>
        <w:spacing w:after="120" w:before="280"/>
      </w:pPr>
      <w:r>
        <w:rPr>
          <w:rFonts w:ascii="Arial" w:cs="Arial" w:eastAsia="Arial" w:hAnsi="Arial"/>
          <w:b/>
          <w:bCs/>
          <w:color w:val="1F4E79"/>
          <w:sz w:val="28"/>
          <w:szCs w:val="28"/>
        </w:rPr>
        <w:t xml:space="preserve">4. Field Definitions</w:t>
      </w:r>
    </w:p>
    <w:p>
      <w:pPr>
        <w:pStyle w:val="Heading2"/>
        <w:spacing w:after="80" w:before="200"/>
      </w:pPr>
      <w:r>
        <w:rPr>
          <w:rFonts w:ascii="Arial" w:cs="Arial" w:eastAsia="Arial" w:hAnsi="Arial"/>
          <w:b/>
          <w:bCs/>
          <w:color w:val="2E4057"/>
          <w:sz w:val="22"/>
          <w:szCs w:val="22"/>
        </w:rPr>
        <w:t xml:space="preserve">4.1 Agreement Status</w:t>
      </w:r>
    </w:p>
    <w:p>
      <w:pPr>
        <w:spacing w:after="60" w:before="60"/>
      </w:pPr>
      <w:r>
        <w:rPr>
          <w:rFonts w:ascii="Arial" w:cs="Arial" w:eastAsia="Arial" w:hAnsi="Arial"/>
          <w:b w:val="false"/>
          <w:bCs w:val="false"/>
          <w:i w:val="false"/>
          <w:iCs w:val="false"/>
          <w:color w:val="000000"/>
          <w:sz w:val="20"/>
          <w:szCs w:val="20"/>
        </w:rPr>
        <w:t xml:space="preserve">Populated automatically from lease dates and land classification. Six values:</w:t>
      </w:r>
    </w:p>
    <w:p>
      <w:pPr>
        <w:pStyle w:val="ListParagraph"/>
        <w:numPr>
          <w:ilvl w:val="0"/>
          <w:numId w:val="2"/>
        </w:numPr>
        <w:spacing w:after="40" w:before="40"/>
      </w:pPr>
      <w:r>
        <w:rPr>
          <w:rFonts w:ascii="Arial" w:cs="Arial" w:eastAsia="Arial" w:hAnsi="Arial"/>
          <w:color w:val="000000"/>
          <w:sz w:val="20"/>
          <w:szCs w:val="20"/>
        </w:rPr>
        <w:t xml:space="preserve">Active — Lease Validity in future, agreement in force</w:t>
      </w:r>
    </w:p>
    <w:p>
      <w:pPr>
        <w:pStyle w:val="ListParagraph"/>
        <w:numPr>
          <w:ilvl w:val="0"/>
          <w:numId w:val="2"/>
        </w:numPr>
        <w:spacing w:after="40" w:before="40"/>
      </w:pPr>
      <w:r>
        <w:rPr>
          <w:rFonts w:ascii="Arial" w:cs="Arial" w:eastAsia="Arial" w:hAnsi="Arial"/>
          <w:color w:val="000000"/>
          <w:sz w:val="20"/>
          <w:szCs w:val="20"/>
        </w:rPr>
        <w:t xml:space="preserve">Expired — Lease Validity has passed</w:t>
      </w:r>
    </w:p>
    <w:p>
      <w:pPr>
        <w:pStyle w:val="ListParagraph"/>
        <w:numPr>
          <w:ilvl w:val="0"/>
          <w:numId w:val="2"/>
        </w:numPr>
        <w:spacing w:after="40" w:before="40"/>
      </w:pPr>
      <w:r>
        <w:rPr>
          <w:rFonts w:ascii="Arial" w:cs="Arial" w:eastAsia="Arial" w:hAnsi="Arial"/>
          <w:color w:val="000000"/>
          <w:sz w:val="20"/>
          <w:szCs w:val="20"/>
        </w:rPr>
        <w:t xml:space="preserve">Govt — Active — Government landlord, validity in future</w:t>
      </w:r>
    </w:p>
    <w:p>
      <w:pPr>
        <w:pStyle w:val="ListParagraph"/>
        <w:numPr>
          <w:ilvl w:val="0"/>
          <w:numId w:val="2"/>
        </w:numPr>
        <w:spacing w:after="40" w:before="40"/>
      </w:pPr>
      <w:r>
        <w:rPr>
          <w:rFonts w:ascii="Arial" w:cs="Arial" w:eastAsia="Arial" w:hAnsi="Arial"/>
          <w:color w:val="000000"/>
          <w:sz w:val="20"/>
          <w:szCs w:val="20"/>
        </w:rPr>
        <w:t xml:space="preserve">Govt — Validity Lapsed — Government landlord, validity has passed</w:t>
      </w:r>
    </w:p>
    <w:p>
      <w:pPr>
        <w:pStyle w:val="ListParagraph"/>
        <w:numPr>
          <w:ilvl w:val="0"/>
          <w:numId w:val="2"/>
        </w:numPr>
        <w:spacing w:after="40" w:before="40"/>
      </w:pPr>
      <w:r>
        <w:rPr>
          <w:rFonts w:ascii="Arial" w:cs="Arial" w:eastAsia="Arial" w:hAnsi="Arial"/>
          <w:color w:val="000000"/>
          <w:sz w:val="20"/>
          <w:szCs w:val="20"/>
        </w:rPr>
        <w:t xml:space="preserve">Own Land — Outright purchase, no lease agreement</w:t>
      </w:r>
    </w:p>
    <w:p>
      <w:pPr>
        <w:pStyle w:val="ListParagraph"/>
        <w:numPr>
          <w:ilvl w:val="0"/>
          <w:numId w:val="2"/>
        </w:numPr>
        <w:spacing w:after="40" w:before="40"/>
      </w:pPr>
      <w:r>
        <w:rPr>
          <w:rFonts w:ascii="Arial" w:cs="Arial" w:eastAsia="Arial" w:hAnsi="Arial"/>
          <w:color w:val="000000"/>
          <w:sz w:val="20"/>
          <w:szCs w:val="20"/>
        </w:rPr>
        <w:t xml:space="preserve">Pending — No agreement or data not yet populated</w:t>
      </w:r>
    </w:p>
    <w:p>
      <w:pPr>
        <w:spacing w:after="80" w:before="80"/>
      </w:pPr>
      <w:r>
        <w:t xml:space="preserve"/>
      </w:r>
    </w:p>
    <w:p>
      <w:pPr>
        <w:pStyle w:val="Heading2"/>
        <w:spacing w:after="80" w:before="200"/>
      </w:pPr>
      <w:r>
        <w:rPr>
          <w:rFonts w:ascii="Arial" w:cs="Arial" w:eastAsia="Arial" w:hAnsi="Arial"/>
          <w:b/>
          <w:bCs/>
          <w:color w:val="2E4057"/>
          <w:sz w:val="22"/>
          <w:szCs w:val="22"/>
        </w:rPr>
        <w:t xml:space="preserve">4.2 Mutation</w:t>
      </w:r>
    </w:p>
    <w:p>
      <w:pPr>
        <w:spacing w:after="60" w:before="60"/>
      </w:pPr>
      <w:r>
        <w:rPr>
          <w:rFonts w:ascii="Arial" w:cs="Arial" w:eastAsia="Arial" w:hAnsi="Arial"/>
          <w:b w:val="false"/>
          <w:bCs w:val="false"/>
          <w:i w:val="false"/>
          <w:iCs w:val="false"/>
          <w:color w:val="000000"/>
          <w:sz w:val="20"/>
          <w:szCs w:val="20"/>
        </w:rPr>
        <w:t xml:space="preserve">Records Dakhil-Kharij (revenue record) status for the land. Two values:</w:t>
      </w:r>
    </w:p>
    <w:p>
      <w:pPr>
        <w:pStyle w:val="ListParagraph"/>
        <w:numPr>
          <w:ilvl w:val="0"/>
          <w:numId w:val="2"/>
        </w:numPr>
        <w:spacing w:after="40" w:before="40"/>
      </w:pPr>
      <w:r>
        <w:rPr>
          <w:rFonts w:ascii="Arial" w:cs="Arial" w:eastAsia="Arial" w:hAnsi="Arial"/>
          <w:color w:val="000000"/>
          <w:sz w:val="20"/>
          <w:szCs w:val="20"/>
        </w:rPr>
        <w:t xml:space="preserve">Not Applicable — Government/Defence/PSU landlord (7/12 mutation not relevant)</w:t>
      </w:r>
    </w:p>
    <w:p>
      <w:pPr>
        <w:pStyle w:val="ListParagraph"/>
        <w:numPr>
          <w:ilvl w:val="0"/>
          <w:numId w:val="2"/>
        </w:numPr>
        <w:spacing w:after="40" w:before="40"/>
      </w:pPr>
      <w:r>
        <w:rPr>
          <w:rFonts w:ascii="Arial" w:cs="Arial" w:eastAsia="Arial" w:hAnsi="Arial"/>
          <w:color w:val="000000"/>
          <w:sz w:val="20"/>
          <w:szCs w:val="20"/>
        </w:rPr>
        <w:t xml:space="preserve">To Be Done and Verified — All other cases including Own Land (mutation required in revenue records)</w:t>
      </w:r>
    </w:p>
    <w:p>
      <w:pPr>
        <w:spacing w:after="80" w:before="80"/>
      </w:pPr>
      <w:r>
        <w:t xml:space="preserve"/>
      </w:r>
    </w:p>
    <w:p>
      <w:pPr>
        <w:pStyle w:val="Heading2"/>
        <w:spacing w:after="80" w:before="200"/>
      </w:pPr>
      <w:r>
        <w:rPr>
          <w:rFonts w:ascii="Arial" w:cs="Arial" w:eastAsia="Arial" w:hAnsi="Arial"/>
          <w:b/>
          <w:bCs/>
          <w:color w:val="2E4057"/>
          <w:sz w:val="22"/>
          <w:szCs w:val="22"/>
        </w:rPr>
        <w:t xml:space="preserve">4.3 Action Plan / Action Taken / Target Date</w:t>
      </w:r>
    </w:p>
    <w:p>
      <w:pPr>
        <w:spacing w:after="60" w:before="60"/>
      </w:pPr>
      <w:r>
        <w:rPr>
          <w:rFonts w:ascii="Arial" w:cs="Arial" w:eastAsia="Arial" w:hAnsi="Arial"/>
          <w:b w:val="false"/>
          <w:bCs w:val="false"/>
          <w:i w:val="false"/>
          <w:iCs w:val="false"/>
          <w:color w:val="000000"/>
          <w:sz w:val="20"/>
          <w:szCs w:val="20"/>
        </w:rPr>
        <w:t xml:space="preserve">Three user-maintained columns. Exist for all rows but are meaningful primarily for Expired (S1) and Emergency (S2) cases. Updated by user or via mass status upload. Never auto-populated by system.</w:t>
      </w:r>
    </w:p>
    <w:p>
      <w:pPr>
        <w:spacing w:after="80" w:before="80"/>
      </w:pPr>
      <w:r>
        <w:t xml:space="preserve"/>
      </w:r>
    </w:p>
    <w:p>
      <w:pPr>
        <w:pStyle w:val="Heading2"/>
        <w:spacing w:after="80" w:before="200"/>
      </w:pPr>
      <w:r>
        <w:rPr>
          <w:rFonts w:ascii="Arial" w:cs="Arial" w:eastAsia="Arial" w:hAnsi="Arial"/>
          <w:b/>
          <w:bCs/>
          <w:color w:val="2E4057"/>
          <w:sz w:val="22"/>
          <w:szCs w:val="22"/>
        </w:rPr>
        <w:t xml:space="preserve">4.4 Revised Rent</w:t>
      </w:r>
    </w:p>
    <w:p>
      <w:pPr>
        <w:spacing w:after="60" w:before="60"/>
      </w:pPr>
      <w:r>
        <w:rPr>
          <w:rFonts w:ascii="Arial" w:cs="Arial" w:eastAsia="Arial" w:hAnsi="Arial"/>
          <w:b w:val="false"/>
          <w:bCs w:val="false"/>
          <w:i w:val="false"/>
          <w:iCs w:val="false"/>
          <w:color w:val="000000"/>
          <w:sz w:val="20"/>
          <w:szCs w:val="20"/>
        </w:rPr>
        <w:t xml:space="preserve">Populated only where a formal rent revision has been executed via supplementary agreement. Blank for all other rows. Represents the revised base from which current escalations are computed. Different from Initial Rent (which records the original inception rent).</w:t>
      </w:r>
    </w:p>
    <w:p>
      <w:pPr>
        <w:spacing w:after="80" w:before="80"/>
      </w:pPr>
      <w:r>
        <w:t xml:space="preserve"/>
      </w:r>
    </w:p>
    <w:p>
      <w:pPr>
        <w:pStyle w:val="Heading2"/>
        <w:spacing w:after="80" w:before="200"/>
      </w:pPr>
      <w:r>
        <w:rPr>
          <w:rFonts w:ascii="Arial" w:cs="Arial" w:eastAsia="Arial" w:hAnsi="Arial"/>
          <w:b/>
          <w:bCs/>
          <w:color w:val="2E4057"/>
          <w:sz w:val="22"/>
          <w:szCs w:val="22"/>
        </w:rPr>
        <w:t xml:space="preserve">4.5 Govt/Pvt</w:t>
      </w:r>
    </w:p>
    <w:p>
      <w:pPr>
        <w:spacing w:after="60" w:before="60"/>
      </w:pPr>
      <w:r>
        <w:rPr>
          <w:rFonts w:ascii="Arial" w:cs="Arial" w:eastAsia="Arial" w:hAnsi="Arial"/>
          <w:b w:val="false"/>
          <w:bCs w:val="false"/>
          <w:i w:val="false"/>
          <w:iCs w:val="false"/>
          <w:color w:val="000000"/>
          <w:sz w:val="20"/>
          <w:szCs w:val="20"/>
        </w:rPr>
        <w:t xml:space="preserve">Three values only:</w:t>
      </w:r>
    </w:p>
    <w:p>
      <w:pPr>
        <w:pStyle w:val="ListParagraph"/>
        <w:numPr>
          <w:ilvl w:val="0"/>
          <w:numId w:val="2"/>
        </w:numPr>
        <w:spacing w:after="40" w:before="40"/>
      </w:pPr>
      <w:r>
        <w:rPr>
          <w:rFonts w:ascii="Arial" w:cs="Arial" w:eastAsia="Arial" w:hAnsi="Arial"/>
          <w:color w:val="000000"/>
          <w:sz w:val="20"/>
          <w:szCs w:val="20"/>
        </w:rPr>
        <w:t xml:space="preserve">Own Land — Title with IOCL, outright purchase</w:t>
      </w:r>
    </w:p>
    <w:p>
      <w:pPr>
        <w:pStyle w:val="ListParagraph"/>
        <w:numPr>
          <w:ilvl w:val="0"/>
          <w:numId w:val="2"/>
        </w:numPr>
        <w:spacing w:after="40" w:before="40"/>
      </w:pPr>
      <w:r>
        <w:rPr>
          <w:rFonts w:ascii="Arial" w:cs="Arial" w:eastAsia="Arial" w:hAnsi="Arial"/>
          <w:color w:val="000000"/>
          <w:sz w:val="20"/>
          <w:szCs w:val="20"/>
        </w:rPr>
        <w:t xml:space="preserve">Govt — Landlord is a government, defence, or PSU entity</w:t>
      </w:r>
    </w:p>
    <w:p>
      <w:pPr>
        <w:pStyle w:val="ListParagraph"/>
        <w:numPr>
          <w:ilvl w:val="0"/>
          <w:numId w:val="2"/>
        </w:numPr>
        <w:spacing w:after="40" w:before="40"/>
      </w:pPr>
      <w:r>
        <w:rPr>
          <w:rFonts w:ascii="Arial" w:cs="Arial" w:eastAsia="Arial" w:hAnsi="Arial"/>
          <w:color w:val="000000"/>
          <w:sz w:val="20"/>
          <w:szCs w:val="20"/>
        </w:rPr>
        <w:t xml:space="preserve">Private — All other lease cases (private individual or corporate landlord)</w:t>
      </w:r>
    </w:p>
    <w:p>
      <w:pPr>
        <w:spacing w:after="80" w:before="80"/>
      </w:pPr>
      <w:r>
        <w:t xml:space="preserve"/>
      </w:r>
    </w:p>
    <w:p>
      <w:pPr>
        <w:pStyle w:val="Heading2"/>
        <w:spacing w:after="80" w:before="200"/>
      </w:pPr>
      <w:r>
        <w:rPr>
          <w:rFonts w:ascii="Arial" w:cs="Arial" w:eastAsia="Arial" w:hAnsi="Arial"/>
          <w:b/>
          <w:bCs/>
          <w:color w:val="2E4057"/>
          <w:sz w:val="22"/>
          <w:szCs w:val="22"/>
        </w:rPr>
        <w:t xml:space="preserve">4.6 Legacy_RDB_Codes</w:t>
      </w:r>
    </w:p>
    <w:p>
      <w:pPr>
        <w:spacing w:after="60" w:before="60"/>
      </w:pPr>
      <w:r>
        <w:rPr>
          <w:rFonts w:ascii="Arial" w:cs="Arial" w:eastAsia="Arial" w:hAnsi="Arial"/>
          <w:b w:val="false"/>
          <w:bCs w:val="false"/>
          <w:i w:val="false"/>
          <w:iCs w:val="false"/>
          <w:color w:val="000000"/>
          <w:sz w:val="20"/>
          <w:szCs w:val="20"/>
        </w:rPr>
        <w:t xml:space="preserve">Pipe-separated field carrying historical SAP codes for ROs where the SAP code has changed. Pre-populated for COCO outlets from embedded codes in name fields. Blank for all others at this stage. User-maintained going forward.</w:t>
      </w:r>
    </w:p>
    <w:p>
      <w:pPr>
        <w:spacing w:after="80" w:before="80"/>
      </w:pPr>
      <w:r>
        <w:t xml:space="preserve"/>
      </w:r>
    </w:p>
    <w:p>
      <w:pPr>
        <w:pStyle w:val="Heading2"/>
        <w:spacing w:after="80" w:before="200"/>
      </w:pPr>
      <w:r>
        <w:rPr>
          <w:rFonts w:ascii="Arial" w:cs="Arial" w:eastAsia="Arial" w:hAnsi="Arial"/>
          <w:b/>
          <w:bCs/>
          <w:color w:val="2E4057"/>
          <w:sz w:val="22"/>
          <w:szCs w:val="22"/>
        </w:rPr>
        <w:t xml:space="preserve">4.7 Remarks</w:t>
      </w:r>
    </w:p>
    <w:p>
      <w:pPr>
        <w:spacing w:after="60" w:before="60"/>
      </w:pPr>
      <w:r>
        <w:rPr>
          <w:rFonts w:ascii="Arial" w:cs="Arial" w:eastAsia="Arial" w:hAnsi="Arial"/>
          <w:b w:val="false"/>
          <w:bCs w:val="false"/>
          <w:i w:val="false"/>
          <w:iCs w:val="false"/>
          <w:color w:val="000000"/>
          <w:sz w:val="20"/>
          <w:szCs w:val="20"/>
        </w:rPr>
        <w:t xml:space="preserve">Single pipe-separated column at end of every row. Auto-populated during sanitisation for all known issues. User-editable for action updates. Blank = clean record. Multiple issues on same row joined with | separator.</w:t>
      </w:r>
    </w:p>
    <w:p>
      <w:pPr>
        <w:spacing w:after="80" w:before="80"/>
      </w:pPr>
      <w:r>
        <w:t xml:space="preserve"/>
      </w:r>
    </w:p>
    <w:p>
      <w:pPr>
        <w:pStyle w:val="Heading1"/>
        <w:spacing w:after="120" w:before="280"/>
      </w:pPr>
      <w:r>
        <w:rPr>
          <w:rFonts w:ascii="Arial" w:cs="Arial" w:eastAsia="Arial" w:hAnsi="Arial"/>
          <w:b/>
          <w:bCs/>
          <w:color w:val="1F4E79"/>
          <w:sz w:val="28"/>
          <w:szCs w:val="28"/>
        </w:rPr>
        <w:t xml:space="preserve">5. Name Normalisation Rules</w:t>
      </w:r>
    </w:p>
    <w:p>
      <w:pPr>
        <w:spacing w:after="60" w:before="60"/>
      </w:pPr>
      <w:r>
        <w:rPr>
          <w:rFonts w:ascii="Arial" w:cs="Arial" w:eastAsia="Arial" w:hAnsi="Arial"/>
          <w:b w:val="false"/>
          <w:bCs w:val="false"/>
          <w:i w:val="false"/>
          <w:iCs w:val="false"/>
          <w:color w:val="000000"/>
          <w:sz w:val="20"/>
          <w:szCs w:val="20"/>
        </w:rPr>
        <w:t xml:space="preserve">Applies to: RETAIL OUTLET NAME, Vendor Name, Name on PAN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680"/>
        <w:gridCol w:w="3280"/>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Rule</w:t>
            </w:r>
          </w:p>
        </w:tc>
        <w:tc>
          <w:tcPr>
            <w:tcW w:type="dxa" w:w="2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 (Before)</w:t>
            </w:r>
          </w:p>
        </w:tc>
        <w:tc>
          <w:tcPr>
            <w:tcW w:type="dxa" w:w="3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 (After)</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COCO entries — ALL CAPS throughout</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COCO Rajgurunagar</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COCO RAJGURUNAGAR</w:t>
            </w:r>
          </w:p>
        </w:tc>
      </w:tr>
      <w:tr>
        <w:trPr>
          <w:tblHeader w:val="false"/>
        </w:trPr>
        <w:tc>
          <w:tcPr>
            <w:tcW w:type="dxa" w:w="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other RO/Vendor names — Title Case (first letter upper, rest lower)</w:t>
            </w:r>
          </w:p>
        </w:tc>
        <w:tc>
          <w:tcPr>
            <w:tcW w:type="dxa" w:w="26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NATIONAL PETROLEUM</w:t>
            </w:r>
          </w:p>
        </w:tc>
        <w:tc>
          <w:tcPr>
            <w:tcW w:type="dxa" w:w="32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National Petroleum</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Acronyms — ALL CAPS (APMC, KSK, SSK, HSD, MS, LTD, PVT, MKT etc.)</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BAFNA BROTHERS (HSD)</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Bafna Brothers (HSD)</w:t>
            </w:r>
          </w:p>
        </w:tc>
      </w:tr>
      <w:tr>
        <w:trPr>
          <w:tblHeader w:val="false"/>
        </w:trPr>
        <w:tc>
          <w:tcPr>
            <w:tcW w:type="dxa" w:w="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Dot-separated initials — space after each dot</w:t>
            </w:r>
          </w:p>
        </w:tc>
        <w:tc>
          <w:tcPr>
            <w:tcW w:type="dxa" w:w="26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D.S.BHOSALE</w:t>
            </w:r>
          </w:p>
        </w:tc>
        <w:tc>
          <w:tcPr>
            <w:tcW w:type="dxa" w:w="32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 S. Bhosale</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ADHOC in non-COCO context — Title Case</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ADHOC</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Adhoc</w:t>
            </w:r>
          </w:p>
        </w:tc>
      </w:tr>
      <w:tr>
        <w:trPr>
          <w:tblHeader w:val="false"/>
        </w:trPr>
        <w:tc>
          <w:tcPr>
            <w:tcW w:type="dxa" w:w="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TAL. abbreviation — expand to full word</w:t>
            </w:r>
          </w:p>
        </w:tc>
        <w:tc>
          <w:tcPr>
            <w:tcW w:type="dxa" w:w="26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PATAN TAL. SKVS</w:t>
            </w:r>
          </w:p>
        </w:tc>
        <w:tc>
          <w:tcPr>
            <w:tcW w:type="dxa" w:w="32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Patan Taluka SKVS</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MKT — expand to Market</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AGRICULTURAL PRODUCE MKT COMMITTEE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Agricultural Produce Market Committee</w:t>
            </w:r>
          </w:p>
        </w:tc>
      </w:tr>
      <w:tr>
        <w:trPr>
          <w:tblHeader w:val="false"/>
        </w:trPr>
        <w:tc>
          <w:tcPr>
            <w:tcW w:type="dxa" w:w="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Honorifics: SHRI, SMT, DR, ADV — Title Case</w:t>
            </w:r>
          </w:p>
        </w:tc>
        <w:tc>
          <w:tcPr>
            <w:tcW w:type="dxa" w:w="26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SHRI KRISHNA PETROLEUM</w:t>
            </w:r>
          </w:p>
        </w:tc>
        <w:tc>
          <w:tcPr>
            <w:tcW w:type="dxa" w:w="32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Shri Krishna Petroleum</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LT.COL. — apply dot rule</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LT.COL.PRAKASH PATIL</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 Col. Prakash Patil</w:t>
            </w:r>
          </w:p>
        </w:tc>
      </w:tr>
      <w:tr>
        <w:trPr>
          <w:tblHeader w:val="false"/>
        </w:trPr>
        <w:tc>
          <w:tcPr>
            <w:tcW w:type="dxa" w:w="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Leading/trailing spaces — strip</w:t>
            </w:r>
          </w:p>
        </w:tc>
        <w:tc>
          <w:tcPr>
            <w:tcW w:type="dxa" w:w="26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NATIONAL PETROLEUM '</w:t>
            </w:r>
          </w:p>
        </w:tc>
        <w:tc>
          <w:tcPr>
            <w:tcW w:type="dxa" w:w="32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National Petroleum</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Multiple internal spaces — collapse to single</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LALASAHEB  DNYANOBA  BANDAL</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Lalasaheb Dnyanoba Bandal</w:t>
            </w:r>
          </w:p>
        </w:tc>
      </w:tr>
      <w:tr>
        <w:trPr>
          <w:tblHeader w:val="false"/>
        </w:trPr>
        <w:tc>
          <w:tcPr>
            <w:tcW w:type="dxa" w:w="4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w:t>
            </w:r>
          </w:p>
        </w:tc>
        <w:tc>
          <w:tcPr>
            <w:tcW w:type="dxa" w:w="300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&amp; in names — retain as &amp;, do not expand</w:t>
            </w:r>
          </w:p>
        </w:tc>
        <w:tc>
          <w:tcPr>
            <w:tcW w:type="dxa" w:w="26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PATIL &amp; SONS</w:t>
            </w:r>
          </w:p>
        </w:tc>
        <w:tc>
          <w:tcPr>
            <w:tcW w:type="dxa" w:w="3280"/>
            <w:tcBorders>
              <w:top w:val="single" w:color="BFBFBF" w:sz="1"/>
              <w:left w:val="single" w:color="BFBFBF" w:sz="1"/>
              <w:bottom w:val="single" w:color="BFBFBF" w:sz="1"/>
              <w:right w:val="single" w:color="BFBFBF"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Patil &amp; Sons</w:t>
            </w:r>
          </w:p>
        </w:tc>
      </w:tr>
      <w:tr>
        <w:trPr>
          <w:tblHeader w:val="false"/>
        </w:trP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entry errors — correct where confirmed</w:t>
            </w:r>
          </w:p>
        </w:tc>
        <w:tc>
          <w:tcPr>
            <w:tcW w:type="dxa" w:w="2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POONAMPETROLEUMCO.</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Poonam Petroleum Co.</w:t>
            </w:r>
          </w:p>
        </w:tc>
      </w:tr>
    </w:tbl>
    <w:p>
      <w:pPr>
        <w:spacing w:after="80" w:before="80"/>
      </w:pPr>
      <w:r>
        <w:t xml:space="preserve"/>
      </w:r>
    </w:p>
    <w:p>
      <w:pPr>
        <w:pStyle w:val="Heading1"/>
        <w:spacing w:after="120" w:before="280"/>
      </w:pPr>
      <w:r>
        <w:rPr>
          <w:rFonts w:ascii="Arial" w:cs="Arial" w:eastAsia="Arial" w:hAnsi="Arial"/>
          <w:b/>
          <w:bCs/>
          <w:color w:val="1F4E79"/>
          <w:sz w:val="28"/>
          <w:szCs w:val="28"/>
        </w:rPr>
        <w:t xml:space="preserve">6. Schema Governance Rules</w:t>
      </w:r>
    </w:p>
    <w:p>
      <w:pPr>
        <w:pStyle w:val="ListParagraph"/>
        <w:numPr>
          <w:ilvl w:val="0"/>
          <w:numId w:val="2"/>
        </w:numPr>
        <w:spacing w:after="40" w:before="40"/>
      </w:pPr>
      <w:r>
        <w:rPr>
          <w:rFonts w:ascii="Arial" w:cs="Arial" w:eastAsia="Arial" w:hAnsi="Arial"/>
          <w:color w:val="000000"/>
          <w:sz w:val="20"/>
          <w:szCs w:val="20"/>
        </w:rPr>
        <w:t xml:space="preserve">Schema follows data, not the other way around. New fields are added only when substantial data exists to populate them. Empty speculative columns are not permitted.</w:t>
      </w:r>
    </w:p>
    <w:p>
      <w:pPr>
        <w:pStyle w:val="ListParagraph"/>
        <w:numPr>
          <w:ilvl w:val="0"/>
          <w:numId w:val="2"/>
        </w:numPr>
        <w:spacing w:after="40" w:before="40"/>
      </w:pPr>
      <w:r>
        <w:rPr>
          <w:rFonts w:ascii="Arial" w:cs="Arial" w:eastAsia="Arial" w:hAnsi="Arial"/>
          <w:color w:val="000000"/>
          <w:sz w:val="20"/>
          <w:szCs w:val="20"/>
        </w:rPr>
        <w:t xml:space="preserve">The REMM_ID is a permanent key. It does not change once assigned regardless of re-sorting or updates to other fields.</w:t>
      </w:r>
    </w:p>
    <w:p>
      <w:pPr>
        <w:pStyle w:val="ListParagraph"/>
        <w:numPr>
          <w:ilvl w:val="0"/>
          <w:numId w:val="2"/>
        </w:numPr>
        <w:spacing w:after="40" w:before="40"/>
      </w:pPr>
      <w:r>
        <w:rPr>
          <w:rFonts w:ascii="Arial" w:cs="Arial" w:eastAsia="Arial" w:hAnsi="Arial"/>
          <w:color w:val="000000"/>
          <w:sz w:val="20"/>
          <w:szCs w:val="20"/>
        </w:rPr>
        <w:t xml:space="preserve">LEASE_STATUS_CODE is always computed at access time. It is never stored as a static value in the database.</w:t>
      </w:r>
    </w:p>
    <w:p>
      <w:pPr>
        <w:pStyle w:val="ListParagraph"/>
        <w:numPr>
          <w:ilvl w:val="0"/>
          <w:numId w:val="2"/>
        </w:numPr>
        <w:spacing w:after="40" w:before="40"/>
      </w:pPr>
      <w:r>
        <w:rPr>
          <w:rFonts w:ascii="Arial" w:cs="Arial" w:eastAsia="Arial" w:hAnsi="Arial"/>
          <w:color w:val="000000"/>
          <w:sz w:val="20"/>
          <w:szCs w:val="20"/>
        </w:rPr>
        <w:t xml:space="preserve">The Remarks column is the single consolidation point for all data quality flags. No separate flag columns are created.</w:t>
      </w:r>
    </w:p>
    <w:p>
      <w:pPr>
        <w:pStyle w:val="ListParagraph"/>
        <w:numPr>
          <w:ilvl w:val="0"/>
          <w:numId w:val="2"/>
        </w:numPr>
        <w:spacing w:after="40" w:before="40"/>
      </w:pPr>
      <w:r>
        <w:rPr>
          <w:rFonts w:ascii="Arial" w:cs="Arial" w:eastAsia="Arial" w:hAnsi="Arial"/>
          <w:color w:val="000000"/>
          <w:sz w:val="20"/>
          <w:szCs w:val="20"/>
        </w:rPr>
        <w:t xml:space="preserve">The annual total column (FY total) is a derived sum of 12 monthly columns. It is not an independent entry field.</w:t>
      </w:r>
    </w:p>
    <w:p>
      <w:pPr>
        <w:pStyle w:val="ListParagraph"/>
        <w:numPr>
          <w:ilvl w:val="0"/>
          <w:numId w:val="2"/>
        </w:numPr>
        <w:spacing w:after="40" w:before="40"/>
      </w:pPr>
      <w:r>
        <w:rPr>
          <w:rFonts w:ascii="Arial" w:cs="Arial" w:eastAsia="Arial" w:hAnsi="Arial"/>
          <w:color w:val="000000"/>
          <w:sz w:val="20"/>
          <w:szCs w:val="20"/>
        </w:rPr>
        <w:t xml:space="preserve">Bank Account Numbers are stored as text strings only. Float/numeric storage of account numbers is not permitted.</w:t>
      </w:r>
    </w:p>
    <w:p>
      <w:pPr>
        <w:pStyle w:val="ListParagraph"/>
        <w:numPr>
          <w:ilvl w:val="0"/>
          <w:numId w:val="2"/>
        </w:numPr>
        <w:spacing w:after="40" w:before="40"/>
      </w:pPr>
      <w:r>
        <w:rPr>
          <w:rFonts w:ascii="Arial" w:cs="Arial" w:eastAsia="Arial" w:hAnsi="Arial"/>
          <w:color w:val="000000"/>
          <w:sz w:val="20"/>
          <w:szCs w:val="20"/>
        </w:rPr>
        <w:t xml:space="preserve">Row 219 (grand total row in source file) is excluded from the database entirely.</w:t>
      </w:r>
    </w:p>
    <w:p>
      <w:pPr>
        <w:spacing w:after="80" w:before="80"/>
      </w:pPr>
      <w:r>
        <w:t xml:space="preserve"/>
      </w:r>
    </w:p>
    <w:p>
      <w:pPr>
        <w:pBdr>
          <w:bottom w:val="single" w:color="1F4E79" w:sz="4" w:space="1"/>
        </w:pBdr>
        <w:spacing w:after="120" w:before="120"/>
      </w:pPr>
      <w:r>
        <w:t xml:space="preserve"/>
      </w:r>
    </w:p>
    <w:p>
      <w:pPr>
        <w:spacing w:after="60" w:before="60"/>
      </w:pPr>
      <w:r>
        <w:rPr>
          <w:rFonts w:ascii="Arial" w:cs="Arial" w:eastAsia="Arial" w:hAnsi="Arial"/>
          <w:b w:val="false"/>
          <w:bCs w:val="false"/>
          <w:i/>
          <w:iCs/>
          <w:color w:val="595959"/>
          <w:sz w:val="20"/>
          <w:szCs w:val="20"/>
        </w:rPr>
        <w:t xml:space="preserve">Document prepared during REMM Master Sanitisation Session — June 2026  |  Pune Divisional Office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2E4057"/>
        <w:sz w:val="16"/>
        <w:szCs w:val="16"/>
      </w:rPr>
      <w:t xml:space="preserve">Page </w:t>
    </w:r>
    <w:r>
      <w:rPr>
        <w:rFonts w:ascii="Arial" w:cs="Arial" w:eastAsia="Arial" w:hAnsi="Arial"/>
        <w:color w:val="2E4057"/>
        <w:sz w:val="16"/>
        <w:szCs w:val="16"/>
      </w:rPr>
      <w:fldChar w:fldCharType="begin"/>
      <w:instrText xml:space="preserve">PAGE</w:instrText>
      <w:fldChar w:fldCharType="separate"/>
      <w:fldChar w:fldCharType="end"/>
    </w:r>
    <w:r>
      <w:rPr>
        <w:rFonts w:ascii="Arial" w:cs="Arial" w:eastAsia="Arial" w:hAnsi="Arial"/>
        <w:color w:val="2E4057"/>
        <w:sz w:val="16"/>
        <w:szCs w:val="16"/>
      </w:rPr>
      <w:t xml:space="preserve"> of </w:t>
    </w:r>
    <w:r>
      <w:rPr>
        <w:rFonts w:ascii="Arial" w:cs="Arial" w:eastAsia="Arial" w:hAnsi="Arial"/>
        <w:color w:val="2E405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2E4057"/>
        <w:sz w:val="18"/>
        <w:szCs w:val="18"/>
      </w:rPr>
      <w:t xml:space="preserve">REMM Master Sanitisation — Rules &amp; Definitions  |  Pune Divisional Office  |  IOCL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2026-06-08T12:16:30.296Z</dcterms:created>
  <dcterms:modified xsi:type="dcterms:W3CDTF">2026-06-08T12:16:30.296Z</dcterms:modified>
</cp:coreProperties>
</file>

<file path=docProps/custom.xml><?xml version="1.0" encoding="utf-8"?>
<Properties xmlns="http://schemas.openxmlformats.org/officeDocument/2006/custom-properties" xmlns:vt="http://schemas.openxmlformats.org/officeDocument/2006/docPropsVTypes"/>
</file>