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DF2AC">
      <w:pPr>
        <w:pStyle w:val="2"/>
        <w:keepNext w:val="0"/>
        <w:keepLines w:val="0"/>
        <w:widowControl/>
        <w:suppressLineNumbers w:val="0"/>
      </w:pPr>
      <w:bookmarkStart w:id="0" w:name="_GoBack"/>
      <w:r>
        <w:t>Global Standards for Human Semen Analysis: A Comparative Guide (WHO 6th, ISO 23162, ESHRE, &amp; ASRM)</w:t>
      </w:r>
    </w:p>
    <w:bookmarkEnd w:id="0"/>
    <w:p w14:paraId="43721F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 2021, the landscape of human andrology was redefined by the dual release of the WHO 6th Edition Manual and the ISO 23162:2021 standard. These documents have moved the field toward rigorous standardization, emphasizing that accuracy is only possible through strict quality control and the reduction of human subjectivity.</w:t>
      </w:r>
    </w:p>
    <w:p w14:paraId="6F09E8C8">
      <w:pPr>
        <w:pStyle w:val="3"/>
        <w:keepNext w:val="0"/>
        <w:keepLines w:val="0"/>
        <w:widowControl/>
        <w:suppressLineNumbers w:val="0"/>
      </w:pPr>
      <w:r>
        <w:t>1. Pre-analytical Phase: The Baseline of Quality</w:t>
      </w:r>
    </w:p>
    <w:p w14:paraId="7C4D42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Standardization begins before the sample reaches the microscope. Both WHO 6th and ISO 23162 emphasize that pre-analytical variables are the most common cause of "false" sub-fertility results.</w:t>
      </w:r>
    </w:p>
    <w:p w14:paraId="259EC98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Abstinence Period: Standardized at 2 to 7 days. ASRM notes that while longer abstinence increases volume and count, it significantly reduces motility and increases DNA fragmentation (DFI).</w:t>
      </w:r>
    </w:p>
    <w:p w14:paraId="0F2CEE7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Collection: Must be performed into a container pre-validated for the Human Sperm Survival Assay (HSSA).</w:t>
      </w:r>
    </w:p>
    <w:p w14:paraId="221121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Macroscopic Assessment: Volume must be measured with high precision. ISO 23162 recommends measuring by weight (assuming a density of 1.0 g/mL) to avoid the "wall-sticking" loss associated with pipettes or graduated cylinders.</w:t>
      </w:r>
    </w:p>
    <w:p w14:paraId="48F96A8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pH: The lower limit remains 7.2. Values below this, combined with low volume, may indicate obstructive issues (e.g., CBAVD).</w:t>
      </w:r>
    </w:p>
    <w:p w14:paraId="2AE98B7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AFE90">
      <w:pPr>
        <w:pStyle w:val="3"/>
        <w:keepNext w:val="0"/>
        <w:keepLines w:val="0"/>
        <w:widowControl/>
        <w:suppressLineNumbers w:val="0"/>
      </w:pPr>
      <w:r>
        <w:t>2. Sperm Concentration and Total Count: The Quantitative Metric</w:t>
      </w:r>
    </w:p>
    <w:p w14:paraId="278B2B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quantitative assessment of sperm production is a primary predictor of fertility potential.</w:t>
      </w:r>
    </w:p>
    <w:p w14:paraId="027B06EE">
      <w:pPr>
        <w:pStyle w:val="4"/>
        <w:keepNext w:val="0"/>
        <w:keepLines w:val="0"/>
        <w:widowControl/>
        <w:suppressLineNumbers w:val="0"/>
      </w:pPr>
      <w:r>
        <w:t>A. Concentration vs. Total Sperm Number</w:t>
      </w:r>
    </w:p>
    <w:p w14:paraId="19AA5C4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Sperm Concentration: The number of sperm per milliliter. WHO 6th lower limit: 16 × 10⁶/mL.</w:t>
      </w:r>
    </w:p>
    <w:p w14:paraId="1FFD979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Total Sperm Number: The total count per entire ejaculate (WHO 6th lower limit: 39 × 10⁶).</w:t>
      </w:r>
    </w:p>
    <w:p w14:paraId="111FEEF7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Clinical Value: ASRM and ESHRE emphasize that Total Sperm Number is a more robust indicator of testicular health than concentration alone, as it accounts for the entire reproductive output.</w:t>
      </w:r>
    </w:p>
    <w:p w14:paraId="5F797B80">
      <w:pPr>
        <w:pStyle w:val="4"/>
        <w:keepNext w:val="0"/>
        <w:keepLines w:val="0"/>
        <w:widowControl/>
        <w:suppressLineNumbers w:val="0"/>
      </w:pPr>
      <w:r>
        <w:t>B. The "Gold Standard" Equipment (ISO 23162 vs. Others)</w:t>
      </w:r>
    </w:p>
    <w:p w14:paraId="173B860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Improved Neubauer Hemocytometer: Both WHO 6th and ISO 23162 mandate this as the only acceptable manual counting chamber.</w:t>
      </w:r>
    </w:p>
    <w:p w14:paraId="3BFE6B2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Rejection of Fixed-Depth Chambers: A major point of divergence. ISO 23162 strictly prohibits the use of fixed-depth chambers (e.g., Makler or Leja slides) for definitive concentration assessment because their high Coefficient of Variation (CV) does not meet international precision standards.</w:t>
      </w:r>
    </w:p>
    <w:p w14:paraId="196B3DD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Replicate Counting: ISO 23162 requires two separate replicates (counting at least 200 sperm each). If the results of the two counts do not align within a specific statistical range (Poisson distribution), the test must be repeated.</w:t>
      </w:r>
    </w:p>
    <w:p w14:paraId="5407F244">
      <w:pPr>
        <w:pStyle w:val="3"/>
        <w:keepNext w:val="0"/>
        <w:keepLines w:val="0"/>
        <w:widowControl/>
        <w:suppressLineNumbers w:val="0"/>
      </w:pPr>
      <w:r>
        <w:t>3. Sperm Motility: Measuring Progressive Competence</w:t>
      </w:r>
    </w:p>
    <w:p w14:paraId="446491F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Motility is the measure of "vital energy." WHO 6th simplified classification to reduce the high inter-observer variability found in previous editions.</w:t>
      </w:r>
    </w:p>
    <w:p w14:paraId="7A17C584">
      <w:pPr>
        <w:pStyle w:val="4"/>
        <w:keepNext w:val="0"/>
        <w:keepLines w:val="0"/>
        <w:widowControl/>
        <w:suppressLineNumbers w:val="0"/>
      </w:pPr>
      <w:r>
        <w:t>A. The Three-Category Classification</w:t>
      </w:r>
    </w:p>
    <w:p w14:paraId="58E091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previous 4-grade system (A, B, C, D) has been replaced by a more objective 3-category system:</w:t>
      </w:r>
    </w:p>
    <w:p w14:paraId="7CF7AEC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Progressive Motility (PR): Sperm moving actively, either linearly or in a large circle, regardless of speed.</w:t>
      </w:r>
    </w:p>
    <w:p w14:paraId="54CFB2E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Non-progressive Motility (NP): Movement with no progression (e.g., swimming in small circles, or only head/tail vibrating).</w:t>
      </w:r>
    </w:p>
    <w:p w14:paraId="2B10B60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Immotility (IM): No movement at all.</w:t>
      </w:r>
    </w:p>
    <w:p w14:paraId="494CE52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Reference Value: WHO 6th requires ≥30% Progressive (PR) or ≥42% Total Motility (PR + NP).</w:t>
      </w:r>
    </w:p>
    <w:p w14:paraId="78EDDB17">
      <w:pPr>
        <w:pStyle w:val="4"/>
        <w:keepNext w:val="0"/>
        <w:keepLines w:val="0"/>
        <w:widowControl/>
        <w:suppressLineNumbers w:val="0"/>
      </w:pPr>
      <w:r>
        <w:t>B. The Thermal Requirement (The "Life-Like" Environment)</w:t>
      </w:r>
    </w:p>
    <w:p w14:paraId="2F799EE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ISO 23162 Mandate: Sperm motility is highly temperature-dependent. ISO 23162 requires analysis to be performed at 37°C.</w:t>
      </w:r>
    </w:p>
    <w:p w14:paraId="58888CD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Clinical Rationale: Analyzing at room temperature (20-22°C) causes sperm metabolism to slow down, resulting in "falsely" low progressive motility scores. Integrated heating stages (like those found in the SQA-6100VET) are essential for compliance with this standard.</w:t>
      </w:r>
    </w:p>
    <w:p w14:paraId="1D66C2A9">
      <w:pPr>
        <w:pStyle w:val="3"/>
        <w:keepNext w:val="0"/>
        <w:keepLines w:val="0"/>
        <w:widowControl/>
        <w:suppressLineNumbers w:val="0"/>
      </w:pPr>
      <w:r>
        <w:t>4. Sperm Morphology: The "Strict Criteria"</w:t>
      </w:r>
    </w:p>
    <w:p w14:paraId="501B774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Morphology provides the deepest insight into the biological "quality control" of the testes.</w:t>
      </w:r>
    </w:p>
    <w:p w14:paraId="500043A6">
      <w:pPr>
        <w:pStyle w:val="4"/>
        <w:keepNext w:val="0"/>
        <w:keepLines w:val="0"/>
        <w:widowControl/>
        <w:suppressLineNumbers w:val="0"/>
      </w:pPr>
      <w:r>
        <w:t>A. Kruger Strict Criteria (The 4% Rule)</w:t>
      </w:r>
    </w:p>
    <w:p w14:paraId="391C6AA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standards converge on the Kruger (Strict) Criteria. A sperm is only "Normal" if it is essentially perfect. Any "borderline" sperm is categorized as abnormal.</w:t>
      </w:r>
    </w:p>
    <w:p w14:paraId="5FD1AB8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Normal Threshold: ≥4%.</w:t>
      </w:r>
    </w:p>
    <w:p w14:paraId="5DB1BC3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Head/Tail Anatomy: Specific dimensions for head length (3.7–4.7 μm) and acrosome size (40–70% of the head area) are required.</w:t>
      </w:r>
    </w:p>
    <w:p w14:paraId="2DA52F29">
      <w:pPr>
        <w:pStyle w:val="4"/>
        <w:keepNext w:val="0"/>
        <w:keepLines w:val="0"/>
        <w:widowControl/>
        <w:suppressLineNumbers w:val="0"/>
      </w:pPr>
      <w:r>
        <w:t>B. The Teratozoospermia Index (TZI)</w:t>
      </w:r>
    </w:p>
    <w:p w14:paraId="2234C6B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WHO 6th recommends calculating the TZI, which is the average number of defects per abnormal sperm. A high TZI is a marker of significant spermatogenesis dysfunction, even if the total normal percentage is above 4%.</w:t>
      </w:r>
    </w:p>
    <w:p w14:paraId="3B2AEAF3">
      <w:pPr>
        <w:pStyle w:val="4"/>
        <w:keepNext w:val="0"/>
        <w:keepLines w:val="0"/>
        <w:widowControl/>
        <w:suppressLineNumbers w:val="0"/>
      </w:pPr>
      <w:r>
        <w:t>C. Clinical Application (IVF vs. ICSI)</w:t>
      </w:r>
    </w:p>
    <w:p w14:paraId="3467A2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ASRM and ESHRE clarify that morphology's greatest clinical utility is in selecting the mode of fertilization. If morphology is &lt;4%, laboratories often shift from standard IVF to ICSI (Intracytoplasmic Sperm Injection) to ensure the best-looking sperm are manually selected for fertilization.</w:t>
      </w:r>
    </w:p>
    <w:p w14:paraId="51167E2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14880">
      <w:pPr>
        <w:pStyle w:val="3"/>
        <w:keepNext w:val="0"/>
        <w:keepLines w:val="0"/>
        <w:widowControl/>
        <w:suppressLineNumbers w:val="0"/>
      </w:pPr>
      <w:r>
        <w:t>5. Summary Table: Comparing WHO 5th and WHO 6th Standards</w:t>
      </w:r>
    </w:p>
    <w:p w14:paraId="63CCF48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table outlines the key "Lower Reference Limits" (5th percentile) for human semen.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5"/>
        <w:gridCol w:w="2100"/>
        <w:gridCol w:w="2115"/>
      </w:tblGrid>
      <w:tr w14:paraId="67E1A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B5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05734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WHO 5th Ed (2010)</w:t>
            </w:r>
          </w:p>
        </w:tc>
        <w:tc>
          <w:tcPr>
            <w:tcW w:w="0" w:type="auto"/>
            <w:shd w:val="clear"/>
            <w:vAlign w:val="center"/>
          </w:tcPr>
          <w:p w14:paraId="5683B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WHO 6th Ed (2021)</w:t>
            </w:r>
          </w:p>
        </w:tc>
      </w:tr>
      <w:tr w14:paraId="1CA03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74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Semen Volume (mL)</w:t>
            </w:r>
          </w:p>
        </w:tc>
        <w:tc>
          <w:tcPr>
            <w:tcW w:w="0" w:type="auto"/>
            <w:shd w:val="clear"/>
            <w:vAlign w:val="center"/>
          </w:tcPr>
          <w:p w14:paraId="1C040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/>
            <w:vAlign w:val="center"/>
          </w:tcPr>
          <w:p w14:paraId="6B261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</w:t>
            </w:r>
          </w:p>
        </w:tc>
      </w:tr>
      <w:tr w14:paraId="1ED1F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25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 Sperm Number (10⁶/ejaculate)</w:t>
            </w:r>
          </w:p>
        </w:tc>
        <w:tc>
          <w:tcPr>
            <w:tcW w:w="0" w:type="auto"/>
            <w:shd w:val="clear"/>
            <w:vAlign w:val="center"/>
          </w:tcPr>
          <w:p w14:paraId="6CDCC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/>
            <w:vAlign w:val="center"/>
          </w:tcPr>
          <w:p w14:paraId="4B359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</w:tr>
      <w:tr w14:paraId="4ECF6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EB5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Sperm Concentration (10⁶/mL)</w:t>
            </w:r>
          </w:p>
        </w:tc>
        <w:tc>
          <w:tcPr>
            <w:tcW w:w="0" w:type="auto"/>
            <w:shd w:val="clear"/>
            <w:vAlign w:val="center"/>
          </w:tcPr>
          <w:p w14:paraId="1D9DF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4832B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7482B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CB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 Motility (PR + NP, %)</w:t>
            </w:r>
          </w:p>
        </w:tc>
        <w:tc>
          <w:tcPr>
            <w:tcW w:w="0" w:type="auto"/>
            <w:shd w:val="clear"/>
            <w:vAlign w:val="center"/>
          </w:tcPr>
          <w:p w14:paraId="5EA53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4BD9E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</w:tr>
      <w:tr w14:paraId="4C58A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61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Progressive Motility (PR, %)</w:t>
            </w:r>
          </w:p>
        </w:tc>
        <w:tc>
          <w:tcPr>
            <w:tcW w:w="0" w:type="auto"/>
            <w:shd w:val="clear"/>
            <w:vAlign w:val="center"/>
          </w:tcPr>
          <w:p w14:paraId="3DFD6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21C1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67CA5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B2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Vitality (Live Sperm, %)</w:t>
            </w:r>
          </w:p>
        </w:tc>
        <w:tc>
          <w:tcPr>
            <w:tcW w:w="0" w:type="auto"/>
            <w:shd w:val="clear"/>
            <w:vAlign w:val="center"/>
          </w:tcPr>
          <w:p w14:paraId="4E300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/>
            <w:vAlign w:val="center"/>
          </w:tcPr>
          <w:p w14:paraId="0AA08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</w:tr>
      <w:tr w14:paraId="532DD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CC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 Morphology (%)</w:t>
            </w:r>
          </w:p>
        </w:tc>
        <w:tc>
          <w:tcPr>
            <w:tcW w:w="0" w:type="auto"/>
            <w:shd w:val="clear"/>
            <w:vAlign w:val="center"/>
          </w:tcPr>
          <w:p w14:paraId="1CBA2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BDDE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075F498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A453A">
      <w:pPr>
        <w:pStyle w:val="3"/>
        <w:keepNext w:val="0"/>
        <w:keepLines w:val="0"/>
        <w:widowControl/>
        <w:suppressLineNumbers w:val="0"/>
      </w:pPr>
      <w:r>
        <w:t>6. Laboratory Quality Assurance (ISO 23162 Central Focus)</w:t>
      </w:r>
    </w:p>
    <w:p w14:paraId="0EB187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Compliance with ISO 23162 requires more than just following the WHO manual; it requires documented proof of precision.</w:t>
      </w:r>
    </w:p>
    <w:p w14:paraId="602443B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Intra-observer CV: Technicians must prove they can count the same sample twice and get the same result within a 10% margin of error.</w:t>
      </w:r>
    </w:p>
    <w:p w14:paraId="5D5334A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External Quality Assessment (EQA): Labs must participate in global proficiency testing (like ESHRE or CAP programs) to compare their results against other standardized labs.</w:t>
      </w:r>
    </w:p>
    <w:p w14:paraId="211EBCB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hanging="420" w:firstLineChars="0"/>
      </w:pPr>
      <w:r>
        <w:t>Standardized Reporting: Reports should clearly state which standards were followed and include the reference ranges for each parameter to aid clinician interpretation.</w:t>
      </w:r>
    </w:p>
    <w:p w14:paraId="0946FBE0">
      <w:pPr>
        <w:pStyle w:val="3"/>
        <w:keepNext w:val="0"/>
        <w:keepLines w:val="0"/>
        <w:widowControl/>
        <w:suppressLineNumbers w:val="0"/>
      </w:pPr>
      <w:r>
        <w:t>Conclusion: The Path to Precision</w:t>
      </w:r>
    </w:p>
    <w:p w14:paraId="427A873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modernization of human semen analysis is defined by a shift away from "technician's intuition" toward objective, automated, and temperature-controlled methodologies. By adhering to the combined requirements of WHO 6th and ISO 23162, laboratories ensure the highest level of diagnostic accuracy, providing patients with a reliable roadmap for their fertility journey.</w:t>
      </w:r>
    </w:p>
    <w:p w14:paraId="7AE06EC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References</w:t>
      </w:r>
    </w:p>
    <w:p w14:paraId="346DB99B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 xml:space="preserve">World Health Organization (2021). </w:t>
      </w:r>
      <w:r>
        <w:rPr>
          <w:i/>
          <w:iCs/>
        </w:rPr>
        <w:t>WHO laboratory manual for the examination and processing of human semen, 6th ed.</w:t>
      </w:r>
    </w:p>
    <w:p w14:paraId="16E9C18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 xml:space="preserve">ISO 23162:2021. </w:t>
      </w:r>
      <w:r>
        <w:rPr>
          <w:i/>
          <w:iCs/>
        </w:rPr>
        <w:t>Basic semen examination — Specification and test methods.</w:t>
      </w:r>
    </w:p>
    <w:p w14:paraId="6436386F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 xml:space="preserve">ESHRE Special Interest Group in Andrology. </w:t>
      </w:r>
      <w:r>
        <w:rPr>
          <w:i/>
          <w:iCs/>
        </w:rPr>
        <w:t>Semen analysis best practice guidelines.</w:t>
      </w:r>
    </w:p>
    <w:p w14:paraId="37181743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 xml:space="preserve">Practice Committee of the American Society for Reproductive Medicine (ASRM) (2021). </w:t>
      </w:r>
      <w:r>
        <w:rPr>
          <w:i/>
          <w:iCs/>
        </w:rPr>
        <w:t>Diagnostic evaluation of the infertile male: a committee opinion.</w:t>
      </w:r>
    </w:p>
    <w:p w14:paraId="2CF158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F024F"/>
    <w:multiLevelType w:val="singleLevel"/>
    <w:tmpl w:val="CC6F02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EEB341C"/>
    <w:multiLevelType w:val="singleLevel"/>
    <w:tmpl w:val="DEEB34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0CA6A46"/>
    <w:multiLevelType w:val="singleLevel"/>
    <w:tmpl w:val="F0CA6A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4B67DA5C"/>
    <w:multiLevelType w:val="singleLevel"/>
    <w:tmpl w:val="4B67DA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877B616"/>
    <w:multiLevelType w:val="singleLevel"/>
    <w:tmpl w:val="5877B61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A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2025-12-28T12:11:48Z</dcterms:created>
  <dc:creator>chan_</dc:creator>
  <cp:lastModifiedBy>chan_</cp:lastModifiedBy>
  <dcterms:modified xsi:type="dcterms:W3CDTF">2025-12-28T12:20:39Z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C74BD500A49C42B9A05EF592319B8563_12</vt:lpwstr>
  </property>
</Properties>
</file>