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Security Assessment Report</w:t>
      </w:r>
    </w:p>
    <w:p>
      <w:pPr>
        <w:jc w:val="center"/>
      </w:pPr>
      <w:r>
        <w:rPr>
          <w:sz w:val="26"/>
        </w:rPr>
        <w:t>Project: Test (chanchowcheng-create/Test)</w:t>
      </w:r>
    </w:p>
    <w:p>
      <w:pPr>
        <w:jc w:val="center"/>
      </w:pPr>
      <w:r>
        <w:rPr>
          <w:sz w:val="26"/>
        </w:rPr>
        <w:t>Branch: claude/security-scanning-agent-5f80yk</w:t>
      </w:r>
    </w:p>
    <w:p>
      <w:pPr>
        <w:jc w:val="center"/>
      </w:pPr>
      <w:r>
        <w:rPr>
          <w:sz w:val="26"/>
        </w:rPr>
        <w:t>Commit: 183362b</w:t>
      </w:r>
    </w:p>
    <w:p>
      <w:pPr>
        <w:jc w:val="center"/>
      </w:pPr>
      <w:r>
        <w:rPr>
          <w:sz w:val="26"/>
        </w:rPr>
        <w:t>Date: 2026-10-28</w:t>
      </w:r>
    </w:p>
    <w:p>
      <w:pPr>
        <w:jc w:val="center"/>
      </w:pPr>
      <w:r>
        <w:rPr>
          <w:sz w:val="26"/>
        </w:rPr>
        <w:t>Prepared by: security-scanner agent</w:t>
      </w:r>
    </w:p>
    <w:p>
      <w:pPr>
        <w:jc w:val="center"/>
      </w:pPr>
      <w:r>
        <w:rPr>
          <w:sz w:val="26"/>
        </w:rPr>
        <w:t>Classification: Confidential</w:t>
      </w:r>
    </w:p>
    <w:p>
      <w:r>
        <w:br w:type="page"/>
      </w:r>
    </w:p>
    <w:p>
      <w:pPr>
        <w:pStyle w:val="Heading1"/>
      </w:pPr>
      <w:r>
        <w:t>Table of Contents</w:t>
      </w:r>
    </w:p>
    <w:p>
      <w:r>
        <w:fldChar w:fldCharType="begin"/>
        <w:instrText xml:space="preserve">TOC \o "1-3" \h \z \u</w:instrText>
        <w:fldChar w:fldCharType="separate"/>
        <w:t>Right-click to update</w:t>
        <w:fldChar w:fldCharType="end"/>
      </w:r>
    </w:p>
    <w:p>
      <w:r>
        <w:br w:type="page"/>
      </w:r>
    </w:p>
    <w:p>
      <w:pPr>
        <w:pStyle w:val="Heading1"/>
      </w:pPr>
      <w:r>
        <w:t>1. Executive Summary</w:t>
      </w:r>
    </w:p>
    <w:p>
      <w:r>
        <w:rPr>
          <w:b/>
        </w:rPr>
        <w:t xml:space="preserve">Overall risk rating: LOW. </w:t>
      </w:r>
    </w:p>
    <w:p>
      <w:r>
        <w:rPr>
          <w:b w:val="0"/>
        </w:rPr>
        <w:t>The repository is a small static project (a Claude Code custom command, a one-page GitHub Pages site, two GitHub Actions workflows). No secrets, credentials, injectable code paths or vulnerable dependencies were found in the working tree or in the full git history. The findings are hardening and supply-chain best-practice gaps; none is directly exploitable on its own.</w:t>
      </w:r>
    </w:p>
    <w:tbl>
      <w:tblPr>
        <w:tblStyle w:val="TableGrid"/>
        <w:tblW w:type="auto" w:w="0"/>
        <w:tblLook w:firstColumn="1" w:firstRow="1" w:lastColumn="0" w:lastRow="0" w:noHBand="0" w:noVBand="1" w:val="04A0"/>
      </w:tblPr>
      <w:tblGrid>
        <w:gridCol w:w="4824"/>
        <w:gridCol w:w="4824"/>
      </w:tblGrid>
      <w:tr>
        <w:trPr>
          <w:tblHeader w:val="true"/>
        </w:trPr>
        <w:tc>
          <w:tcPr>
            <w:tcW w:type="dxa" w:w="2880"/>
            <w:shd w:val="clear" w:color="auto" w:fill="1F3A5F"/>
          </w:tcPr>
          <w:p>
            <w:r/>
            <w:r>
              <w:rPr>
                <w:b/>
                <w:color w:val="FFFFFF"/>
                <w:sz w:val="19"/>
              </w:rPr>
              <w:t>Severity</w:t>
            </w:r>
          </w:p>
        </w:tc>
        <w:tc>
          <w:tcPr>
            <w:tcW w:type="dxa" w:w="1440"/>
            <w:shd w:val="clear" w:color="auto" w:fill="1F3A5F"/>
          </w:tcPr>
          <w:p>
            <w:r/>
            <w:r>
              <w:rPr>
                <w:b/>
                <w:color w:val="FFFFFF"/>
                <w:sz w:val="19"/>
              </w:rPr>
              <w:t>Count</w:t>
            </w:r>
          </w:p>
        </w:tc>
      </w:tr>
      <w:tr>
        <w:tc>
          <w:tcPr>
            <w:tcW w:type="dxa" w:w="2880"/>
            <w:shd w:val="clear" w:color="auto" w:fill="8B0000"/>
          </w:tcPr>
          <w:p>
            <w:r/>
            <w:r>
              <w:rPr>
                <w:b/>
                <w:color w:val="FFFFFF"/>
                <w:sz w:val="19"/>
              </w:rPr>
              <w:t>Critical</w:t>
            </w:r>
          </w:p>
        </w:tc>
        <w:tc>
          <w:tcPr>
            <w:tcW w:type="dxa" w:w="1440"/>
          </w:tcPr>
          <w:p>
            <w:r/>
            <w:r>
              <w:rPr>
                <w:sz w:val="19"/>
              </w:rPr>
              <w:t>0</w:t>
            </w:r>
          </w:p>
        </w:tc>
      </w:tr>
      <w:tr>
        <w:tc>
          <w:tcPr>
            <w:tcW w:type="dxa" w:w="2880"/>
            <w:shd w:val="clear" w:color="auto" w:fill="E8590C"/>
          </w:tcPr>
          <w:p>
            <w:r/>
            <w:r>
              <w:rPr>
                <w:b/>
                <w:color w:val="FFFFFF"/>
                <w:sz w:val="19"/>
              </w:rPr>
              <w:t>High</w:t>
            </w:r>
          </w:p>
        </w:tc>
        <w:tc>
          <w:tcPr>
            <w:tcW w:type="dxa" w:w="1440"/>
          </w:tcPr>
          <w:p>
            <w:r/>
            <w:r>
              <w:rPr>
                <w:sz w:val="19"/>
              </w:rPr>
              <w:t>0</w:t>
            </w:r>
          </w:p>
        </w:tc>
      </w:tr>
      <w:tr>
        <w:tc>
          <w:tcPr>
            <w:tcW w:type="dxa" w:w="2880"/>
            <w:shd w:val="clear" w:color="auto" w:fill="FFC107"/>
          </w:tcPr>
          <w:p>
            <w:r/>
            <w:r>
              <w:rPr>
                <w:b/>
                <w:sz w:val="19"/>
              </w:rPr>
              <w:t>Medium</w:t>
            </w:r>
          </w:p>
        </w:tc>
        <w:tc>
          <w:tcPr>
            <w:tcW w:type="dxa" w:w="1440"/>
          </w:tcPr>
          <w:p>
            <w:r/>
            <w:r>
              <w:rPr>
                <w:sz w:val="19"/>
              </w:rPr>
              <w:t>1</w:t>
            </w:r>
          </w:p>
        </w:tc>
      </w:tr>
      <w:tr>
        <w:tc>
          <w:tcPr>
            <w:tcW w:type="dxa" w:w="2880"/>
            <w:shd w:val="clear" w:color="auto" w:fill="FFF176"/>
          </w:tcPr>
          <w:p>
            <w:r/>
            <w:r>
              <w:rPr>
                <w:b/>
                <w:sz w:val="19"/>
              </w:rPr>
              <w:t>Low</w:t>
            </w:r>
          </w:p>
        </w:tc>
        <w:tc>
          <w:tcPr>
            <w:tcW w:type="dxa" w:w="1440"/>
          </w:tcPr>
          <w:p>
            <w:r/>
            <w:r>
              <w:rPr>
                <w:sz w:val="19"/>
              </w:rPr>
              <w:t>3</w:t>
            </w:r>
          </w:p>
        </w:tc>
      </w:tr>
      <w:tr>
        <w:tc>
          <w:tcPr>
            <w:tcW w:type="dxa" w:w="2880"/>
            <w:shd w:val="clear" w:color="auto" w:fill="B0BEC5"/>
          </w:tcPr>
          <w:p>
            <w:r/>
            <w:r>
              <w:rPr>
                <w:b/>
                <w:sz w:val="19"/>
              </w:rPr>
              <w:t>Informational</w:t>
            </w:r>
          </w:p>
        </w:tc>
        <w:tc>
          <w:tcPr>
            <w:tcW w:type="dxa" w:w="1440"/>
          </w:tcPr>
          <w:p>
            <w:r/>
            <w:r>
              <w:rPr>
                <w:sz w:val="19"/>
              </w:rPr>
              <w:t>2</w:t>
            </w:r>
          </w:p>
        </w:tc>
      </w:tr>
      <w:tr>
        <w:tc>
          <w:tcPr>
            <w:tcW w:type="dxa" w:w="2880"/>
          </w:tcPr>
          <w:p>
            <w:r/>
            <w:r>
              <w:rPr>
                <w:sz w:val="19"/>
              </w:rPr>
              <w:t>Total</w:t>
            </w:r>
          </w:p>
        </w:tc>
        <w:tc>
          <w:tcPr>
            <w:tcW w:type="dxa" w:w="1440"/>
          </w:tcPr>
          <w:p>
            <w:r/>
            <w:r>
              <w:rPr>
                <w:sz w:val="19"/>
              </w:rPr>
              <w:t>6</w:t>
            </w:r>
          </w:p>
        </w:tc>
      </w:tr>
    </w:tbl>
    <w:p/>
    <w:p>
      <w:pPr>
        <w:pStyle w:val="Heading3"/>
      </w:pPr>
      <w:r>
        <w:t>Top priorities</w:t>
      </w:r>
    </w:p>
    <w:p>
      <w:pPr>
        <w:pStyle w:val="ListBullet"/>
      </w:pPr>
      <w:r>
        <w:t>Pin GitHub Actions to commit SHAs, especially the third-party gitleaks action that receives the repository token (VULN-001).</w:t>
      </w:r>
    </w:p>
    <w:p>
      <w:pPr>
        <w:pStyle w:val="ListBullet"/>
      </w:pPr>
      <w:r>
        <w:t>Add a Content Security Policy to the public web page and extend .gitignore to cover more credential file types (VULN-002, VULN-003).</w:t>
      </w:r>
    </w:p>
    <w:p>
      <w:pPr>
        <w:pStyle w:val="ListBullet"/>
      </w:pPr>
      <w:r>
        <w:t>Enable Dependabot for Actions and restrict deployment branches so only main can publish the site (VULN-004, VULN-006).</w:t>
      </w:r>
    </w:p>
    <w:p>
      <w:pPr>
        <w:pStyle w:val="Heading1"/>
      </w:pPr>
      <w:r>
        <w:t>2. Scope and Methodology</w:t>
      </w:r>
    </w:p>
    <w:p>
      <w:r>
        <w:rPr>
          <w:b w:val="0"/>
        </w:rPr>
        <w:t>In scope: docs/index.html, README.md, .gitignore, .github/workflows/ci.yml and pages.yml, .claude/agents and .claude/commands, and the full git history (3 commits, all branches).</w:t>
      </w:r>
    </w:p>
    <w:p>
      <w:r>
        <w:rPr>
          <w:b w:val="0"/>
        </w:rPr>
        <w:t>Out of scope / skipped: .git internals (inspected only through git commands); no node_modules, vendor, build output or binary files exist. No .claude/settings*.json file exists.</w:t>
      </w:r>
    </w:p>
    <w:p>
      <w:r>
        <w:rPr>
          <w:b w:val="0"/>
        </w:rPr>
        <w:t>Methods: file inventory (git ls-files), manual review of every tracked file, regular-expression searches of files and git history (git log -p --all) for API keys, tokens, private keys, passwords and connection strings, review of workflows against CI/CD supply-chain checks, and review of the HTML for client-side risks (inline scripts, external resources, SRI, target=_blank).</w:t>
      </w:r>
    </w:p>
    <w:p>
      <w:r>
        <w:rPr>
          <w:b w:val="0"/>
        </w:rPr>
        <w:t>Limitations: static analysis only; no network traffic or exploitation. No automated tools (gitleaks, trivy, semgrep, osv-scanner, npm audit) were installed, so no automated dependency audit was possible; the project has no package manifests. CVSS scores are estimates. GitHub repository settings (branch protection, environments, secret scanning) could not be inspected.</w:t>
      </w:r>
    </w:p>
    <w:p>
      <w:pPr>
        <w:pStyle w:val="Heading1"/>
      </w:pPr>
      <w:r>
        <w:t>3. Findings Summary</w:t>
      </w:r>
    </w:p>
    <w:tbl>
      <w:tblPr>
        <w:tblStyle w:val="TableGrid"/>
        <w:tblW w:type="auto" w:w="0"/>
        <w:tblLook w:firstColumn="1" w:firstRow="1" w:lastColumn="0" w:lastRow="0" w:noHBand="0" w:noVBand="1" w:val="04A0"/>
      </w:tblPr>
      <w:tblGrid>
        <w:gridCol w:w="1608"/>
        <w:gridCol w:w="1608"/>
        <w:gridCol w:w="1608"/>
        <w:gridCol w:w="1608"/>
        <w:gridCol w:w="1608"/>
        <w:gridCol w:w="1608"/>
      </w:tblGrid>
      <w:tr>
        <w:trPr>
          <w:tblHeader w:val="true"/>
        </w:trPr>
        <w:tc>
          <w:tcPr>
            <w:tcW w:type="dxa" w:w="1152"/>
            <w:shd w:val="clear" w:color="auto" w:fill="1F3A5F"/>
          </w:tcPr>
          <w:p>
            <w:r/>
            <w:r>
              <w:rPr>
                <w:b/>
                <w:color w:val="FFFFFF"/>
                <w:sz w:val="19"/>
              </w:rPr>
              <w:t>ID</w:t>
            </w:r>
          </w:p>
        </w:tc>
        <w:tc>
          <w:tcPr>
            <w:tcW w:type="dxa" w:w="3168"/>
            <w:shd w:val="clear" w:color="auto" w:fill="1F3A5F"/>
          </w:tcPr>
          <w:p>
            <w:r/>
            <w:r>
              <w:rPr>
                <w:b/>
                <w:color w:val="FFFFFF"/>
                <w:sz w:val="19"/>
              </w:rPr>
              <w:t>Title</w:t>
            </w:r>
          </w:p>
        </w:tc>
        <w:tc>
          <w:tcPr>
            <w:tcW w:type="dxa" w:w="1296"/>
            <w:shd w:val="clear" w:color="auto" w:fill="1F3A5F"/>
          </w:tcPr>
          <w:p>
            <w:r/>
            <w:r>
              <w:rPr>
                <w:b/>
                <w:color w:val="FFFFFF"/>
                <w:sz w:val="19"/>
              </w:rPr>
              <w:t>Severity</w:t>
            </w:r>
          </w:p>
        </w:tc>
        <w:tc>
          <w:tcPr>
            <w:tcW w:type="dxa" w:w="1008"/>
            <w:shd w:val="clear" w:color="auto" w:fill="1F3A5F"/>
          </w:tcPr>
          <w:p>
            <w:r/>
            <w:r>
              <w:rPr>
                <w:b/>
                <w:color w:val="FFFFFF"/>
                <w:sz w:val="19"/>
              </w:rPr>
              <w:t>CWE</w:t>
            </w:r>
          </w:p>
        </w:tc>
        <w:tc>
          <w:tcPr>
            <w:tcW w:type="dxa" w:w="864"/>
            <w:shd w:val="clear" w:color="auto" w:fill="1F3A5F"/>
          </w:tcPr>
          <w:p>
            <w:r/>
            <w:r>
              <w:rPr>
                <w:b/>
                <w:color w:val="FFFFFF"/>
                <w:sz w:val="19"/>
              </w:rPr>
              <w:t>OWASP</w:t>
            </w:r>
          </w:p>
        </w:tc>
        <w:tc>
          <w:tcPr>
            <w:tcW w:type="dxa" w:w="2448"/>
            <w:shd w:val="clear" w:color="auto" w:fill="1F3A5F"/>
          </w:tcPr>
          <w:p>
            <w:r/>
            <w:r>
              <w:rPr>
                <w:b/>
                <w:color w:val="FFFFFF"/>
                <w:sz w:val="19"/>
              </w:rPr>
              <w:t>Location</w:t>
            </w:r>
          </w:p>
        </w:tc>
      </w:tr>
      <w:tr>
        <w:tc>
          <w:tcPr>
            <w:tcW w:type="dxa" w:w="1152"/>
          </w:tcPr>
          <w:p>
            <w:r/>
            <w:r>
              <w:rPr>
                <w:sz w:val="19"/>
              </w:rPr>
              <w:t>VULN-001</w:t>
            </w:r>
          </w:p>
        </w:tc>
        <w:tc>
          <w:tcPr>
            <w:tcW w:type="dxa" w:w="3168"/>
          </w:tcPr>
          <w:p>
            <w:r/>
            <w:r>
              <w:rPr>
                <w:sz w:val="19"/>
              </w:rPr>
              <w:t>GitHub Actions not pinned to commit SHAs (incl. third-party gitleaks-action)</w:t>
            </w:r>
          </w:p>
        </w:tc>
        <w:tc>
          <w:tcPr>
            <w:tcW w:type="dxa" w:w="1296"/>
            <w:shd w:val="clear" w:color="auto" w:fill="FFC107"/>
          </w:tcPr>
          <w:p>
            <w:r/>
            <w:r>
              <w:rPr>
                <w:b/>
                <w:sz w:val="19"/>
              </w:rPr>
              <w:t>Medium</w:t>
            </w:r>
          </w:p>
        </w:tc>
        <w:tc>
          <w:tcPr>
            <w:tcW w:type="dxa" w:w="1008"/>
          </w:tcPr>
          <w:p>
            <w:r/>
            <w:r>
              <w:rPr>
                <w:sz w:val="19"/>
              </w:rPr>
              <w:t>CWE-829</w:t>
            </w:r>
          </w:p>
        </w:tc>
        <w:tc>
          <w:tcPr>
            <w:tcW w:type="dxa" w:w="864"/>
          </w:tcPr>
          <w:p>
            <w:r/>
            <w:r>
              <w:rPr>
                <w:sz w:val="19"/>
              </w:rPr>
              <w:t>A08:2021</w:t>
            </w:r>
          </w:p>
        </w:tc>
        <w:tc>
          <w:tcPr>
            <w:tcW w:type="dxa" w:w="2448"/>
          </w:tcPr>
          <w:p>
            <w:r/>
            <w:r>
              <w:rPr>
                <w:sz w:val="19"/>
              </w:rPr>
              <w:t>.github/workflows/ci.yml:15, :25, :28</w:t>
            </w:r>
          </w:p>
        </w:tc>
      </w:tr>
      <w:tr>
        <w:tc>
          <w:tcPr>
            <w:tcW w:type="dxa" w:w="1152"/>
          </w:tcPr>
          <w:p>
            <w:r/>
            <w:r>
              <w:rPr>
                <w:sz w:val="19"/>
              </w:rPr>
              <w:t>VULN-002</w:t>
            </w:r>
          </w:p>
        </w:tc>
        <w:tc>
          <w:tcPr>
            <w:tcW w:type="dxa" w:w="3168"/>
          </w:tcPr>
          <w:p>
            <w:r/>
            <w:r>
              <w:rPr>
                <w:sz w:val="19"/>
              </w:rPr>
              <w:t>No Content Security Policy on GitHub Pages site</w:t>
            </w:r>
          </w:p>
        </w:tc>
        <w:tc>
          <w:tcPr>
            <w:tcW w:type="dxa" w:w="1296"/>
            <w:shd w:val="clear" w:color="auto" w:fill="FFF176"/>
          </w:tcPr>
          <w:p>
            <w:r/>
            <w:r>
              <w:rPr>
                <w:b/>
                <w:sz w:val="19"/>
              </w:rPr>
              <w:t>Low</w:t>
            </w:r>
          </w:p>
        </w:tc>
        <w:tc>
          <w:tcPr>
            <w:tcW w:type="dxa" w:w="1008"/>
          </w:tcPr>
          <w:p>
            <w:r/>
            <w:r>
              <w:rPr>
                <w:sz w:val="19"/>
              </w:rPr>
              <w:t>CWE-693</w:t>
            </w:r>
          </w:p>
        </w:tc>
        <w:tc>
          <w:tcPr>
            <w:tcW w:type="dxa" w:w="864"/>
          </w:tcPr>
          <w:p>
            <w:r/>
            <w:r>
              <w:rPr>
                <w:sz w:val="19"/>
              </w:rPr>
              <w:t>A05:2021</w:t>
            </w:r>
          </w:p>
        </w:tc>
        <w:tc>
          <w:tcPr>
            <w:tcW w:type="dxa" w:w="2448"/>
          </w:tcPr>
          <w:p>
            <w:r/>
            <w:r>
              <w:rPr>
                <w:sz w:val="19"/>
              </w:rPr>
              <w:t>docs/index.html:3-14</w:t>
            </w:r>
          </w:p>
        </w:tc>
      </w:tr>
      <w:tr>
        <w:tc>
          <w:tcPr>
            <w:tcW w:type="dxa" w:w="1152"/>
          </w:tcPr>
          <w:p>
            <w:r/>
            <w:r>
              <w:rPr>
                <w:sz w:val="19"/>
              </w:rPr>
              <w:t>VULN-003</w:t>
            </w:r>
          </w:p>
        </w:tc>
        <w:tc>
          <w:tcPr>
            <w:tcW w:type="dxa" w:w="3168"/>
          </w:tcPr>
          <w:p>
            <w:r/>
            <w:r>
              <w:rPr>
                <w:sz w:val="19"/>
              </w:rPr>
              <w:t>.gitignore gaps for sensitive file types</w:t>
            </w:r>
          </w:p>
        </w:tc>
        <w:tc>
          <w:tcPr>
            <w:tcW w:type="dxa" w:w="1296"/>
            <w:shd w:val="clear" w:color="auto" w:fill="FFF176"/>
          </w:tcPr>
          <w:p>
            <w:r/>
            <w:r>
              <w:rPr>
                <w:b/>
                <w:sz w:val="19"/>
              </w:rPr>
              <w:t>Low</w:t>
            </w:r>
          </w:p>
        </w:tc>
        <w:tc>
          <w:tcPr>
            <w:tcW w:type="dxa" w:w="1008"/>
          </w:tcPr>
          <w:p>
            <w:r/>
            <w:r>
              <w:rPr>
                <w:sz w:val="19"/>
              </w:rPr>
              <w:t>CWE-538</w:t>
            </w:r>
          </w:p>
        </w:tc>
        <w:tc>
          <w:tcPr>
            <w:tcW w:type="dxa" w:w="864"/>
          </w:tcPr>
          <w:p>
            <w:r/>
            <w:r>
              <w:rPr>
                <w:sz w:val="19"/>
              </w:rPr>
              <w:t>A05:2021</w:t>
            </w:r>
          </w:p>
        </w:tc>
        <w:tc>
          <w:tcPr>
            <w:tcW w:type="dxa" w:w="2448"/>
          </w:tcPr>
          <w:p>
            <w:r/>
            <w:r>
              <w:rPr>
                <w:sz w:val="19"/>
              </w:rPr>
              <w:t>.gitignore:1-12</w:t>
            </w:r>
          </w:p>
        </w:tc>
      </w:tr>
      <w:tr>
        <w:tc>
          <w:tcPr>
            <w:tcW w:type="dxa" w:w="1152"/>
          </w:tcPr>
          <w:p>
            <w:r/>
            <w:r>
              <w:rPr>
                <w:sz w:val="19"/>
              </w:rPr>
              <w:t>VULN-004</w:t>
            </w:r>
          </w:p>
        </w:tc>
        <w:tc>
          <w:tcPr>
            <w:tcW w:type="dxa" w:w="3168"/>
          </w:tcPr>
          <w:p>
            <w:r/>
            <w:r>
              <w:rPr>
                <w:sz w:val="19"/>
              </w:rPr>
              <w:t>No automated dependency/action update configuration</w:t>
            </w:r>
          </w:p>
        </w:tc>
        <w:tc>
          <w:tcPr>
            <w:tcW w:type="dxa" w:w="1296"/>
            <w:shd w:val="clear" w:color="auto" w:fill="FFF176"/>
          </w:tcPr>
          <w:p>
            <w:r/>
            <w:r>
              <w:rPr>
                <w:b/>
                <w:sz w:val="19"/>
              </w:rPr>
              <w:t>Low</w:t>
            </w:r>
          </w:p>
        </w:tc>
        <w:tc>
          <w:tcPr>
            <w:tcW w:type="dxa" w:w="1008"/>
          </w:tcPr>
          <w:p>
            <w:r/>
            <w:r>
              <w:rPr>
                <w:sz w:val="19"/>
              </w:rPr>
              <w:t>CWE-1104</w:t>
            </w:r>
          </w:p>
        </w:tc>
        <w:tc>
          <w:tcPr>
            <w:tcW w:type="dxa" w:w="864"/>
          </w:tcPr>
          <w:p>
            <w:r/>
            <w:r>
              <w:rPr>
                <w:sz w:val="19"/>
              </w:rPr>
              <w:t>A06:2021</w:t>
            </w:r>
          </w:p>
        </w:tc>
        <w:tc>
          <w:tcPr>
            <w:tcW w:type="dxa" w:w="2448"/>
          </w:tcPr>
          <w:p>
            <w:r/>
            <w:r>
              <w:rPr>
                <w:sz w:val="19"/>
              </w:rPr>
              <w:t>.github/ (no dependabot.yml present)</w:t>
            </w:r>
          </w:p>
        </w:tc>
      </w:tr>
      <w:tr>
        <w:tc>
          <w:tcPr>
            <w:tcW w:type="dxa" w:w="1152"/>
          </w:tcPr>
          <w:p>
            <w:r/>
            <w:r>
              <w:rPr>
                <w:sz w:val="19"/>
              </w:rPr>
              <w:t>VULN-005</w:t>
            </w:r>
          </w:p>
        </w:tc>
        <w:tc>
          <w:tcPr>
            <w:tcW w:type="dxa" w:w="3168"/>
          </w:tcPr>
          <w:p>
            <w:r/>
            <w:r>
              <w:rPr>
                <w:sz w:val="19"/>
              </w:rPr>
              <w:t>Broad tool permissions in custom command and agent definitions</w:t>
            </w:r>
          </w:p>
        </w:tc>
        <w:tc>
          <w:tcPr>
            <w:tcW w:type="dxa" w:w="1296"/>
            <w:shd w:val="clear" w:color="auto" w:fill="B0BEC5"/>
          </w:tcPr>
          <w:p>
            <w:r/>
            <w:r>
              <w:rPr>
                <w:b/>
                <w:sz w:val="19"/>
              </w:rPr>
              <w:t>Informational</w:t>
            </w:r>
          </w:p>
        </w:tc>
        <w:tc>
          <w:tcPr>
            <w:tcW w:type="dxa" w:w="1008"/>
          </w:tcPr>
          <w:p>
            <w:r/>
            <w:r>
              <w:rPr>
                <w:sz w:val="19"/>
              </w:rPr>
              <w:t>CWE-250</w:t>
            </w:r>
          </w:p>
        </w:tc>
        <w:tc>
          <w:tcPr>
            <w:tcW w:type="dxa" w:w="864"/>
          </w:tcPr>
          <w:p>
            <w:r/>
            <w:r>
              <w:rPr>
                <w:sz w:val="19"/>
              </w:rPr>
              <w:t>A04:2021</w:t>
            </w:r>
          </w:p>
        </w:tc>
        <w:tc>
          <w:tcPr>
            <w:tcW w:type="dxa" w:w="2448"/>
          </w:tcPr>
          <w:p>
            <w:r/>
            <w:r>
              <w:rPr>
                <w:sz w:val="19"/>
              </w:rPr>
              <w:t>.claude/commands/publish-to-github.md:4</w:t>
            </w:r>
          </w:p>
        </w:tc>
      </w:tr>
      <w:tr>
        <w:tc>
          <w:tcPr>
            <w:tcW w:type="dxa" w:w="1152"/>
          </w:tcPr>
          <w:p>
            <w:r/>
            <w:r>
              <w:rPr>
                <w:sz w:val="19"/>
              </w:rPr>
              <w:t>VULN-006</w:t>
            </w:r>
          </w:p>
        </w:tc>
        <w:tc>
          <w:tcPr>
            <w:tcW w:type="dxa" w:w="3168"/>
          </w:tcPr>
          <w:p>
            <w:r/>
            <w:r>
              <w:rPr>
                <w:sz w:val="19"/>
              </w:rPr>
              <w:t>Workflow triggers reference a stale feature branch name</w:t>
            </w:r>
          </w:p>
        </w:tc>
        <w:tc>
          <w:tcPr>
            <w:tcW w:type="dxa" w:w="1296"/>
            <w:shd w:val="clear" w:color="auto" w:fill="B0BEC5"/>
          </w:tcPr>
          <w:p>
            <w:r/>
            <w:r>
              <w:rPr>
                <w:b/>
                <w:sz w:val="19"/>
              </w:rPr>
              <w:t>Informational</w:t>
            </w:r>
          </w:p>
        </w:tc>
        <w:tc>
          <w:tcPr>
            <w:tcW w:type="dxa" w:w="1008"/>
          </w:tcPr>
          <w:p>
            <w:r/>
            <w:r>
              <w:rPr>
                <w:sz w:val="19"/>
              </w:rPr>
              <w:t>CWE-1188</w:t>
            </w:r>
          </w:p>
        </w:tc>
        <w:tc>
          <w:tcPr>
            <w:tcW w:type="dxa" w:w="864"/>
          </w:tcPr>
          <w:p>
            <w:r/>
            <w:r>
              <w:rPr>
                <w:sz w:val="19"/>
              </w:rPr>
              <w:t>A05:2021</w:t>
            </w:r>
          </w:p>
        </w:tc>
        <w:tc>
          <w:tcPr>
            <w:tcW w:type="dxa" w:w="2448"/>
          </w:tcPr>
          <w:p>
            <w:r/>
            <w:r>
              <w:rPr>
                <w:sz w:val="19"/>
              </w:rPr>
              <w:t>.github/workflows/ci.yml:5</w:t>
            </w:r>
          </w:p>
        </w:tc>
      </w:tr>
    </w:tbl>
    <w:p/>
    <w:p>
      <w:pPr>
        <w:pStyle w:val="Heading1"/>
      </w:pPr>
      <w:r>
        <w:t>4. Classification Breakdown</w:t>
      </w:r>
    </w:p>
    <w:p>
      <w:pPr>
        <w:pStyle w:val="Heading3"/>
      </w:pPr>
      <w:r>
        <w:t>By severity</w:t>
      </w:r>
    </w:p>
    <w:tbl>
      <w:tblPr>
        <w:tblStyle w:val="TableGrid"/>
        <w:tblW w:type="auto" w:w="0"/>
        <w:tblLook w:firstColumn="1" w:firstRow="1" w:lastColumn="0" w:lastRow="0" w:noHBand="0" w:noVBand="1" w:val="04A0"/>
      </w:tblPr>
      <w:tblGrid>
        <w:gridCol w:w="4824"/>
        <w:gridCol w:w="4824"/>
      </w:tblGrid>
      <w:tr>
        <w:trPr>
          <w:tblHeader w:val="true"/>
        </w:trPr>
        <w:tc>
          <w:tcPr>
            <w:tcW w:type="dxa" w:w="2880"/>
            <w:shd w:val="clear" w:color="auto" w:fill="1F3A5F"/>
          </w:tcPr>
          <w:p>
            <w:r/>
            <w:r>
              <w:rPr>
                <w:b/>
                <w:color w:val="FFFFFF"/>
                <w:sz w:val="19"/>
              </w:rPr>
              <w:t>Severity</w:t>
            </w:r>
          </w:p>
        </w:tc>
        <w:tc>
          <w:tcPr>
            <w:tcW w:type="dxa" w:w="1440"/>
            <w:shd w:val="clear" w:color="auto" w:fill="1F3A5F"/>
          </w:tcPr>
          <w:p>
            <w:r/>
            <w:r>
              <w:rPr>
                <w:b/>
                <w:color w:val="FFFFFF"/>
                <w:sz w:val="19"/>
              </w:rPr>
              <w:t>Count</w:t>
            </w:r>
          </w:p>
        </w:tc>
      </w:tr>
      <w:tr>
        <w:tc>
          <w:tcPr>
            <w:tcW w:type="dxa" w:w="2880"/>
            <w:shd w:val="clear" w:color="auto" w:fill="8B0000"/>
          </w:tcPr>
          <w:p>
            <w:r/>
            <w:r>
              <w:rPr>
                <w:b/>
                <w:color w:val="FFFFFF"/>
                <w:sz w:val="19"/>
              </w:rPr>
              <w:t>Critical</w:t>
            </w:r>
          </w:p>
        </w:tc>
        <w:tc>
          <w:tcPr>
            <w:tcW w:type="dxa" w:w="1440"/>
          </w:tcPr>
          <w:p>
            <w:r/>
            <w:r>
              <w:rPr>
                <w:sz w:val="19"/>
              </w:rPr>
              <w:t>0</w:t>
            </w:r>
          </w:p>
        </w:tc>
      </w:tr>
      <w:tr>
        <w:tc>
          <w:tcPr>
            <w:tcW w:type="dxa" w:w="2880"/>
            <w:shd w:val="clear" w:color="auto" w:fill="E8590C"/>
          </w:tcPr>
          <w:p>
            <w:r/>
            <w:r>
              <w:rPr>
                <w:b/>
                <w:color w:val="FFFFFF"/>
                <w:sz w:val="19"/>
              </w:rPr>
              <w:t>High</w:t>
            </w:r>
          </w:p>
        </w:tc>
        <w:tc>
          <w:tcPr>
            <w:tcW w:type="dxa" w:w="1440"/>
          </w:tcPr>
          <w:p>
            <w:r/>
            <w:r>
              <w:rPr>
                <w:sz w:val="19"/>
              </w:rPr>
              <w:t>0</w:t>
            </w:r>
          </w:p>
        </w:tc>
      </w:tr>
      <w:tr>
        <w:tc>
          <w:tcPr>
            <w:tcW w:type="dxa" w:w="2880"/>
            <w:shd w:val="clear" w:color="auto" w:fill="FFC107"/>
          </w:tcPr>
          <w:p>
            <w:r/>
            <w:r>
              <w:rPr>
                <w:b/>
                <w:sz w:val="19"/>
              </w:rPr>
              <w:t>Medium</w:t>
            </w:r>
          </w:p>
        </w:tc>
        <w:tc>
          <w:tcPr>
            <w:tcW w:type="dxa" w:w="1440"/>
          </w:tcPr>
          <w:p>
            <w:r/>
            <w:r>
              <w:rPr>
                <w:sz w:val="19"/>
              </w:rPr>
              <w:t>1</w:t>
            </w:r>
          </w:p>
        </w:tc>
      </w:tr>
      <w:tr>
        <w:tc>
          <w:tcPr>
            <w:tcW w:type="dxa" w:w="2880"/>
            <w:shd w:val="clear" w:color="auto" w:fill="FFF176"/>
          </w:tcPr>
          <w:p>
            <w:r/>
            <w:r>
              <w:rPr>
                <w:b/>
                <w:sz w:val="19"/>
              </w:rPr>
              <w:t>Low</w:t>
            </w:r>
          </w:p>
        </w:tc>
        <w:tc>
          <w:tcPr>
            <w:tcW w:type="dxa" w:w="1440"/>
          </w:tcPr>
          <w:p>
            <w:r/>
            <w:r>
              <w:rPr>
                <w:sz w:val="19"/>
              </w:rPr>
              <w:t>3</w:t>
            </w:r>
          </w:p>
        </w:tc>
      </w:tr>
      <w:tr>
        <w:tc>
          <w:tcPr>
            <w:tcW w:type="dxa" w:w="2880"/>
            <w:shd w:val="clear" w:color="auto" w:fill="B0BEC5"/>
          </w:tcPr>
          <w:p>
            <w:r/>
            <w:r>
              <w:rPr>
                <w:b/>
                <w:sz w:val="19"/>
              </w:rPr>
              <w:t>Informational</w:t>
            </w:r>
          </w:p>
        </w:tc>
        <w:tc>
          <w:tcPr>
            <w:tcW w:type="dxa" w:w="1440"/>
          </w:tcPr>
          <w:p>
            <w:r/>
            <w:r>
              <w:rPr>
                <w:sz w:val="19"/>
              </w:rPr>
              <w:t>2</w:t>
            </w:r>
          </w:p>
        </w:tc>
      </w:tr>
    </w:tbl>
    <w:p/>
    <w:p>
      <w:pPr>
        <w:pStyle w:val="Heading3"/>
      </w:pPr>
      <w:r>
        <w:t>By OWASP Top 10 (2021)</w:t>
      </w:r>
    </w:p>
    <w:tbl>
      <w:tblPr>
        <w:tblStyle w:val="TableGrid"/>
        <w:tblW w:type="auto" w:w="0"/>
        <w:tblLook w:firstColumn="1" w:firstRow="1" w:lastColumn="0" w:lastRow="0" w:noHBand="0" w:noVBand="1" w:val="04A0"/>
      </w:tblPr>
      <w:tblGrid>
        <w:gridCol w:w="4824"/>
        <w:gridCol w:w="4824"/>
      </w:tblGrid>
      <w:tr>
        <w:trPr>
          <w:tblHeader w:val="true"/>
        </w:trPr>
        <w:tc>
          <w:tcPr>
            <w:tcW w:type="dxa" w:w="6480"/>
            <w:shd w:val="clear" w:color="auto" w:fill="1F3A5F"/>
          </w:tcPr>
          <w:p>
            <w:r/>
            <w:r>
              <w:rPr>
                <w:b/>
                <w:color w:val="FFFFFF"/>
                <w:sz w:val="19"/>
              </w:rPr>
              <w:t>Category</w:t>
            </w:r>
          </w:p>
        </w:tc>
        <w:tc>
          <w:tcPr>
            <w:tcW w:type="dxa" w:w="1440"/>
            <w:shd w:val="clear" w:color="auto" w:fill="1F3A5F"/>
          </w:tcPr>
          <w:p>
            <w:r/>
            <w:r>
              <w:rPr>
                <w:b/>
                <w:color w:val="FFFFFF"/>
                <w:sz w:val="19"/>
              </w:rPr>
              <w:t>Count</w:t>
            </w:r>
          </w:p>
        </w:tc>
      </w:tr>
      <w:tr>
        <w:tc>
          <w:tcPr>
            <w:tcW w:type="dxa" w:w="6480"/>
          </w:tcPr>
          <w:p>
            <w:r/>
            <w:r>
              <w:rPr>
                <w:sz w:val="19"/>
              </w:rPr>
              <w:t>A04:2021 Insecure Design</w:t>
            </w:r>
          </w:p>
        </w:tc>
        <w:tc>
          <w:tcPr>
            <w:tcW w:type="dxa" w:w="1440"/>
          </w:tcPr>
          <w:p>
            <w:r/>
            <w:r>
              <w:rPr>
                <w:sz w:val="19"/>
              </w:rPr>
              <w:t>1</w:t>
            </w:r>
          </w:p>
        </w:tc>
      </w:tr>
      <w:tr>
        <w:tc>
          <w:tcPr>
            <w:tcW w:type="dxa" w:w="6480"/>
          </w:tcPr>
          <w:p>
            <w:r/>
            <w:r>
              <w:rPr>
                <w:sz w:val="19"/>
              </w:rPr>
              <w:t>A05:2021 Security Misconfiguration</w:t>
            </w:r>
          </w:p>
        </w:tc>
        <w:tc>
          <w:tcPr>
            <w:tcW w:type="dxa" w:w="1440"/>
          </w:tcPr>
          <w:p>
            <w:r/>
            <w:r>
              <w:rPr>
                <w:sz w:val="19"/>
              </w:rPr>
              <w:t>3</w:t>
            </w:r>
          </w:p>
        </w:tc>
      </w:tr>
      <w:tr>
        <w:tc>
          <w:tcPr>
            <w:tcW w:type="dxa" w:w="6480"/>
          </w:tcPr>
          <w:p>
            <w:r/>
            <w:r>
              <w:rPr>
                <w:sz w:val="19"/>
              </w:rPr>
              <w:t>A06:2021 Vulnerable and Outdated Components</w:t>
            </w:r>
          </w:p>
        </w:tc>
        <w:tc>
          <w:tcPr>
            <w:tcW w:type="dxa" w:w="1440"/>
          </w:tcPr>
          <w:p>
            <w:r/>
            <w:r>
              <w:rPr>
                <w:sz w:val="19"/>
              </w:rPr>
              <w:t>1</w:t>
            </w:r>
          </w:p>
        </w:tc>
      </w:tr>
      <w:tr>
        <w:tc>
          <w:tcPr>
            <w:tcW w:type="dxa" w:w="6480"/>
          </w:tcPr>
          <w:p>
            <w:r/>
            <w:r>
              <w:rPr>
                <w:sz w:val="19"/>
              </w:rPr>
              <w:t>A08:2021 Software and Data Integrity Failures</w:t>
            </w:r>
          </w:p>
        </w:tc>
        <w:tc>
          <w:tcPr>
            <w:tcW w:type="dxa" w:w="1440"/>
          </w:tcPr>
          <w:p>
            <w:r/>
            <w:r>
              <w:rPr>
                <w:sz w:val="19"/>
              </w:rPr>
              <w:t>1</w:t>
            </w:r>
          </w:p>
        </w:tc>
      </w:tr>
    </w:tbl>
    <w:p/>
    <w:p>
      <w:pPr>
        <w:pStyle w:val="Heading3"/>
      </w:pPr>
      <w:r>
        <w:t>By CWE</w:t>
      </w:r>
    </w:p>
    <w:tbl>
      <w:tblPr>
        <w:tblStyle w:val="TableGrid"/>
        <w:tblW w:type="auto" w:w="0"/>
        <w:tblLook w:firstColumn="1" w:firstRow="1" w:lastColumn="0" w:lastRow="0" w:noHBand="0" w:noVBand="1" w:val="04A0"/>
      </w:tblPr>
      <w:tblGrid>
        <w:gridCol w:w="4824"/>
        <w:gridCol w:w="4824"/>
      </w:tblGrid>
      <w:tr>
        <w:trPr>
          <w:tblHeader w:val="true"/>
        </w:trPr>
        <w:tc>
          <w:tcPr>
            <w:tcW w:type="dxa" w:w="2880"/>
            <w:shd w:val="clear" w:color="auto" w:fill="1F3A5F"/>
          </w:tcPr>
          <w:p>
            <w:r/>
            <w:r>
              <w:rPr>
                <w:b/>
                <w:color w:val="FFFFFF"/>
                <w:sz w:val="19"/>
              </w:rPr>
              <w:t>CWE</w:t>
            </w:r>
          </w:p>
        </w:tc>
        <w:tc>
          <w:tcPr>
            <w:tcW w:type="dxa" w:w="1440"/>
            <w:shd w:val="clear" w:color="auto" w:fill="1F3A5F"/>
          </w:tcPr>
          <w:p>
            <w:r/>
            <w:r>
              <w:rPr>
                <w:b/>
                <w:color w:val="FFFFFF"/>
                <w:sz w:val="19"/>
              </w:rPr>
              <w:t>Count</w:t>
            </w:r>
          </w:p>
        </w:tc>
      </w:tr>
      <w:tr>
        <w:tc>
          <w:tcPr>
            <w:tcW w:type="dxa" w:w="2880"/>
          </w:tcPr>
          <w:p>
            <w:r/>
            <w:r>
              <w:rPr>
                <w:sz w:val="19"/>
              </w:rPr>
              <w:t>CWE-1104</w:t>
            </w:r>
          </w:p>
        </w:tc>
        <w:tc>
          <w:tcPr>
            <w:tcW w:type="dxa" w:w="1440"/>
          </w:tcPr>
          <w:p>
            <w:r/>
            <w:r>
              <w:rPr>
                <w:sz w:val="19"/>
              </w:rPr>
              <w:t>1</w:t>
            </w:r>
          </w:p>
        </w:tc>
      </w:tr>
      <w:tr>
        <w:tc>
          <w:tcPr>
            <w:tcW w:type="dxa" w:w="2880"/>
          </w:tcPr>
          <w:p>
            <w:r/>
            <w:r>
              <w:rPr>
                <w:sz w:val="19"/>
              </w:rPr>
              <w:t>CWE-1188</w:t>
            </w:r>
          </w:p>
        </w:tc>
        <w:tc>
          <w:tcPr>
            <w:tcW w:type="dxa" w:w="1440"/>
          </w:tcPr>
          <w:p>
            <w:r/>
            <w:r>
              <w:rPr>
                <w:sz w:val="19"/>
              </w:rPr>
              <w:t>1</w:t>
            </w:r>
          </w:p>
        </w:tc>
      </w:tr>
      <w:tr>
        <w:tc>
          <w:tcPr>
            <w:tcW w:type="dxa" w:w="2880"/>
          </w:tcPr>
          <w:p>
            <w:r/>
            <w:r>
              <w:rPr>
                <w:sz w:val="19"/>
              </w:rPr>
              <w:t>CWE-250</w:t>
            </w:r>
          </w:p>
        </w:tc>
        <w:tc>
          <w:tcPr>
            <w:tcW w:type="dxa" w:w="1440"/>
          </w:tcPr>
          <w:p>
            <w:r/>
            <w:r>
              <w:rPr>
                <w:sz w:val="19"/>
              </w:rPr>
              <w:t>1</w:t>
            </w:r>
          </w:p>
        </w:tc>
      </w:tr>
      <w:tr>
        <w:tc>
          <w:tcPr>
            <w:tcW w:type="dxa" w:w="2880"/>
          </w:tcPr>
          <w:p>
            <w:r/>
            <w:r>
              <w:rPr>
                <w:sz w:val="19"/>
              </w:rPr>
              <w:t>CWE-538</w:t>
            </w:r>
          </w:p>
        </w:tc>
        <w:tc>
          <w:tcPr>
            <w:tcW w:type="dxa" w:w="1440"/>
          </w:tcPr>
          <w:p>
            <w:r/>
            <w:r>
              <w:rPr>
                <w:sz w:val="19"/>
              </w:rPr>
              <w:t>1</w:t>
            </w:r>
          </w:p>
        </w:tc>
      </w:tr>
      <w:tr>
        <w:tc>
          <w:tcPr>
            <w:tcW w:type="dxa" w:w="2880"/>
          </w:tcPr>
          <w:p>
            <w:r/>
            <w:r>
              <w:rPr>
                <w:sz w:val="19"/>
              </w:rPr>
              <w:t>CWE-693</w:t>
            </w:r>
          </w:p>
        </w:tc>
        <w:tc>
          <w:tcPr>
            <w:tcW w:type="dxa" w:w="1440"/>
          </w:tcPr>
          <w:p>
            <w:r/>
            <w:r>
              <w:rPr>
                <w:sz w:val="19"/>
              </w:rPr>
              <w:t>1</w:t>
            </w:r>
          </w:p>
        </w:tc>
      </w:tr>
      <w:tr>
        <w:tc>
          <w:tcPr>
            <w:tcW w:type="dxa" w:w="2880"/>
          </w:tcPr>
          <w:p>
            <w:r/>
            <w:r>
              <w:rPr>
                <w:sz w:val="19"/>
              </w:rPr>
              <w:t>CWE-829</w:t>
            </w:r>
          </w:p>
        </w:tc>
        <w:tc>
          <w:tcPr>
            <w:tcW w:type="dxa" w:w="1440"/>
          </w:tcPr>
          <w:p>
            <w:r/>
            <w:r>
              <w:rPr>
                <w:sz w:val="19"/>
              </w:rPr>
              <w:t>1</w:t>
            </w:r>
          </w:p>
        </w:tc>
      </w:tr>
    </w:tbl>
    <w:p/>
    <w:p>
      <w:pPr>
        <w:pStyle w:val="Heading1"/>
      </w:pPr>
      <w:r>
        <w:t>5. Detailed Findings</w:t>
      </w:r>
    </w:p>
    <w:p>
      <w:pPr>
        <w:pStyle w:val="Heading2"/>
      </w:pPr>
      <w:r>
        <w:t>VULN-001: GitHub Actions not pinned to commit SHAs (incl. third-party gitleaks-action)</w:t>
      </w:r>
    </w:p>
    <w:tbl>
      <w:tblPr>
        <w:tblStyle w:val="TableGrid"/>
        <w:tblW w:type="auto" w:w="0"/>
        <w:tblLook w:firstColumn="1" w:firstRow="1" w:lastColumn="0" w:lastRow="0" w:noHBand="0" w:noVBand="1" w:val="04A0"/>
      </w:tblPr>
      <w:tblGrid>
        <w:gridCol w:w="4824"/>
        <w:gridCol w:w="4824"/>
      </w:tblGrid>
      <w:tr>
        <w:trPr>
          <w:tblHeader w:val="true"/>
        </w:trPr>
        <w:tc>
          <w:tcPr>
            <w:tcW w:type="dxa" w:w="2592"/>
            <w:shd w:val="clear" w:color="auto" w:fill="1F3A5F"/>
          </w:tcPr>
          <w:p>
            <w:r/>
            <w:r>
              <w:rPr>
                <w:b/>
                <w:color w:val="FFFFFF"/>
                <w:sz w:val="19"/>
              </w:rPr>
              <w:t>Field</w:t>
            </w:r>
          </w:p>
        </w:tc>
        <w:tc>
          <w:tcPr>
            <w:tcW w:type="dxa" w:w="7056"/>
            <w:shd w:val="clear" w:color="auto" w:fill="1F3A5F"/>
          </w:tcPr>
          <w:p>
            <w:r/>
            <w:r>
              <w:rPr>
                <w:b/>
                <w:color w:val="FFFFFF"/>
                <w:sz w:val="19"/>
              </w:rPr>
              <w:t>Value</w:t>
            </w:r>
          </w:p>
        </w:tc>
      </w:tr>
      <w:tr>
        <w:tc>
          <w:tcPr>
            <w:tcW w:type="dxa" w:w="2592"/>
          </w:tcPr>
          <w:p>
            <w:r/>
            <w:r>
              <w:rPr>
                <w:sz w:val="19"/>
              </w:rPr>
              <w:t>Severity</w:t>
            </w:r>
          </w:p>
        </w:tc>
        <w:tc>
          <w:tcPr>
            <w:tcW w:type="dxa" w:w="7056"/>
            <w:shd w:val="clear" w:color="auto" w:fill="FFC107"/>
          </w:tcPr>
          <w:p>
            <w:r/>
            <w:r>
              <w:rPr>
                <w:sz w:val="19"/>
              </w:rPr>
              <w:t>Medium</w:t>
            </w:r>
          </w:p>
        </w:tc>
      </w:tr>
      <w:tr>
        <w:tc>
          <w:tcPr>
            <w:tcW w:type="dxa" w:w="2592"/>
          </w:tcPr>
          <w:p>
            <w:r/>
            <w:r>
              <w:rPr>
                <w:sz w:val="19"/>
              </w:rPr>
              <w:t>CVSS v3.1 (estimated)</w:t>
            </w:r>
          </w:p>
        </w:tc>
        <w:tc>
          <w:tcPr>
            <w:tcW w:type="dxa" w:w="7056"/>
          </w:tcPr>
          <w:p>
            <w:r/>
            <w:r>
              <w:rPr>
                <w:sz w:val="19"/>
              </w:rPr>
              <w:t>4.8  CVSS:3.1/AV:N/AC:H/PR:N/UI:N/S:U/C:L/I:L/A:N</w:t>
            </w:r>
          </w:p>
        </w:tc>
      </w:tr>
      <w:tr>
        <w:tc>
          <w:tcPr>
            <w:tcW w:type="dxa" w:w="2592"/>
          </w:tcPr>
          <w:p>
            <w:r/>
            <w:r>
              <w:rPr>
                <w:sz w:val="19"/>
              </w:rPr>
              <w:t>CWE</w:t>
            </w:r>
          </w:p>
        </w:tc>
        <w:tc>
          <w:tcPr>
            <w:tcW w:type="dxa" w:w="7056"/>
          </w:tcPr>
          <w:p>
            <w:r/>
            <w:r>
              <w:rPr>
                <w:sz w:val="19"/>
              </w:rPr>
              <w:t>CWE-829</w:t>
            </w:r>
          </w:p>
        </w:tc>
      </w:tr>
      <w:tr>
        <w:tc>
          <w:tcPr>
            <w:tcW w:type="dxa" w:w="2592"/>
          </w:tcPr>
          <w:p>
            <w:r/>
            <w:r>
              <w:rPr>
                <w:sz w:val="19"/>
              </w:rPr>
              <w:t>OWASP Top 10 (2021)</w:t>
            </w:r>
          </w:p>
        </w:tc>
        <w:tc>
          <w:tcPr>
            <w:tcW w:type="dxa" w:w="7056"/>
          </w:tcPr>
          <w:p>
            <w:r/>
            <w:r>
              <w:rPr>
                <w:sz w:val="19"/>
              </w:rPr>
              <w:t>A08:2021 Software and Data Integrity Failures</w:t>
            </w:r>
          </w:p>
        </w:tc>
      </w:tr>
      <w:tr>
        <w:tc>
          <w:tcPr>
            <w:tcW w:type="dxa" w:w="2592"/>
          </w:tcPr>
          <w:p>
            <w:r/>
            <w:r>
              <w:rPr>
                <w:sz w:val="19"/>
              </w:rPr>
              <w:t>Category</w:t>
            </w:r>
          </w:p>
        </w:tc>
        <w:tc>
          <w:tcPr>
            <w:tcW w:type="dxa" w:w="7056"/>
          </w:tcPr>
          <w:p>
            <w:r/>
            <w:r>
              <w:rPr>
                <w:sz w:val="19"/>
              </w:rPr>
              <w:t>CI/CD and supply chain</w:t>
            </w:r>
          </w:p>
        </w:tc>
      </w:tr>
      <w:tr>
        <w:tc>
          <w:tcPr>
            <w:tcW w:type="dxa" w:w="2592"/>
          </w:tcPr>
          <w:p>
            <w:r/>
            <w:r>
              <w:rPr>
                <w:sz w:val="19"/>
              </w:rPr>
              <w:t>Location</w:t>
            </w:r>
          </w:p>
        </w:tc>
        <w:tc>
          <w:tcPr>
            <w:tcW w:type="dxa" w:w="7056"/>
          </w:tcPr>
          <w:p>
            <w:r/>
            <w:r>
              <w:rPr>
                <w:sz w:val="19"/>
              </w:rPr>
              <w:t>.github/workflows/ci.yml:15, :25, :28; .github/workflows/pages.yml:25, :26, :27, :31</w:t>
            </w:r>
          </w:p>
        </w:tc>
      </w:tr>
      <w:tr>
        <w:tc>
          <w:tcPr>
            <w:tcW w:type="dxa" w:w="2592"/>
          </w:tcPr>
          <w:p>
            <w:r/>
            <w:r>
              <w:rPr>
                <w:sz w:val="19"/>
              </w:rPr>
              <w:t>Likelihood / Impact</w:t>
            </w:r>
          </w:p>
        </w:tc>
        <w:tc>
          <w:tcPr>
            <w:tcW w:type="dxa" w:w="7056"/>
          </w:tcPr>
          <w:p>
            <w:r/>
            <w:r>
              <w:rPr>
                <w:sz w:val="19"/>
              </w:rPr>
              <w:t>Low / Medium</w:t>
            </w:r>
          </w:p>
        </w:tc>
      </w:tr>
      <w:tr>
        <w:tc>
          <w:tcPr>
            <w:tcW w:type="dxa" w:w="2592"/>
          </w:tcPr>
          <w:p>
            <w:r/>
            <w:r>
              <w:rPr>
                <w:sz w:val="19"/>
              </w:rPr>
              <w:t>Status</w:t>
            </w:r>
          </w:p>
        </w:tc>
        <w:tc>
          <w:tcPr>
            <w:tcW w:type="dxa" w:w="7056"/>
          </w:tcPr>
          <w:p>
            <w:r/>
            <w:r>
              <w:rPr>
                <w:sz w:val="19"/>
              </w:rPr>
              <w:t>Open</w:t>
            </w:r>
          </w:p>
        </w:tc>
      </w:tr>
    </w:tbl>
    <w:p/>
    <w:p>
      <w:r>
        <w:rPr>
          <w:b/>
        </w:rPr>
        <w:t>Evidence</w:t>
      </w:r>
    </w:p>
    <w:p>
      <w:pPr>
        <w:shd w:val="clear" w:fill="F2F4F6"/>
      </w:pPr>
      <w:r>
        <w:rPr>
          <w:rFonts w:ascii="Consolas" w:hAnsi="Consolas" w:eastAsia="Consolas"/>
          <w:sz w:val="18"/>
        </w:rPr>
        <w:t>- uses: gitleaks/gitleaks-action@v2   (ci.yml:28, receives GITHUB_TOKEN)</w:t>
        <w:br/>
        <w:t>- uses: actions/checkout@v4</w:t>
        <w:br/>
        <w:t>- uses: actions/deploy-pages@v4</w:t>
      </w:r>
    </w:p>
    <w:p>
      <w:r>
        <w:rPr>
          <w:b/>
        </w:rPr>
        <w:t>Description</w:t>
      </w:r>
    </w:p>
    <w:p>
      <w:r>
        <w:rPr>
          <w:b w:val="0"/>
        </w:rPr>
        <w:t>All actions are referenced by mutable major-version tags. If a tag is moved or an upstream repository is compromised, malicious code would run in the workflow with access to GITHUB_TOKEN and, in pages.yml, the id-token:write / pages:write permissions. The third-party gitleaks action carries the highest risk.</w:t>
      </w:r>
    </w:p>
    <w:p>
      <w:r>
        <w:rPr>
          <w:b/>
        </w:rPr>
        <w:t>Remediation</w:t>
      </w:r>
    </w:p>
    <w:p>
      <w:pPr>
        <w:shd w:val="clear" w:fill="F2F4F6"/>
      </w:pPr>
      <w:r>
        <w:rPr>
          <w:rFonts w:ascii="Consolas" w:hAnsi="Consolas" w:eastAsia="Consolas"/>
          <w:sz w:val="18"/>
        </w:rPr>
        <w:t>Pin each action to a full 40-character commit SHA with a version comment, e.g.</w:t>
        <w:br/>
        <w:t>- uses: actions/checkout@&lt;40-char-sha&gt;  # v4.x.y</w:t>
        <w:br/>
        <w:t>and enable Dependabot for github-actions to keep pins current.</w:t>
      </w:r>
    </w:p>
    <w:p>
      <w:pPr>
        <w:pStyle w:val="Heading2"/>
      </w:pPr>
      <w:r>
        <w:t>VULN-002: No Content Security Policy on GitHub Pages site</w:t>
      </w:r>
    </w:p>
    <w:tbl>
      <w:tblPr>
        <w:tblStyle w:val="TableGrid"/>
        <w:tblW w:type="auto" w:w="0"/>
        <w:tblLook w:firstColumn="1" w:firstRow="1" w:lastColumn="0" w:lastRow="0" w:noHBand="0" w:noVBand="1" w:val="04A0"/>
      </w:tblPr>
      <w:tblGrid>
        <w:gridCol w:w="4824"/>
        <w:gridCol w:w="4824"/>
      </w:tblGrid>
      <w:tr>
        <w:trPr>
          <w:tblHeader w:val="true"/>
        </w:trPr>
        <w:tc>
          <w:tcPr>
            <w:tcW w:type="dxa" w:w="2592"/>
            <w:shd w:val="clear" w:color="auto" w:fill="1F3A5F"/>
          </w:tcPr>
          <w:p>
            <w:r/>
            <w:r>
              <w:rPr>
                <w:b/>
                <w:color w:val="FFFFFF"/>
                <w:sz w:val="19"/>
              </w:rPr>
              <w:t>Field</w:t>
            </w:r>
          </w:p>
        </w:tc>
        <w:tc>
          <w:tcPr>
            <w:tcW w:type="dxa" w:w="7056"/>
            <w:shd w:val="clear" w:color="auto" w:fill="1F3A5F"/>
          </w:tcPr>
          <w:p>
            <w:r/>
            <w:r>
              <w:rPr>
                <w:b/>
                <w:color w:val="FFFFFF"/>
                <w:sz w:val="19"/>
              </w:rPr>
              <w:t>Value</w:t>
            </w:r>
          </w:p>
        </w:tc>
      </w:tr>
      <w:tr>
        <w:tc>
          <w:tcPr>
            <w:tcW w:type="dxa" w:w="2592"/>
          </w:tcPr>
          <w:p>
            <w:r/>
            <w:r>
              <w:rPr>
                <w:sz w:val="19"/>
              </w:rPr>
              <w:t>Severity</w:t>
            </w:r>
          </w:p>
        </w:tc>
        <w:tc>
          <w:tcPr>
            <w:tcW w:type="dxa" w:w="7056"/>
            <w:shd w:val="clear" w:color="auto" w:fill="FFF176"/>
          </w:tcPr>
          <w:p>
            <w:r/>
            <w:r>
              <w:rPr>
                <w:sz w:val="19"/>
              </w:rPr>
              <w:t>Low</w:t>
            </w:r>
          </w:p>
        </w:tc>
      </w:tr>
      <w:tr>
        <w:tc>
          <w:tcPr>
            <w:tcW w:type="dxa" w:w="2592"/>
          </w:tcPr>
          <w:p>
            <w:r/>
            <w:r>
              <w:rPr>
                <w:sz w:val="19"/>
              </w:rPr>
              <w:t>CVSS v3.1 (estimated)</w:t>
            </w:r>
          </w:p>
        </w:tc>
        <w:tc>
          <w:tcPr>
            <w:tcW w:type="dxa" w:w="7056"/>
          </w:tcPr>
          <w:p>
            <w:r/>
            <w:r>
              <w:rPr>
                <w:sz w:val="19"/>
              </w:rPr>
              <w:t>3.1  CVSS:3.1/AV:N/AC:H/PR:N/UI:R/S:U/C:N/I:L/A:N</w:t>
            </w:r>
          </w:p>
        </w:tc>
      </w:tr>
      <w:tr>
        <w:tc>
          <w:tcPr>
            <w:tcW w:type="dxa" w:w="2592"/>
          </w:tcPr>
          <w:p>
            <w:r/>
            <w:r>
              <w:rPr>
                <w:sz w:val="19"/>
              </w:rPr>
              <w:t>CWE</w:t>
            </w:r>
          </w:p>
        </w:tc>
        <w:tc>
          <w:tcPr>
            <w:tcW w:type="dxa" w:w="7056"/>
          </w:tcPr>
          <w:p>
            <w:r/>
            <w:r>
              <w:rPr>
                <w:sz w:val="19"/>
              </w:rPr>
              <w:t>CWE-693</w:t>
            </w:r>
          </w:p>
        </w:tc>
      </w:tr>
      <w:tr>
        <w:tc>
          <w:tcPr>
            <w:tcW w:type="dxa" w:w="2592"/>
          </w:tcPr>
          <w:p>
            <w:r/>
            <w:r>
              <w:rPr>
                <w:sz w:val="19"/>
              </w:rPr>
              <w:t>OWASP Top 10 (2021)</w:t>
            </w:r>
          </w:p>
        </w:tc>
        <w:tc>
          <w:tcPr>
            <w:tcW w:type="dxa" w:w="7056"/>
          </w:tcPr>
          <w:p>
            <w:r/>
            <w:r>
              <w:rPr>
                <w:sz w:val="19"/>
              </w:rPr>
              <w:t>A05:2021 Security Misconfiguration</w:t>
            </w:r>
          </w:p>
        </w:tc>
      </w:tr>
      <w:tr>
        <w:tc>
          <w:tcPr>
            <w:tcW w:type="dxa" w:w="2592"/>
          </w:tcPr>
          <w:p>
            <w:r/>
            <w:r>
              <w:rPr>
                <w:sz w:val="19"/>
              </w:rPr>
              <w:t>Category</w:t>
            </w:r>
          </w:p>
        </w:tc>
        <w:tc>
          <w:tcPr>
            <w:tcW w:type="dxa" w:w="7056"/>
          </w:tcPr>
          <w:p>
            <w:r/>
            <w:r>
              <w:rPr>
                <w:sz w:val="19"/>
              </w:rPr>
              <w:t>Cross-site scripting and client-side</w:t>
            </w:r>
          </w:p>
        </w:tc>
      </w:tr>
      <w:tr>
        <w:tc>
          <w:tcPr>
            <w:tcW w:type="dxa" w:w="2592"/>
          </w:tcPr>
          <w:p>
            <w:r/>
            <w:r>
              <w:rPr>
                <w:sz w:val="19"/>
              </w:rPr>
              <w:t>Location</w:t>
            </w:r>
          </w:p>
        </w:tc>
        <w:tc>
          <w:tcPr>
            <w:tcW w:type="dxa" w:w="7056"/>
          </w:tcPr>
          <w:p>
            <w:r/>
            <w:r>
              <w:rPr>
                <w:sz w:val="19"/>
              </w:rPr>
              <w:t>docs/index.html:3-14</w:t>
            </w:r>
          </w:p>
        </w:tc>
      </w:tr>
      <w:tr>
        <w:tc>
          <w:tcPr>
            <w:tcW w:type="dxa" w:w="2592"/>
          </w:tcPr>
          <w:p>
            <w:r/>
            <w:r>
              <w:rPr>
                <w:sz w:val="19"/>
              </w:rPr>
              <w:t>Likelihood / Impact</w:t>
            </w:r>
          </w:p>
        </w:tc>
        <w:tc>
          <w:tcPr>
            <w:tcW w:type="dxa" w:w="7056"/>
          </w:tcPr>
          <w:p>
            <w:r/>
            <w:r>
              <w:rPr>
                <w:sz w:val="19"/>
              </w:rPr>
              <w:t>Low / Low</w:t>
            </w:r>
          </w:p>
        </w:tc>
      </w:tr>
      <w:tr>
        <w:tc>
          <w:tcPr>
            <w:tcW w:type="dxa" w:w="2592"/>
          </w:tcPr>
          <w:p>
            <w:r/>
            <w:r>
              <w:rPr>
                <w:sz w:val="19"/>
              </w:rPr>
              <w:t>Status</w:t>
            </w:r>
          </w:p>
        </w:tc>
        <w:tc>
          <w:tcPr>
            <w:tcW w:type="dxa" w:w="7056"/>
          </w:tcPr>
          <w:p>
            <w:r/>
            <w:r>
              <w:rPr>
                <w:sz w:val="19"/>
              </w:rPr>
              <w:t>Open</w:t>
            </w:r>
          </w:p>
        </w:tc>
      </w:tr>
    </w:tbl>
    <w:p/>
    <w:p>
      <w:r>
        <w:rPr>
          <w:b/>
        </w:rPr>
        <w:t>Evidence</w:t>
      </w:r>
    </w:p>
    <w:p>
      <w:pPr>
        <w:shd w:val="clear" w:fill="F2F4F6"/>
      </w:pPr>
      <w:r>
        <w:rPr>
          <w:rFonts w:ascii="Consolas" w:hAnsi="Consolas" w:eastAsia="Consolas"/>
          <w:sz w:val="18"/>
        </w:rPr>
        <w:t>&lt;head&gt; contains only charset, viewport, title and an inline &lt;style&gt;; no CSP &lt;meta&gt; tag</w:t>
      </w:r>
    </w:p>
    <w:p>
      <w:r>
        <w:rPr>
          <w:b/>
        </w:rPr>
        <w:t>Description</w:t>
      </w:r>
    </w:p>
    <w:p>
      <w:r>
        <w:rPr>
          <w:b w:val="0"/>
        </w:rPr>
        <w:t>The page is static, has no scripts, no forms and no user input, so there is no present XSS vector. However no CSP is defined (GitHub Pages cannot set response headers), so any future inline or third-party script would run unrestricted. The inline &lt;style&gt; block would require 'unsafe-inline' or a hash in a CSP.</w:t>
      </w:r>
    </w:p>
    <w:p>
      <w:r>
        <w:rPr>
          <w:b/>
        </w:rPr>
        <w:t>Remediation</w:t>
      </w:r>
    </w:p>
    <w:p>
      <w:pPr>
        <w:shd w:val="clear" w:fill="F2F4F6"/>
      </w:pPr>
      <w:r>
        <w:rPr>
          <w:rFonts w:ascii="Consolas" w:hAnsi="Consolas" w:eastAsia="Consolas"/>
          <w:sz w:val="18"/>
        </w:rPr>
        <w:t>Add a restrictive meta CSP, e.g.</w:t>
        <w:br/>
        <w:t>&lt;meta http-equiv="Content-Security-Policy" content="default-src 'none'; style-src 'unsafe-inline'; img-src 'self'; base-uri 'none'; form-action 'none'"&gt;</w:t>
        <w:br/>
        <w:t>or move styles to an external file and use style-src 'self'.</w:t>
      </w:r>
    </w:p>
    <w:p>
      <w:pPr>
        <w:pStyle w:val="Heading2"/>
      </w:pPr>
      <w:r>
        <w:t>VULN-003: .gitignore gaps for sensitive file types</w:t>
      </w:r>
    </w:p>
    <w:tbl>
      <w:tblPr>
        <w:tblStyle w:val="TableGrid"/>
        <w:tblW w:type="auto" w:w="0"/>
        <w:tblLook w:firstColumn="1" w:firstRow="1" w:lastColumn="0" w:lastRow="0" w:noHBand="0" w:noVBand="1" w:val="04A0"/>
      </w:tblPr>
      <w:tblGrid>
        <w:gridCol w:w="4824"/>
        <w:gridCol w:w="4824"/>
      </w:tblGrid>
      <w:tr>
        <w:trPr>
          <w:tblHeader w:val="true"/>
        </w:trPr>
        <w:tc>
          <w:tcPr>
            <w:tcW w:type="dxa" w:w="2592"/>
            <w:shd w:val="clear" w:color="auto" w:fill="1F3A5F"/>
          </w:tcPr>
          <w:p>
            <w:r/>
            <w:r>
              <w:rPr>
                <w:b/>
                <w:color w:val="FFFFFF"/>
                <w:sz w:val="19"/>
              </w:rPr>
              <w:t>Field</w:t>
            </w:r>
          </w:p>
        </w:tc>
        <w:tc>
          <w:tcPr>
            <w:tcW w:type="dxa" w:w="7056"/>
            <w:shd w:val="clear" w:color="auto" w:fill="1F3A5F"/>
          </w:tcPr>
          <w:p>
            <w:r/>
            <w:r>
              <w:rPr>
                <w:b/>
                <w:color w:val="FFFFFF"/>
                <w:sz w:val="19"/>
              </w:rPr>
              <w:t>Value</w:t>
            </w:r>
          </w:p>
        </w:tc>
      </w:tr>
      <w:tr>
        <w:tc>
          <w:tcPr>
            <w:tcW w:type="dxa" w:w="2592"/>
          </w:tcPr>
          <w:p>
            <w:r/>
            <w:r>
              <w:rPr>
                <w:sz w:val="19"/>
              </w:rPr>
              <w:t>Severity</w:t>
            </w:r>
          </w:p>
        </w:tc>
        <w:tc>
          <w:tcPr>
            <w:tcW w:type="dxa" w:w="7056"/>
            <w:shd w:val="clear" w:color="auto" w:fill="FFF176"/>
          </w:tcPr>
          <w:p>
            <w:r/>
            <w:r>
              <w:rPr>
                <w:sz w:val="19"/>
              </w:rPr>
              <w:t>Low</w:t>
            </w:r>
          </w:p>
        </w:tc>
      </w:tr>
      <w:tr>
        <w:tc>
          <w:tcPr>
            <w:tcW w:type="dxa" w:w="2592"/>
          </w:tcPr>
          <w:p>
            <w:r/>
            <w:r>
              <w:rPr>
                <w:sz w:val="19"/>
              </w:rPr>
              <w:t>CVSS v3.1 (estimated)</w:t>
            </w:r>
          </w:p>
        </w:tc>
        <w:tc>
          <w:tcPr>
            <w:tcW w:type="dxa" w:w="7056"/>
          </w:tcPr>
          <w:p>
            <w:r/>
            <w:r>
              <w:rPr>
                <w:sz w:val="19"/>
              </w:rPr>
              <w:t>2.0  CVSS:3.1/AV:L/AC:H/PR:L/UI:R/S:U/C:L/I:N/A:N</w:t>
            </w:r>
          </w:p>
        </w:tc>
      </w:tr>
      <w:tr>
        <w:tc>
          <w:tcPr>
            <w:tcW w:type="dxa" w:w="2592"/>
          </w:tcPr>
          <w:p>
            <w:r/>
            <w:r>
              <w:rPr>
                <w:sz w:val="19"/>
              </w:rPr>
              <w:t>CWE</w:t>
            </w:r>
          </w:p>
        </w:tc>
        <w:tc>
          <w:tcPr>
            <w:tcW w:type="dxa" w:w="7056"/>
          </w:tcPr>
          <w:p>
            <w:r/>
            <w:r>
              <w:rPr>
                <w:sz w:val="19"/>
              </w:rPr>
              <w:t>CWE-538</w:t>
            </w:r>
          </w:p>
        </w:tc>
      </w:tr>
      <w:tr>
        <w:tc>
          <w:tcPr>
            <w:tcW w:type="dxa" w:w="2592"/>
          </w:tcPr>
          <w:p>
            <w:r/>
            <w:r>
              <w:rPr>
                <w:sz w:val="19"/>
              </w:rPr>
              <w:t>OWASP Top 10 (2021)</w:t>
            </w:r>
          </w:p>
        </w:tc>
        <w:tc>
          <w:tcPr>
            <w:tcW w:type="dxa" w:w="7056"/>
          </w:tcPr>
          <w:p>
            <w:r/>
            <w:r>
              <w:rPr>
                <w:sz w:val="19"/>
              </w:rPr>
              <w:t>A05:2021 Security Misconfiguration</w:t>
            </w:r>
          </w:p>
        </w:tc>
      </w:tr>
      <w:tr>
        <w:tc>
          <w:tcPr>
            <w:tcW w:type="dxa" w:w="2592"/>
          </w:tcPr>
          <w:p>
            <w:r/>
            <w:r>
              <w:rPr>
                <w:sz w:val="19"/>
              </w:rPr>
              <w:t>Category</w:t>
            </w:r>
          </w:p>
        </w:tc>
        <w:tc>
          <w:tcPr>
            <w:tcW w:type="dxa" w:w="7056"/>
          </w:tcPr>
          <w:p>
            <w:r/>
            <w:r>
              <w:rPr>
                <w:sz w:val="19"/>
              </w:rPr>
              <w:t>Data exposure and privacy</w:t>
            </w:r>
          </w:p>
        </w:tc>
      </w:tr>
      <w:tr>
        <w:tc>
          <w:tcPr>
            <w:tcW w:type="dxa" w:w="2592"/>
          </w:tcPr>
          <w:p>
            <w:r/>
            <w:r>
              <w:rPr>
                <w:sz w:val="19"/>
              </w:rPr>
              <w:t>Location</w:t>
            </w:r>
          </w:p>
        </w:tc>
        <w:tc>
          <w:tcPr>
            <w:tcW w:type="dxa" w:w="7056"/>
          </w:tcPr>
          <w:p>
            <w:r/>
            <w:r>
              <w:rPr>
                <w:sz w:val="19"/>
              </w:rPr>
              <w:t>.gitignore:1-12</w:t>
            </w:r>
          </w:p>
        </w:tc>
      </w:tr>
      <w:tr>
        <w:tc>
          <w:tcPr>
            <w:tcW w:type="dxa" w:w="2592"/>
          </w:tcPr>
          <w:p>
            <w:r/>
            <w:r>
              <w:rPr>
                <w:sz w:val="19"/>
              </w:rPr>
              <w:t>Likelihood / Impact</w:t>
            </w:r>
          </w:p>
        </w:tc>
        <w:tc>
          <w:tcPr>
            <w:tcW w:type="dxa" w:w="7056"/>
          </w:tcPr>
          <w:p>
            <w:r/>
            <w:r>
              <w:rPr>
                <w:sz w:val="19"/>
              </w:rPr>
              <w:t>Low / Medium</w:t>
            </w:r>
          </w:p>
        </w:tc>
      </w:tr>
      <w:tr>
        <w:tc>
          <w:tcPr>
            <w:tcW w:type="dxa" w:w="2592"/>
          </w:tcPr>
          <w:p>
            <w:r/>
            <w:r>
              <w:rPr>
                <w:sz w:val="19"/>
              </w:rPr>
              <w:t>Status</w:t>
            </w:r>
          </w:p>
        </w:tc>
        <w:tc>
          <w:tcPr>
            <w:tcW w:type="dxa" w:w="7056"/>
          </w:tcPr>
          <w:p>
            <w:r/>
            <w:r>
              <w:rPr>
                <w:sz w:val="19"/>
              </w:rPr>
              <w:t>Open</w:t>
            </w:r>
          </w:p>
        </w:tc>
      </w:tr>
    </w:tbl>
    <w:p/>
    <w:p>
      <w:r>
        <w:rPr>
          <w:b/>
        </w:rPr>
        <w:t>Evidence</w:t>
      </w:r>
    </w:p>
    <w:p>
      <w:pPr>
        <w:shd w:val="clear" w:fill="F2F4F6"/>
      </w:pPr>
      <w:r>
        <w:rPr>
          <w:rFonts w:ascii="Consolas" w:hAnsi="Consolas" w:eastAsia="Consolas"/>
          <w:sz w:val="18"/>
        </w:rPr>
        <w:t>Covered: .env, *.pem, *.key, *.p12, id_rsa*, credentials*, secrets.*, *.tfstate*</w:t>
        <w:br/>
        <w:t>Not covered: *.pfx, *.jks, *.keystore, id_ed25519*, *.sqlite/*.db, .npmrc, .pypirc, .netrc, .aws/, .terraform/, *.kdbx</w:t>
      </w:r>
    </w:p>
    <w:p>
      <w:r>
        <w:rPr>
          <w:b/>
        </w:rPr>
        <w:t>Description</w:t>
      </w:r>
    </w:p>
    <w:p>
      <w:r>
        <w:rPr>
          <w:b w:val="0"/>
        </w:rPr>
        <w:t>The ignore list covers the most common secret files but omits several other credential and data file types. No such files are currently tracked (verified with git ls-files), so this is a preventive gap only.</w:t>
      </w:r>
    </w:p>
    <w:p>
      <w:r>
        <w:rPr>
          <w:b/>
        </w:rPr>
        <w:t>Remediation</w:t>
      </w:r>
    </w:p>
    <w:p>
      <w:pPr>
        <w:shd w:val="clear" w:fill="F2F4F6"/>
      </w:pPr>
      <w:r>
        <w:rPr>
          <w:rFonts w:ascii="Consolas" w:hAnsi="Consolas" w:eastAsia="Consolas"/>
          <w:sz w:val="18"/>
        </w:rPr>
        <w:t>Append: *.pfx, *.jks, *.keystore, id_ed25519*, id_ecdsa*, *.sqlite, *.db, .npmrc, .pypirc, .netrc, .aws/, .terraform/, *.kdbx, *.log</w:t>
      </w:r>
    </w:p>
    <w:p>
      <w:pPr>
        <w:pStyle w:val="Heading2"/>
      </w:pPr>
      <w:r>
        <w:t>VULN-004: No automated dependency/action update configuration</w:t>
      </w:r>
    </w:p>
    <w:tbl>
      <w:tblPr>
        <w:tblStyle w:val="TableGrid"/>
        <w:tblW w:type="auto" w:w="0"/>
        <w:tblLook w:firstColumn="1" w:firstRow="1" w:lastColumn="0" w:lastRow="0" w:noHBand="0" w:noVBand="1" w:val="04A0"/>
      </w:tblPr>
      <w:tblGrid>
        <w:gridCol w:w="4824"/>
        <w:gridCol w:w="4824"/>
      </w:tblGrid>
      <w:tr>
        <w:trPr>
          <w:tblHeader w:val="true"/>
        </w:trPr>
        <w:tc>
          <w:tcPr>
            <w:tcW w:type="dxa" w:w="2592"/>
            <w:shd w:val="clear" w:color="auto" w:fill="1F3A5F"/>
          </w:tcPr>
          <w:p>
            <w:r/>
            <w:r>
              <w:rPr>
                <w:b/>
                <w:color w:val="FFFFFF"/>
                <w:sz w:val="19"/>
              </w:rPr>
              <w:t>Field</w:t>
            </w:r>
          </w:p>
        </w:tc>
        <w:tc>
          <w:tcPr>
            <w:tcW w:type="dxa" w:w="7056"/>
            <w:shd w:val="clear" w:color="auto" w:fill="1F3A5F"/>
          </w:tcPr>
          <w:p>
            <w:r/>
            <w:r>
              <w:rPr>
                <w:b/>
                <w:color w:val="FFFFFF"/>
                <w:sz w:val="19"/>
              </w:rPr>
              <w:t>Value</w:t>
            </w:r>
          </w:p>
        </w:tc>
      </w:tr>
      <w:tr>
        <w:tc>
          <w:tcPr>
            <w:tcW w:type="dxa" w:w="2592"/>
          </w:tcPr>
          <w:p>
            <w:r/>
            <w:r>
              <w:rPr>
                <w:sz w:val="19"/>
              </w:rPr>
              <w:t>Severity</w:t>
            </w:r>
          </w:p>
        </w:tc>
        <w:tc>
          <w:tcPr>
            <w:tcW w:type="dxa" w:w="7056"/>
            <w:shd w:val="clear" w:color="auto" w:fill="FFF176"/>
          </w:tcPr>
          <w:p>
            <w:r/>
            <w:r>
              <w:rPr>
                <w:sz w:val="19"/>
              </w:rPr>
              <w:t>Low</w:t>
            </w:r>
          </w:p>
        </w:tc>
      </w:tr>
      <w:tr>
        <w:tc>
          <w:tcPr>
            <w:tcW w:type="dxa" w:w="2592"/>
          </w:tcPr>
          <w:p>
            <w:r/>
            <w:r>
              <w:rPr>
                <w:sz w:val="19"/>
              </w:rPr>
              <w:t>CVSS v3.1 (estimated)</w:t>
            </w:r>
          </w:p>
        </w:tc>
        <w:tc>
          <w:tcPr>
            <w:tcW w:type="dxa" w:w="7056"/>
          </w:tcPr>
          <w:p>
            <w:r/>
            <w:r>
              <w:rPr>
                <w:sz w:val="19"/>
              </w:rPr>
              <w:t>2.0  CVSS:3.1/AV:N/AC:H/PR:N/UI:N/S:U/C:N/I:L/A:N</w:t>
            </w:r>
          </w:p>
        </w:tc>
      </w:tr>
      <w:tr>
        <w:tc>
          <w:tcPr>
            <w:tcW w:type="dxa" w:w="2592"/>
          </w:tcPr>
          <w:p>
            <w:r/>
            <w:r>
              <w:rPr>
                <w:sz w:val="19"/>
              </w:rPr>
              <w:t>CWE</w:t>
            </w:r>
          </w:p>
        </w:tc>
        <w:tc>
          <w:tcPr>
            <w:tcW w:type="dxa" w:w="7056"/>
          </w:tcPr>
          <w:p>
            <w:r/>
            <w:r>
              <w:rPr>
                <w:sz w:val="19"/>
              </w:rPr>
              <w:t>CWE-1104</w:t>
            </w:r>
          </w:p>
        </w:tc>
      </w:tr>
      <w:tr>
        <w:tc>
          <w:tcPr>
            <w:tcW w:type="dxa" w:w="2592"/>
          </w:tcPr>
          <w:p>
            <w:r/>
            <w:r>
              <w:rPr>
                <w:sz w:val="19"/>
              </w:rPr>
              <w:t>OWASP Top 10 (2021)</w:t>
            </w:r>
          </w:p>
        </w:tc>
        <w:tc>
          <w:tcPr>
            <w:tcW w:type="dxa" w:w="7056"/>
          </w:tcPr>
          <w:p>
            <w:r/>
            <w:r>
              <w:rPr>
                <w:sz w:val="19"/>
              </w:rPr>
              <w:t>A06:2021 Vulnerable and Outdated Components</w:t>
            </w:r>
          </w:p>
        </w:tc>
      </w:tr>
      <w:tr>
        <w:tc>
          <w:tcPr>
            <w:tcW w:type="dxa" w:w="2592"/>
          </w:tcPr>
          <w:p>
            <w:r/>
            <w:r>
              <w:rPr>
                <w:sz w:val="19"/>
              </w:rPr>
              <w:t>Category</w:t>
            </w:r>
          </w:p>
        </w:tc>
        <w:tc>
          <w:tcPr>
            <w:tcW w:type="dxa" w:w="7056"/>
          </w:tcPr>
          <w:p>
            <w:r/>
            <w:r>
              <w:rPr>
                <w:sz w:val="19"/>
              </w:rPr>
              <w:t>Dependencies</w:t>
            </w:r>
          </w:p>
        </w:tc>
      </w:tr>
      <w:tr>
        <w:tc>
          <w:tcPr>
            <w:tcW w:type="dxa" w:w="2592"/>
          </w:tcPr>
          <w:p>
            <w:r/>
            <w:r>
              <w:rPr>
                <w:sz w:val="19"/>
              </w:rPr>
              <w:t>Location</w:t>
            </w:r>
          </w:p>
        </w:tc>
        <w:tc>
          <w:tcPr>
            <w:tcW w:type="dxa" w:w="7056"/>
          </w:tcPr>
          <w:p>
            <w:r/>
            <w:r>
              <w:rPr>
                <w:sz w:val="19"/>
              </w:rPr>
              <w:t>.github/ (no dependabot.yml present)</w:t>
            </w:r>
          </w:p>
        </w:tc>
      </w:tr>
      <w:tr>
        <w:tc>
          <w:tcPr>
            <w:tcW w:type="dxa" w:w="2592"/>
          </w:tcPr>
          <w:p>
            <w:r/>
            <w:r>
              <w:rPr>
                <w:sz w:val="19"/>
              </w:rPr>
              <w:t>Likelihood / Impact</w:t>
            </w:r>
          </w:p>
        </w:tc>
        <w:tc>
          <w:tcPr>
            <w:tcW w:type="dxa" w:w="7056"/>
          </w:tcPr>
          <w:p>
            <w:r/>
            <w:r>
              <w:rPr>
                <w:sz w:val="19"/>
              </w:rPr>
              <w:t>Low / Low</w:t>
            </w:r>
          </w:p>
        </w:tc>
      </w:tr>
      <w:tr>
        <w:tc>
          <w:tcPr>
            <w:tcW w:type="dxa" w:w="2592"/>
          </w:tcPr>
          <w:p>
            <w:r/>
            <w:r>
              <w:rPr>
                <w:sz w:val="19"/>
              </w:rPr>
              <w:t>Status</w:t>
            </w:r>
          </w:p>
        </w:tc>
        <w:tc>
          <w:tcPr>
            <w:tcW w:type="dxa" w:w="7056"/>
          </w:tcPr>
          <w:p>
            <w:r/>
            <w:r>
              <w:rPr>
                <w:sz w:val="19"/>
              </w:rPr>
              <w:t>Open</w:t>
            </w:r>
          </w:p>
        </w:tc>
      </w:tr>
    </w:tbl>
    <w:p/>
    <w:p>
      <w:r>
        <w:rPr>
          <w:b/>
        </w:rPr>
        <w:t>Evidence</w:t>
      </w:r>
    </w:p>
    <w:p>
      <w:pPr>
        <w:shd w:val="clear" w:fill="F2F4F6"/>
      </w:pPr>
      <w:r>
        <w:rPr>
          <w:rFonts w:ascii="Consolas" w:hAnsi="Consolas" w:eastAsia="Consolas"/>
          <w:sz w:val="18"/>
        </w:rPr>
        <w:t>git ls-files shows no .github/dependabot.yml; workflows use 5 distinct actions</w:t>
      </w:r>
    </w:p>
    <w:p>
      <w:r>
        <w:rPr>
          <w:b/>
        </w:rPr>
        <w:t>Description</w:t>
      </w:r>
    </w:p>
    <w:p>
      <w:r>
        <w:rPr>
          <w:b w:val="0"/>
        </w:rPr>
        <w:t>The project has no language dependencies, but its GitHub Actions dependencies will age without automated update PRs, and security fixes in actions would not be surfaced.</w:t>
      </w:r>
    </w:p>
    <w:p>
      <w:r>
        <w:rPr>
          <w:b/>
        </w:rPr>
        <w:t>Remediation</w:t>
      </w:r>
    </w:p>
    <w:p>
      <w:pPr>
        <w:shd w:val="clear" w:fill="F2F4F6"/>
      </w:pPr>
      <w:r>
        <w:rPr>
          <w:rFonts w:ascii="Consolas" w:hAnsi="Consolas" w:eastAsia="Consolas"/>
          <w:sz w:val="18"/>
        </w:rPr>
        <w:t>Add .github/dependabot.yml with package-ecosystem: github-actions, schedule: weekly.</w:t>
      </w:r>
    </w:p>
    <w:p>
      <w:pPr>
        <w:pStyle w:val="Heading2"/>
      </w:pPr>
      <w:r>
        <w:t>VULN-005: Broad tool permissions in custom command and agent definitions</w:t>
      </w:r>
    </w:p>
    <w:tbl>
      <w:tblPr>
        <w:tblStyle w:val="TableGrid"/>
        <w:tblW w:type="auto" w:w="0"/>
        <w:tblLook w:firstColumn="1" w:firstRow="1" w:lastColumn="0" w:lastRow="0" w:noHBand="0" w:noVBand="1" w:val="04A0"/>
      </w:tblPr>
      <w:tblGrid>
        <w:gridCol w:w="4824"/>
        <w:gridCol w:w="4824"/>
      </w:tblGrid>
      <w:tr>
        <w:trPr>
          <w:tblHeader w:val="true"/>
        </w:trPr>
        <w:tc>
          <w:tcPr>
            <w:tcW w:type="dxa" w:w="2592"/>
            <w:shd w:val="clear" w:color="auto" w:fill="1F3A5F"/>
          </w:tcPr>
          <w:p>
            <w:r/>
            <w:r>
              <w:rPr>
                <w:b/>
                <w:color w:val="FFFFFF"/>
                <w:sz w:val="19"/>
              </w:rPr>
              <w:t>Field</w:t>
            </w:r>
          </w:p>
        </w:tc>
        <w:tc>
          <w:tcPr>
            <w:tcW w:type="dxa" w:w="7056"/>
            <w:shd w:val="clear" w:color="auto" w:fill="1F3A5F"/>
          </w:tcPr>
          <w:p>
            <w:r/>
            <w:r>
              <w:rPr>
                <w:b/>
                <w:color w:val="FFFFFF"/>
                <w:sz w:val="19"/>
              </w:rPr>
              <w:t>Value</w:t>
            </w:r>
          </w:p>
        </w:tc>
      </w:tr>
      <w:tr>
        <w:tc>
          <w:tcPr>
            <w:tcW w:type="dxa" w:w="2592"/>
          </w:tcPr>
          <w:p>
            <w:r/>
            <w:r>
              <w:rPr>
                <w:sz w:val="19"/>
              </w:rPr>
              <w:t>Severity</w:t>
            </w:r>
          </w:p>
        </w:tc>
        <w:tc>
          <w:tcPr>
            <w:tcW w:type="dxa" w:w="7056"/>
            <w:shd w:val="clear" w:color="auto" w:fill="B0BEC5"/>
          </w:tcPr>
          <w:p>
            <w:r/>
            <w:r>
              <w:rPr>
                <w:sz w:val="19"/>
              </w:rPr>
              <w:t>Informational</w:t>
            </w:r>
          </w:p>
        </w:tc>
      </w:tr>
      <w:tr>
        <w:tc>
          <w:tcPr>
            <w:tcW w:type="dxa" w:w="2592"/>
          </w:tcPr>
          <w:p>
            <w:r/>
            <w:r>
              <w:rPr>
                <w:sz w:val="19"/>
              </w:rPr>
              <w:t>CVSS v3.1 (estimated)</w:t>
            </w:r>
          </w:p>
        </w:tc>
        <w:tc>
          <w:tcPr>
            <w:tcW w:type="dxa" w:w="7056"/>
          </w:tcPr>
          <w:p>
            <w:r/>
            <w:r>
              <w:rPr>
                <w:sz w:val="19"/>
              </w:rPr>
              <w:t>0.0  N/A</w:t>
            </w:r>
          </w:p>
        </w:tc>
      </w:tr>
      <w:tr>
        <w:tc>
          <w:tcPr>
            <w:tcW w:type="dxa" w:w="2592"/>
          </w:tcPr>
          <w:p>
            <w:r/>
            <w:r>
              <w:rPr>
                <w:sz w:val="19"/>
              </w:rPr>
              <w:t>CWE</w:t>
            </w:r>
          </w:p>
        </w:tc>
        <w:tc>
          <w:tcPr>
            <w:tcW w:type="dxa" w:w="7056"/>
          </w:tcPr>
          <w:p>
            <w:r/>
            <w:r>
              <w:rPr>
                <w:sz w:val="19"/>
              </w:rPr>
              <w:t>CWE-250</w:t>
            </w:r>
          </w:p>
        </w:tc>
      </w:tr>
      <w:tr>
        <w:tc>
          <w:tcPr>
            <w:tcW w:type="dxa" w:w="2592"/>
          </w:tcPr>
          <w:p>
            <w:r/>
            <w:r>
              <w:rPr>
                <w:sz w:val="19"/>
              </w:rPr>
              <w:t>OWASP Top 10 (2021)</w:t>
            </w:r>
          </w:p>
        </w:tc>
        <w:tc>
          <w:tcPr>
            <w:tcW w:type="dxa" w:w="7056"/>
          </w:tcPr>
          <w:p>
            <w:r/>
            <w:r>
              <w:rPr>
                <w:sz w:val="19"/>
              </w:rPr>
              <w:t>A04:2021 Insecure Design</w:t>
            </w:r>
          </w:p>
        </w:tc>
      </w:tr>
      <w:tr>
        <w:tc>
          <w:tcPr>
            <w:tcW w:type="dxa" w:w="2592"/>
          </w:tcPr>
          <w:p>
            <w:r/>
            <w:r>
              <w:rPr>
                <w:sz w:val="19"/>
              </w:rPr>
              <w:t>Category</w:t>
            </w:r>
          </w:p>
        </w:tc>
        <w:tc>
          <w:tcPr>
            <w:tcW w:type="dxa" w:w="7056"/>
          </w:tcPr>
          <w:p>
            <w:r/>
            <w:r>
              <w:rPr>
                <w:sz w:val="19"/>
              </w:rPr>
              <w:t>Insecure configuration</w:t>
            </w:r>
          </w:p>
        </w:tc>
      </w:tr>
      <w:tr>
        <w:tc>
          <w:tcPr>
            <w:tcW w:type="dxa" w:w="2592"/>
          </w:tcPr>
          <w:p>
            <w:r/>
            <w:r>
              <w:rPr>
                <w:sz w:val="19"/>
              </w:rPr>
              <w:t>Location</w:t>
            </w:r>
          </w:p>
        </w:tc>
        <w:tc>
          <w:tcPr>
            <w:tcW w:type="dxa" w:w="7056"/>
          </w:tcPr>
          <w:p>
            <w:r/>
            <w:r>
              <w:rPr>
                <w:sz w:val="19"/>
              </w:rPr>
              <w:t>.claude/commands/publish-to-github.md:4; .claude/agents/security-scanner.md:4</w:t>
            </w:r>
          </w:p>
        </w:tc>
      </w:tr>
      <w:tr>
        <w:tc>
          <w:tcPr>
            <w:tcW w:type="dxa" w:w="2592"/>
          </w:tcPr>
          <w:p>
            <w:r/>
            <w:r>
              <w:rPr>
                <w:sz w:val="19"/>
              </w:rPr>
              <w:t>Likelihood / Impact</w:t>
            </w:r>
          </w:p>
        </w:tc>
        <w:tc>
          <w:tcPr>
            <w:tcW w:type="dxa" w:w="7056"/>
          </w:tcPr>
          <w:p>
            <w:r/>
            <w:r>
              <w:rPr>
                <w:sz w:val="19"/>
              </w:rPr>
              <w:t>Low / Low</w:t>
            </w:r>
          </w:p>
        </w:tc>
      </w:tr>
      <w:tr>
        <w:tc>
          <w:tcPr>
            <w:tcW w:type="dxa" w:w="2592"/>
          </w:tcPr>
          <w:p>
            <w:r/>
            <w:r>
              <w:rPr>
                <w:sz w:val="19"/>
              </w:rPr>
              <w:t>Status</w:t>
            </w:r>
          </w:p>
        </w:tc>
        <w:tc>
          <w:tcPr>
            <w:tcW w:type="dxa" w:w="7056"/>
          </w:tcPr>
          <w:p>
            <w:r/>
            <w:r>
              <w:rPr>
                <w:sz w:val="19"/>
              </w:rPr>
              <w:t>Open</w:t>
            </w:r>
          </w:p>
        </w:tc>
      </w:tr>
    </w:tbl>
    <w:p/>
    <w:p>
      <w:r>
        <w:rPr>
          <w:b/>
        </w:rPr>
        <w:t>Evidence</w:t>
      </w:r>
    </w:p>
    <w:p>
      <w:pPr>
        <w:shd w:val="clear" w:fill="F2F4F6"/>
      </w:pPr>
      <w:r>
        <w:rPr>
          <w:rFonts w:ascii="Consolas" w:hAnsi="Consolas" w:eastAsia="Consolas"/>
          <w:sz w:val="18"/>
        </w:rPr>
        <w:t>allowed-tools: Bash, Read, Write, Edit, Glob, Grep, mcp__github__*</w:t>
      </w:r>
    </w:p>
    <w:p>
      <w:r>
        <w:rPr>
          <w:b/>
        </w:rPr>
        <w:t>Description</w:t>
      </w:r>
    </w:p>
    <w:p>
      <w:r>
        <w:rPr>
          <w:b w:val="0"/>
        </w:rPr>
        <w:t>The publish command can run arbitrary shell commands and write to GitHub without per-call prompts. This is intended for the workflow and the command contains safeguards (secret scan first, no force-push without approval), but it widens the blast radius if the command file is altered or a prompt injection reaches the session.</w:t>
      </w:r>
    </w:p>
    <w:p>
      <w:r>
        <w:rPr>
          <w:b/>
        </w:rPr>
        <w:t>Remediation</w:t>
      </w:r>
    </w:p>
    <w:p>
      <w:pPr>
        <w:shd w:val="clear" w:fill="F2F4F6"/>
      </w:pPr>
      <w:r>
        <w:rPr>
          <w:rFonts w:ascii="Consolas" w:hAnsi="Consolas" w:eastAsia="Consolas"/>
          <w:sz w:val="18"/>
        </w:rPr>
        <w:t>Restrict Bash to specific patterns (e.g. Bash(git *), Bash(gh *)) and review changes to .claude/ through code review.</w:t>
      </w:r>
    </w:p>
    <w:p>
      <w:pPr>
        <w:pStyle w:val="Heading2"/>
      </w:pPr>
      <w:r>
        <w:t>VULN-006: Workflow triggers reference a stale feature branch name</w:t>
      </w:r>
    </w:p>
    <w:tbl>
      <w:tblPr>
        <w:tblStyle w:val="TableGrid"/>
        <w:tblW w:type="auto" w:w="0"/>
        <w:tblLook w:firstColumn="1" w:firstRow="1" w:lastColumn="0" w:lastRow="0" w:noHBand="0" w:noVBand="1" w:val="04A0"/>
      </w:tblPr>
      <w:tblGrid>
        <w:gridCol w:w="4824"/>
        <w:gridCol w:w="4824"/>
      </w:tblGrid>
      <w:tr>
        <w:trPr>
          <w:tblHeader w:val="true"/>
        </w:trPr>
        <w:tc>
          <w:tcPr>
            <w:tcW w:type="dxa" w:w="2592"/>
            <w:shd w:val="clear" w:color="auto" w:fill="1F3A5F"/>
          </w:tcPr>
          <w:p>
            <w:r/>
            <w:r>
              <w:rPr>
                <w:b/>
                <w:color w:val="FFFFFF"/>
                <w:sz w:val="19"/>
              </w:rPr>
              <w:t>Field</w:t>
            </w:r>
          </w:p>
        </w:tc>
        <w:tc>
          <w:tcPr>
            <w:tcW w:type="dxa" w:w="7056"/>
            <w:shd w:val="clear" w:color="auto" w:fill="1F3A5F"/>
          </w:tcPr>
          <w:p>
            <w:r/>
            <w:r>
              <w:rPr>
                <w:b/>
                <w:color w:val="FFFFFF"/>
                <w:sz w:val="19"/>
              </w:rPr>
              <w:t>Value</w:t>
            </w:r>
          </w:p>
        </w:tc>
      </w:tr>
      <w:tr>
        <w:tc>
          <w:tcPr>
            <w:tcW w:type="dxa" w:w="2592"/>
          </w:tcPr>
          <w:p>
            <w:r/>
            <w:r>
              <w:rPr>
                <w:sz w:val="19"/>
              </w:rPr>
              <w:t>Severity</w:t>
            </w:r>
          </w:p>
        </w:tc>
        <w:tc>
          <w:tcPr>
            <w:tcW w:type="dxa" w:w="7056"/>
            <w:shd w:val="clear" w:color="auto" w:fill="B0BEC5"/>
          </w:tcPr>
          <w:p>
            <w:r/>
            <w:r>
              <w:rPr>
                <w:sz w:val="19"/>
              </w:rPr>
              <w:t>Informational</w:t>
            </w:r>
          </w:p>
        </w:tc>
      </w:tr>
      <w:tr>
        <w:tc>
          <w:tcPr>
            <w:tcW w:type="dxa" w:w="2592"/>
          </w:tcPr>
          <w:p>
            <w:r/>
            <w:r>
              <w:rPr>
                <w:sz w:val="19"/>
              </w:rPr>
              <w:t>CVSS v3.1 (estimated)</w:t>
            </w:r>
          </w:p>
        </w:tc>
        <w:tc>
          <w:tcPr>
            <w:tcW w:type="dxa" w:w="7056"/>
          </w:tcPr>
          <w:p>
            <w:r/>
            <w:r>
              <w:rPr>
                <w:sz w:val="19"/>
              </w:rPr>
              <w:t>0.0  N/A</w:t>
            </w:r>
          </w:p>
        </w:tc>
      </w:tr>
      <w:tr>
        <w:tc>
          <w:tcPr>
            <w:tcW w:type="dxa" w:w="2592"/>
          </w:tcPr>
          <w:p>
            <w:r/>
            <w:r>
              <w:rPr>
                <w:sz w:val="19"/>
              </w:rPr>
              <w:t>CWE</w:t>
            </w:r>
          </w:p>
        </w:tc>
        <w:tc>
          <w:tcPr>
            <w:tcW w:type="dxa" w:w="7056"/>
          </w:tcPr>
          <w:p>
            <w:r/>
            <w:r>
              <w:rPr>
                <w:sz w:val="19"/>
              </w:rPr>
              <w:t>CWE-1188</w:t>
            </w:r>
          </w:p>
        </w:tc>
      </w:tr>
      <w:tr>
        <w:tc>
          <w:tcPr>
            <w:tcW w:type="dxa" w:w="2592"/>
          </w:tcPr>
          <w:p>
            <w:r/>
            <w:r>
              <w:rPr>
                <w:sz w:val="19"/>
              </w:rPr>
              <w:t>OWASP Top 10 (2021)</w:t>
            </w:r>
          </w:p>
        </w:tc>
        <w:tc>
          <w:tcPr>
            <w:tcW w:type="dxa" w:w="7056"/>
          </w:tcPr>
          <w:p>
            <w:r/>
            <w:r>
              <w:rPr>
                <w:sz w:val="19"/>
              </w:rPr>
              <w:t>A05:2021 Security Misconfiguration</w:t>
            </w:r>
          </w:p>
        </w:tc>
      </w:tr>
      <w:tr>
        <w:tc>
          <w:tcPr>
            <w:tcW w:type="dxa" w:w="2592"/>
          </w:tcPr>
          <w:p>
            <w:r/>
            <w:r>
              <w:rPr>
                <w:sz w:val="19"/>
              </w:rPr>
              <w:t>Category</w:t>
            </w:r>
          </w:p>
        </w:tc>
        <w:tc>
          <w:tcPr>
            <w:tcW w:type="dxa" w:w="7056"/>
          </w:tcPr>
          <w:p>
            <w:r/>
            <w:r>
              <w:rPr>
                <w:sz w:val="19"/>
              </w:rPr>
              <w:t>CI/CD and supply chain</w:t>
            </w:r>
          </w:p>
        </w:tc>
      </w:tr>
      <w:tr>
        <w:tc>
          <w:tcPr>
            <w:tcW w:type="dxa" w:w="2592"/>
          </w:tcPr>
          <w:p>
            <w:r/>
            <w:r>
              <w:rPr>
                <w:sz w:val="19"/>
              </w:rPr>
              <w:t>Location</w:t>
            </w:r>
          </w:p>
        </w:tc>
        <w:tc>
          <w:tcPr>
            <w:tcW w:type="dxa" w:w="7056"/>
          </w:tcPr>
          <w:p>
            <w:r/>
            <w:r>
              <w:rPr>
                <w:sz w:val="19"/>
              </w:rPr>
              <w:t>.github/workflows/ci.yml:5; .github/workflows/pages.yml:5</w:t>
            </w:r>
          </w:p>
        </w:tc>
      </w:tr>
      <w:tr>
        <w:tc>
          <w:tcPr>
            <w:tcW w:type="dxa" w:w="2592"/>
          </w:tcPr>
          <w:p>
            <w:r/>
            <w:r>
              <w:rPr>
                <w:sz w:val="19"/>
              </w:rPr>
              <w:t>Likelihood / Impact</w:t>
            </w:r>
          </w:p>
        </w:tc>
        <w:tc>
          <w:tcPr>
            <w:tcW w:type="dxa" w:w="7056"/>
          </w:tcPr>
          <w:p>
            <w:r/>
            <w:r>
              <w:rPr>
                <w:sz w:val="19"/>
              </w:rPr>
              <w:t>Low / Low</w:t>
            </w:r>
          </w:p>
        </w:tc>
      </w:tr>
      <w:tr>
        <w:tc>
          <w:tcPr>
            <w:tcW w:type="dxa" w:w="2592"/>
          </w:tcPr>
          <w:p>
            <w:r/>
            <w:r>
              <w:rPr>
                <w:sz w:val="19"/>
              </w:rPr>
              <w:t>Status</w:t>
            </w:r>
          </w:p>
        </w:tc>
        <w:tc>
          <w:tcPr>
            <w:tcW w:type="dxa" w:w="7056"/>
          </w:tcPr>
          <w:p>
            <w:r/>
            <w:r>
              <w:rPr>
                <w:sz w:val="19"/>
              </w:rPr>
              <w:t>Open</w:t>
            </w:r>
          </w:p>
        </w:tc>
      </w:tr>
    </w:tbl>
    <w:p/>
    <w:p>
      <w:r>
        <w:rPr>
          <w:b/>
        </w:rPr>
        <w:t>Evidence</w:t>
      </w:r>
    </w:p>
    <w:p>
      <w:pPr>
        <w:shd w:val="clear" w:fill="F2F4F6"/>
      </w:pPr>
      <w:r>
        <w:rPr>
          <w:rFonts w:ascii="Consolas" w:hAnsi="Consolas" w:eastAsia="Consolas"/>
          <w:sz w:val="18"/>
        </w:rPr>
        <w:t>branches: [main, master, claude/github-deployment-command-kgvome]</w:t>
      </w:r>
    </w:p>
    <w:p>
      <w:r>
        <w:rPr>
          <w:b/>
        </w:rPr>
        <w:t>Description</w:t>
      </w:r>
    </w:p>
    <w:p>
      <w:r>
        <w:rPr>
          <w:b w:val="0"/>
        </w:rPr>
        <w:t>Pushes to the named feature branch trigger CI and the Pages deploy. If that branch persists and is writable by others, content from it could be published to the production Pages site (the github-pages environment may restrict this). No exploit is evidenced.</w:t>
      </w:r>
    </w:p>
    <w:p>
      <w:r>
        <w:rPr>
          <w:b/>
        </w:rPr>
        <w:t>Remediation</w:t>
      </w:r>
    </w:p>
    <w:p>
      <w:pPr>
        <w:shd w:val="clear" w:fill="F2F4F6"/>
      </w:pPr>
      <w:r>
        <w:rPr>
          <w:rFonts w:ascii="Consolas" w:hAnsi="Consolas" w:eastAsia="Consolas"/>
          <w:sz w:val="18"/>
        </w:rPr>
        <w:t>Remove the feature branch from triggers and restrict deployment branches on the github-pages environment to main.</w:t>
      </w:r>
    </w:p>
    <w:p>
      <w:pPr>
        <w:pStyle w:val="Heading1"/>
      </w:pPr>
      <w:r>
        <w:t>6. Remediation Roadmap</w:t>
      </w:r>
    </w:p>
    <w:tbl>
      <w:tblPr>
        <w:tblStyle w:val="TableGrid"/>
        <w:tblW w:type="auto" w:w="0"/>
        <w:tblLook w:firstColumn="1" w:firstRow="1" w:lastColumn="0" w:lastRow="0" w:noHBand="0" w:noVBand="1" w:val="04A0"/>
      </w:tblPr>
      <w:tblGrid>
        <w:gridCol w:w="2412"/>
        <w:gridCol w:w="2412"/>
        <w:gridCol w:w="2412"/>
        <w:gridCol w:w="2412"/>
      </w:tblGrid>
      <w:tr>
        <w:trPr>
          <w:tblHeader w:val="true"/>
        </w:trPr>
        <w:tc>
          <w:tcPr>
            <w:tcW w:type="dxa" w:w="1440"/>
            <w:shd w:val="clear" w:color="auto" w:fill="1F3A5F"/>
          </w:tcPr>
          <w:p>
            <w:r/>
            <w:r>
              <w:rPr>
                <w:b/>
                <w:color w:val="FFFFFF"/>
                <w:sz w:val="19"/>
              </w:rPr>
              <w:t>Priority</w:t>
            </w:r>
          </w:p>
        </w:tc>
        <w:tc>
          <w:tcPr>
            <w:tcW w:type="dxa" w:w="5184"/>
            <w:shd w:val="clear" w:color="auto" w:fill="1F3A5F"/>
          </w:tcPr>
          <w:p>
            <w:r/>
            <w:r>
              <w:rPr>
                <w:b/>
                <w:color w:val="FFFFFF"/>
                <w:sz w:val="19"/>
              </w:rPr>
              <w:t>Action</w:t>
            </w:r>
          </w:p>
        </w:tc>
        <w:tc>
          <w:tcPr>
            <w:tcW w:type="dxa" w:w="1728"/>
            <w:shd w:val="clear" w:color="auto" w:fill="1F3A5F"/>
          </w:tcPr>
          <w:p>
            <w:r/>
            <w:r>
              <w:rPr>
                <w:b/>
                <w:color w:val="FFFFFF"/>
                <w:sz w:val="19"/>
              </w:rPr>
              <w:t>Findings</w:t>
            </w:r>
          </w:p>
        </w:tc>
        <w:tc>
          <w:tcPr>
            <w:tcW w:type="dxa" w:w="1152"/>
            <w:shd w:val="clear" w:color="auto" w:fill="1F3A5F"/>
          </w:tcPr>
          <w:p>
            <w:r/>
            <w:r>
              <w:rPr>
                <w:b/>
                <w:color w:val="FFFFFF"/>
                <w:sz w:val="19"/>
              </w:rPr>
              <w:t>Effort</w:t>
            </w:r>
          </w:p>
        </w:tc>
      </w:tr>
      <w:tr>
        <w:tc>
          <w:tcPr>
            <w:tcW w:type="dxa" w:w="1440"/>
          </w:tcPr>
          <w:p>
            <w:r/>
            <w:r>
              <w:rPr>
                <w:sz w:val="19"/>
              </w:rPr>
              <w:t>Immediate</w:t>
            </w:r>
          </w:p>
        </w:tc>
        <w:tc>
          <w:tcPr>
            <w:tcW w:type="dxa" w:w="5184"/>
          </w:tcPr>
          <w:p>
            <w:r/>
            <w:r>
              <w:rPr>
                <w:sz w:val="19"/>
              </w:rPr>
              <w:t>Pin all GitHub Actions to commit SHAs</w:t>
            </w:r>
          </w:p>
        </w:tc>
        <w:tc>
          <w:tcPr>
            <w:tcW w:type="dxa" w:w="1728"/>
          </w:tcPr>
          <w:p>
            <w:r/>
            <w:r>
              <w:rPr>
                <w:sz w:val="19"/>
              </w:rPr>
              <w:t>VULN-001</w:t>
            </w:r>
          </w:p>
        </w:tc>
        <w:tc>
          <w:tcPr>
            <w:tcW w:type="dxa" w:w="1152"/>
          </w:tcPr>
          <w:p>
            <w:r/>
            <w:r>
              <w:rPr>
                <w:sz w:val="19"/>
              </w:rPr>
              <w:t>1 hour</w:t>
            </w:r>
          </w:p>
        </w:tc>
      </w:tr>
      <w:tr>
        <w:tc>
          <w:tcPr>
            <w:tcW w:type="dxa" w:w="1440"/>
          </w:tcPr>
          <w:p>
            <w:r/>
            <w:r>
              <w:rPr>
                <w:sz w:val="19"/>
              </w:rPr>
              <w:t>Immediate</w:t>
            </w:r>
          </w:p>
        </w:tc>
        <w:tc>
          <w:tcPr>
            <w:tcW w:type="dxa" w:w="5184"/>
          </w:tcPr>
          <w:p>
            <w:r/>
            <w:r>
              <w:rPr>
                <w:sz w:val="19"/>
              </w:rPr>
              <w:t>Remove stale branch from workflow triggers; limit github-pages environment to main</w:t>
            </w:r>
          </w:p>
        </w:tc>
        <w:tc>
          <w:tcPr>
            <w:tcW w:type="dxa" w:w="1728"/>
          </w:tcPr>
          <w:p>
            <w:r/>
            <w:r>
              <w:rPr>
                <w:sz w:val="19"/>
              </w:rPr>
              <w:t>VULN-006</w:t>
            </w:r>
          </w:p>
        </w:tc>
        <w:tc>
          <w:tcPr>
            <w:tcW w:type="dxa" w:w="1152"/>
          </w:tcPr>
          <w:p>
            <w:r/>
            <w:r>
              <w:rPr>
                <w:sz w:val="19"/>
              </w:rPr>
              <w:t>30 min</w:t>
            </w:r>
          </w:p>
        </w:tc>
      </w:tr>
      <w:tr>
        <w:tc>
          <w:tcPr>
            <w:tcW w:type="dxa" w:w="1440"/>
          </w:tcPr>
          <w:p>
            <w:r/>
            <w:r>
              <w:rPr>
                <w:sz w:val="19"/>
              </w:rPr>
              <w:t>Short term</w:t>
            </w:r>
          </w:p>
        </w:tc>
        <w:tc>
          <w:tcPr>
            <w:tcW w:type="dxa" w:w="5184"/>
          </w:tcPr>
          <w:p>
            <w:r/>
            <w:r>
              <w:rPr>
                <w:sz w:val="19"/>
              </w:rPr>
              <w:t>Add Content Security Policy meta tag</w:t>
            </w:r>
          </w:p>
        </w:tc>
        <w:tc>
          <w:tcPr>
            <w:tcW w:type="dxa" w:w="1728"/>
          </w:tcPr>
          <w:p>
            <w:r/>
            <w:r>
              <w:rPr>
                <w:sz w:val="19"/>
              </w:rPr>
              <w:t>VULN-002</w:t>
            </w:r>
          </w:p>
        </w:tc>
        <w:tc>
          <w:tcPr>
            <w:tcW w:type="dxa" w:w="1152"/>
          </w:tcPr>
          <w:p>
            <w:r/>
            <w:r>
              <w:rPr>
                <w:sz w:val="19"/>
              </w:rPr>
              <w:t>30 min</w:t>
            </w:r>
          </w:p>
        </w:tc>
      </w:tr>
      <w:tr>
        <w:tc>
          <w:tcPr>
            <w:tcW w:type="dxa" w:w="1440"/>
          </w:tcPr>
          <w:p>
            <w:r/>
            <w:r>
              <w:rPr>
                <w:sz w:val="19"/>
              </w:rPr>
              <w:t>Short term</w:t>
            </w:r>
          </w:p>
        </w:tc>
        <w:tc>
          <w:tcPr>
            <w:tcW w:type="dxa" w:w="5184"/>
          </w:tcPr>
          <w:p>
            <w:r/>
            <w:r>
              <w:rPr>
                <w:sz w:val="19"/>
              </w:rPr>
              <w:t>Extend .gitignore; add dependabot.yml</w:t>
            </w:r>
          </w:p>
        </w:tc>
        <w:tc>
          <w:tcPr>
            <w:tcW w:type="dxa" w:w="1728"/>
          </w:tcPr>
          <w:p>
            <w:r/>
            <w:r>
              <w:rPr>
                <w:sz w:val="19"/>
              </w:rPr>
              <w:t>VULN-003, VULN-004</w:t>
            </w:r>
          </w:p>
        </w:tc>
        <w:tc>
          <w:tcPr>
            <w:tcW w:type="dxa" w:w="1152"/>
          </w:tcPr>
          <w:p>
            <w:r/>
            <w:r>
              <w:rPr>
                <w:sz w:val="19"/>
              </w:rPr>
              <w:t>30 min</w:t>
            </w:r>
          </w:p>
        </w:tc>
      </w:tr>
      <w:tr>
        <w:tc>
          <w:tcPr>
            <w:tcW w:type="dxa" w:w="1440"/>
          </w:tcPr>
          <w:p>
            <w:r/>
            <w:r>
              <w:rPr>
                <w:sz w:val="19"/>
              </w:rPr>
              <w:t>Long term</w:t>
            </w:r>
          </w:p>
        </w:tc>
        <w:tc>
          <w:tcPr>
            <w:tcW w:type="dxa" w:w="5184"/>
          </w:tcPr>
          <w:p>
            <w:r/>
            <w:r>
              <w:rPr>
                <w:sz w:val="19"/>
              </w:rPr>
              <w:t>Narrow allowed-tools patterns in .claude definitions; review .claude changes via PR</w:t>
            </w:r>
          </w:p>
        </w:tc>
        <w:tc>
          <w:tcPr>
            <w:tcW w:type="dxa" w:w="1728"/>
          </w:tcPr>
          <w:p>
            <w:r/>
            <w:r>
              <w:rPr>
                <w:sz w:val="19"/>
              </w:rPr>
              <w:t>VULN-005</w:t>
            </w:r>
          </w:p>
        </w:tc>
        <w:tc>
          <w:tcPr>
            <w:tcW w:type="dxa" w:w="1152"/>
          </w:tcPr>
          <w:p>
            <w:r/>
            <w:r>
              <w:rPr>
                <w:sz w:val="19"/>
              </w:rPr>
              <w:t>2 hours</w:t>
            </w:r>
          </w:p>
        </w:tc>
      </w:tr>
    </w:tbl>
    <w:p/>
    <w:p>
      <w:pPr>
        <w:pStyle w:val="Heading1"/>
      </w:pPr>
      <w:r>
        <w:t>7. Positive Observations</w:t>
      </w:r>
    </w:p>
    <w:p>
      <w:pPr>
        <w:pStyle w:val="ListBullet"/>
      </w:pPr>
      <w:r>
        <w:t>No secrets, keys or credentials in the working tree or git history (3 commits scanned).</w:t>
      </w:r>
    </w:p>
    <w:p>
      <w:pPr>
        <w:pStyle w:val="ListBullet"/>
      </w:pPr>
      <w:r>
        <w:t>Both workflows declare top-level least-privilege permissions (contents: read; pages/id-token write only where needed for deployment).</w:t>
      </w:r>
    </w:p>
    <w:p>
      <w:pPr>
        <w:pStyle w:val="ListBullet"/>
      </w:pPr>
      <w:r>
        <w:t>CI includes a gitleaks secret-scanning job with full history checkout.</w:t>
      </w:r>
    </w:p>
    <w:p>
      <w:pPr>
        <w:pStyle w:val="ListBullet"/>
      </w:pPr>
      <w:r>
        <w:t>No use of pull_request_target, no ${{ github.event.* }} expressions in run: steps, no curl | sh.</w:t>
      </w:r>
    </w:p>
    <w:p>
      <w:pPr>
        <w:pStyle w:val="ListBullet"/>
      </w:pPr>
      <w:r>
        <w:t>The web page has no JavaScript, no external resources, no forms and its only external link is a plain https anchor.</w:t>
      </w:r>
    </w:p>
    <w:p>
      <w:pPr>
        <w:pStyle w:val="ListBullet"/>
      </w:pPr>
      <w:r>
        <w:t>.gitignore excludes common secret files and local Claude settings; no sensitive files are tracked.</w:t>
      </w:r>
    </w:p>
    <w:p>
      <w:pPr>
        <w:pStyle w:val="ListBullet"/>
      </w:pPr>
      <w:r>
        <w:t>The publish command performs a secret scan before any push and forbids force-push without approval.</w:t>
      </w:r>
    </w:p>
    <w:p>
      <w:pPr>
        <w:pStyle w:val="Heading1"/>
      </w:pPr>
      <w:r>
        <w:t>8. Appendix</w:t>
      </w:r>
    </w:p>
    <w:p>
      <w:pPr>
        <w:pStyle w:val="Heading2"/>
      </w:pPr>
      <w:r>
        <w:t>Files reviewed</w:t>
      </w:r>
    </w:p>
    <w:p>
      <w:pPr>
        <w:pStyle w:val="ListBullet"/>
      </w:pPr>
      <w:r>
        <w:t>docs/index.html</w:t>
      </w:r>
    </w:p>
    <w:p>
      <w:pPr>
        <w:pStyle w:val="ListBullet"/>
      </w:pPr>
      <w:r>
        <w:t>README.md</w:t>
      </w:r>
    </w:p>
    <w:p>
      <w:pPr>
        <w:pStyle w:val="ListBullet"/>
      </w:pPr>
      <w:r>
        <w:t>.gitignore</w:t>
      </w:r>
    </w:p>
    <w:p>
      <w:pPr>
        <w:pStyle w:val="ListBullet"/>
      </w:pPr>
      <w:r>
        <w:t>.github/workflows/ci.yml</w:t>
      </w:r>
    </w:p>
    <w:p>
      <w:pPr>
        <w:pStyle w:val="ListBullet"/>
      </w:pPr>
      <w:r>
        <w:t>.github/workflows/pages.yml</w:t>
      </w:r>
    </w:p>
    <w:p>
      <w:pPr>
        <w:pStyle w:val="ListBullet"/>
      </w:pPr>
      <w:r>
        <w:t>.claude/agents/security-scanner.md</w:t>
      </w:r>
    </w:p>
    <w:p>
      <w:pPr>
        <w:pStyle w:val="ListBullet"/>
      </w:pPr>
      <w:r>
        <w:t>.claude/commands/publish-to-github.md</w:t>
      </w:r>
    </w:p>
    <w:p>
      <w:pPr>
        <w:pStyle w:val="ListBullet"/>
      </w:pPr>
      <w:r>
        <w:t>git history: 8424edc, 2abf65b, 183362b</w:t>
      </w:r>
    </w:p>
    <w:p>
      <w:pPr>
        <w:pStyle w:val="Heading2"/>
      </w:pPr>
      <w:r>
        <w:t>Tool output summary</w:t>
      </w:r>
    </w:p>
    <w:p>
      <w:r>
        <w:rPr>
          <w:b w:val="0"/>
        </w:rPr>
        <w:t>Pattern searches over git history for AKIA keys, ghp_/github_pat_ tokens, private-key headers, password/secret/token assignments and credentialed URLs returned only documentation text and the GITHUB_TOKEN secret reference in ci.yml (a legitimate ${{ secrets.* }} usage); no real secret values. Automated scanners were unavailable.</w:t>
      </w:r>
    </w:p>
    <w:p>
      <w:pPr>
        <w:pStyle w:val="Heading2"/>
      </w:pPr>
      <w:r>
        <w:t>Severity definitions</w:t>
      </w:r>
    </w:p>
    <w:tbl>
      <w:tblPr>
        <w:tblStyle w:val="TableGrid"/>
        <w:tblW w:type="auto" w:w="0"/>
        <w:tblLook w:firstColumn="1" w:firstRow="1" w:lastColumn="0" w:lastRow="0" w:noHBand="0" w:noVBand="1" w:val="04A0"/>
      </w:tblPr>
      <w:tblGrid>
        <w:gridCol w:w="3216"/>
        <w:gridCol w:w="3216"/>
        <w:gridCol w:w="3216"/>
      </w:tblGrid>
      <w:tr>
        <w:trPr>
          <w:tblHeader w:val="true"/>
        </w:trPr>
        <w:tc>
          <w:tcPr>
            <w:tcW w:type="dxa" w:w="1728"/>
            <w:shd w:val="clear" w:color="auto" w:fill="1F3A5F"/>
          </w:tcPr>
          <w:p>
            <w:r/>
            <w:r>
              <w:rPr>
                <w:b/>
                <w:color w:val="FFFFFF"/>
                <w:sz w:val="19"/>
              </w:rPr>
              <w:t>Severity</w:t>
            </w:r>
          </w:p>
        </w:tc>
        <w:tc>
          <w:tcPr>
            <w:tcW w:type="dxa" w:w="1440"/>
            <w:shd w:val="clear" w:color="auto" w:fill="1F3A5F"/>
          </w:tcPr>
          <w:p>
            <w:r/>
            <w:r>
              <w:rPr>
                <w:b/>
                <w:color w:val="FFFFFF"/>
                <w:sz w:val="19"/>
              </w:rPr>
              <w:t>Score</w:t>
            </w:r>
          </w:p>
        </w:tc>
        <w:tc>
          <w:tcPr>
            <w:tcW w:type="dxa" w:w="6480"/>
            <w:shd w:val="clear" w:color="auto" w:fill="1F3A5F"/>
          </w:tcPr>
          <w:p>
            <w:r/>
            <w:r>
              <w:rPr>
                <w:b/>
                <w:color w:val="FFFFFF"/>
                <w:sz w:val="19"/>
              </w:rPr>
              <w:t>Definition</w:t>
            </w:r>
          </w:p>
        </w:tc>
      </w:tr>
      <w:tr>
        <w:tc>
          <w:tcPr>
            <w:tcW w:type="dxa" w:w="1728"/>
            <w:shd w:val="clear" w:color="auto" w:fill="8B0000"/>
          </w:tcPr>
          <w:p>
            <w:r/>
            <w:r>
              <w:rPr>
                <w:b/>
                <w:color w:val="FFFFFF"/>
                <w:sz w:val="19"/>
              </w:rPr>
              <w:t>Critical</w:t>
            </w:r>
          </w:p>
        </w:tc>
        <w:tc>
          <w:tcPr>
            <w:tcW w:type="dxa" w:w="1440"/>
          </w:tcPr>
          <w:p>
            <w:r/>
            <w:r>
              <w:rPr>
                <w:sz w:val="19"/>
              </w:rPr>
              <w:t>9.0-10.0</w:t>
            </w:r>
          </w:p>
        </w:tc>
        <w:tc>
          <w:tcPr>
            <w:tcW w:type="dxa" w:w="6480"/>
          </w:tcPr>
          <w:p>
            <w:r/>
            <w:r>
              <w:rPr>
                <w:sz w:val="19"/>
              </w:rPr>
              <w:t>Remotely exploitable with no auth, or leaked live production credentials</w:t>
            </w:r>
          </w:p>
        </w:tc>
      </w:tr>
      <w:tr>
        <w:tc>
          <w:tcPr>
            <w:tcW w:type="dxa" w:w="1728"/>
            <w:shd w:val="clear" w:color="auto" w:fill="E8590C"/>
          </w:tcPr>
          <w:p>
            <w:r/>
            <w:r>
              <w:rPr>
                <w:b/>
                <w:color w:val="FFFFFF"/>
                <w:sz w:val="19"/>
              </w:rPr>
              <w:t>High</w:t>
            </w:r>
          </w:p>
        </w:tc>
        <w:tc>
          <w:tcPr>
            <w:tcW w:type="dxa" w:w="1440"/>
          </w:tcPr>
          <w:p>
            <w:r/>
            <w:r>
              <w:rPr>
                <w:sz w:val="19"/>
              </w:rPr>
              <w:t>7.0-8.9</w:t>
            </w:r>
          </w:p>
        </w:tc>
        <w:tc>
          <w:tcPr>
            <w:tcW w:type="dxa" w:w="6480"/>
          </w:tcPr>
          <w:p>
            <w:r/>
            <w:r>
              <w:rPr>
                <w:sz w:val="19"/>
              </w:rPr>
              <w:t>Significant compromise needing modest preconditions</w:t>
            </w:r>
          </w:p>
        </w:tc>
      </w:tr>
      <w:tr>
        <w:tc>
          <w:tcPr>
            <w:tcW w:type="dxa" w:w="1728"/>
            <w:shd w:val="clear" w:color="auto" w:fill="FFC107"/>
          </w:tcPr>
          <w:p>
            <w:r/>
            <w:r>
              <w:rPr>
                <w:b/>
                <w:sz w:val="19"/>
              </w:rPr>
              <w:t>Medium</w:t>
            </w:r>
          </w:p>
        </w:tc>
        <w:tc>
          <w:tcPr>
            <w:tcW w:type="dxa" w:w="1440"/>
          </w:tcPr>
          <w:p>
            <w:r/>
            <w:r>
              <w:rPr>
                <w:sz w:val="19"/>
              </w:rPr>
              <w:t>4.0-6.9</w:t>
            </w:r>
          </w:p>
        </w:tc>
        <w:tc>
          <w:tcPr>
            <w:tcW w:type="dxa" w:w="6480"/>
          </w:tcPr>
          <w:p>
            <w:r/>
            <w:r>
              <w:rPr>
                <w:sz w:val="19"/>
              </w:rPr>
              <w:t>Exploitable under specific conditions, or defence-in-depth gaps with real impact</w:t>
            </w:r>
          </w:p>
        </w:tc>
      </w:tr>
      <w:tr>
        <w:tc>
          <w:tcPr>
            <w:tcW w:type="dxa" w:w="1728"/>
            <w:shd w:val="clear" w:color="auto" w:fill="FFF176"/>
          </w:tcPr>
          <w:p>
            <w:r/>
            <w:r>
              <w:rPr>
                <w:b/>
                <w:sz w:val="19"/>
              </w:rPr>
              <w:t>Low</w:t>
            </w:r>
          </w:p>
        </w:tc>
        <w:tc>
          <w:tcPr>
            <w:tcW w:type="dxa" w:w="1440"/>
          </w:tcPr>
          <w:p>
            <w:r/>
            <w:r>
              <w:rPr>
                <w:sz w:val="19"/>
              </w:rPr>
              <w:t>0.1-3.9</w:t>
            </w:r>
          </w:p>
        </w:tc>
        <w:tc>
          <w:tcPr>
            <w:tcW w:type="dxa" w:w="6480"/>
          </w:tcPr>
          <w:p>
            <w:r/>
            <w:r>
              <w:rPr>
                <w:sz w:val="19"/>
              </w:rPr>
              <w:t>Minor hardening</w:t>
            </w:r>
          </w:p>
        </w:tc>
      </w:tr>
      <w:tr>
        <w:tc>
          <w:tcPr>
            <w:tcW w:type="dxa" w:w="1728"/>
            <w:shd w:val="clear" w:color="auto" w:fill="B0BEC5"/>
          </w:tcPr>
          <w:p>
            <w:r/>
            <w:r>
              <w:rPr>
                <w:b/>
                <w:sz w:val="19"/>
              </w:rPr>
              <w:t>Informational</w:t>
            </w:r>
          </w:p>
        </w:tc>
        <w:tc>
          <w:tcPr>
            <w:tcW w:type="dxa" w:w="1440"/>
          </w:tcPr>
          <w:p>
            <w:r/>
            <w:r>
              <w:rPr>
                <w:sz w:val="19"/>
              </w:rPr>
              <w:t>0</w:t>
            </w:r>
          </w:p>
        </w:tc>
        <w:tc>
          <w:tcPr>
            <w:tcW w:type="dxa" w:w="6480"/>
          </w:tcPr>
          <w:p>
            <w:r/>
            <w:r>
              <w:rPr>
                <w:sz w:val="19"/>
              </w:rPr>
              <w:t>Best-practice notes with no direct risk</w:t>
            </w:r>
          </w:p>
        </w:tc>
      </w:tr>
    </w:tbl>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Security Assessment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