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Content-Based Epidemic Intelligence for Recurring Seasonal Epidemics</w:t>
      </w:r>
    </w:p>
    <w:p>
      <w:pPr>
        <w:spacing w:after="200"/>
        <w:jc w:val="center"/>
      </w:pPr>
      <w:r>
        <w:rPr>
          <w:i/>
          <w:sz w:val="21"/>
        </w:rPr>
        <w:t>FSE 570 Capstone Proposal</w:t>
      </w:r>
    </w:p>
    <w:p>
      <w:pPr>
        <w:keepNext/>
        <w:spacing w:before="160" w:after="60"/>
      </w:pPr>
      <w:r>
        <w:rPr>
          <w:b/>
          <w:sz w:val="24"/>
        </w:rPr>
        <w:t>1. Problem Statement</w:t>
      </w:r>
    </w:p>
    <w:p>
      <w:pPr>
        <w:spacing w:after="80"/>
      </w:pPr>
      <w:r>
        <w:t>Official disease surveillance systems register an outbreak only after cases have been formally confirmed and reported, which delays recognition of an emerging or intensifying outbreak. Existing informal-source surveillance that relies on report frequency is also unreliable: Ganser et al. (2022) found that HealthMap/EIOS detected only 22 of 238 seasonal influenza outbreaks within a two-week window against WHO FluNet, across 24 countries over seven years of monitoring.</w:t>
      </w:r>
    </w:p>
    <w:p>
      <w:pPr>
        <w:spacing w:after="80"/>
      </w:pPr>
      <w:r>
        <w:t>This project asks a plain question: does extracting what informal reports actually say — case counts, severity, symptoms — detect known seasonal epidemics earlier than simply counting how often they are mentioned?</w:t>
      </w:r>
    </w:p>
    <w:p>
      <w:pPr>
        <w:spacing w:after="80"/>
      </w:pPr>
      <w:r>
        <w:t>Public health agencies and surveillance teams are the stakeholders: a validated content-based signal gives them an earlier, complementary indicator for recurring seasonal epidemics (influenza, dengue) — an early-warning supplement to official surveillance, not a replacement for it.</w:t>
      </w:r>
    </w:p>
    <w:p>
      <w:pPr>
        <w:spacing w:after="80"/>
      </w:pPr>
      <w:r>
        <w:t>Recurring seasonal epidemics impose a substantial, ongoing public health and economic burden every year; even a modest gain in detection lead time supports earlier resource allocation and response.</w:t>
      </w:r>
    </w:p>
    <w:p>
      <w:pPr>
        <w:keepNext/>
        <w:spacing w:before="160" w:after="60"/>
      </w:pPr>
      <w:r>
        <w:rPr>
          <w:b/>
          <w:sz w:val="24"/>
        </w:rPr>
        <w:t>2. Data Sources</w:t>
      </w:r>
    </w:p>
    <w:p>
      <w:pPr>
        <w:spacing w:after="80"/>
      </w:pPr>
      <w:r>
        <w:t>The project uses two genuinely heterogeneous data types: structured numeric surveillance and unstructured multilingual text.</w:t>
      </w:r>
    </w:p>
    <w:p>
      <w:pPr>
        <w:pStyle w:val="ListBullet"/>
        <w:spacing w:after="60"/>
        <w:ind w:left="360"/>
      </w:pPr>
      <w:r>
        <w:rPr>
          <w:b/>
        </w:rPr>
        <w:t xml:space="preserve">Structured/numeric — influenza: </w:t>
      </w:r>
      <w:r>
        <w:t>WHO FluNet (xmart-api-public.who.int) — primary structured reference, influenza, country-week, near-global coverage, includes strain subtype breakdown. Confirmed live, no-auth, server-side filterable.</w:t>
      </w:r>
    </w:p>
    <w:p>
      <w:pPr>
        <w:pStyle w:val="ListBullet"/>
        <w:spacing w:after="60"/>
        <w:ind w:left="360"/>
      </w:pPr>
      <w:r>
        <w:rPr>
          <w:b/>
        </w:rPr>
        <w:t xml:space="preserve">Structured/numeric — influenza (UK gap-fill): </w:t>
      </w:r>
      <w:r>
        <w:t>UKHSA open dashboard (England weekly test-positivity) — fills a confirmed gap where the UK reports no WHO FluNet data at all; same percent-positivity metric FluNet uses. Confirmed live, no-auth, 8/10 years with a defined onset.</w:t>
      </w:r>
    </w:p>
    <w:p>
      <w:pPr>
        <w:pStyle w:val="ListBullet"/>
        <w:spacing w:after="60"/>
        <w:ind w:left="360"/>
      </w:pPr>
      <w:r>
        <w:rPr>
          <w:b/>
        </w:rPr>
        <w:t xml:space="preserve">Structured/numeric — dengue (secondary): </w:t>
      </w:r>
      <w:r>
        <w:t>PAHO PLISA (via Delphi Epidata) and Brazil's InfoDengue (info.dengue.mat.br) — secondary validation reference, dengue, country- and municipality-week respectively. Confirmed live, no-auth.</w:t>
      </w:r>
    </w:p>
    <w:p>
      <w:pPr>
        <w:pStyle w:val="ListBullet"/>
        <w:spacing w:after="60"/>
        <w:ind w:left="360"/>
      </w:pPr>
      <w:r>
        <w:rPr>
          <w:b/>
        </w:rPr>
        <w:t xml:space="preserve">Unstructured/text — informal reports: </w:t>
      </w:r>
      <w:r>
        <w:t>GDELT GKG 2.0 / DOC 2.0 API — primary unstructured input, global multilingual news, 2015–present. Confirmed live via the free DOC API and the raw 15-minute GKG file mirror; BigQuery is not required at this scale.</w:t>
      </w:r>
    </w:p>
    <w:p>
      <w:pPr>
        <w:spacing w:after="80"/>
      </w:pPr>
      <w:r>
        <w:t>All four sources were tested end-to-end before this proposal was drafted, not assumed — a real strength of the current plan.</w:t>
      </w:r>
    </w:p>
    <w:p>
      <w:pPr>
        <w:spacing w:after="80"/>
      </w:pPr>
      <w:r>
        <w:t>Preprocessing challenges already identified through testing: (1) GDELT content depth varies sharply by country — 88% of sampled flu articles were retrievable and content-rich across eight stratified countries in aggregate, but Brazil and Indonesia specifically were confirmed thin-to-absent (33%) across an extended five-day sample, consistent with known income/media-density coverage bias; (2) GDELT's structured geotagging resolves Brazil dengue mentions almost exclusively at country level (0 of 28 checked location entries were subnational), which caps mapping resolution below what InfoDengue's municipality-level ground truth offers; (3) onset-detection thresholds require per-disease, per-region calibration rather than one flat rule.</w:t>
      </w:r>
    </w:p>
    <w:p>
      <w:pPr>
        <w:keepNext/>
        <w:spacing w:before="160" w:after="60"/>
      </w:pPr>
      <w:r>
        <w:rPr>
          <w:b/>
          <w:sz w:val="24"/>
        </w:rPr>
        <w:t>3. Methodology</w:t>
      </w:r>
    </w:p>
    <w:p>
      <w:pPr>
        <w:spacing w:after="80"/>
      </w:pPr>
      <w:r>
        <w:t>The pipeline combines four specific techniques:</w:t>
      </w:r>
    </w:p>
    <w:p>
      <w:pPr>
        <w:pStyle w:val="ListBullet"/>
        <w:spacing w:after="60"/>
        <w:ind w:left="360"/>
      </w:pPr>
      <w:r>
        <w:t>LLM-based few-shot event extraction from GDELT-indexed articles into a structured JSON schema — disease signal, severity, symptoms, strain/serotype, location, and confidence — informed by extraction patterns from Health Sentinel and Pant et al. (2025).</w:t>
      </w:r>
    </w:p>
    <w:p>
      <w:pPr>
        <w:pStyle w:val="ListBullet"/>
        <w:spacing w:after="60"/>
        <w:ind w:left="360"/>
      </w:pPr>
      <w:r>
        <w:t>Rule-based relevance classification to filter extracted events before aggregation.</w:t>
      </w:r>
    </w:p>
    <w:p>
      <w:pPr>
        <w:pStyle w:val="ListBullet"/>
        <w:spacing w:after="60"/>
        <w:ind w:left="360"/>
      </w:pPr>
      <w:r>
        <w:t>Deterministic cross-document linking by (country/city × disease × epi-week) to aggregate multiple reports into a single per-cell signal.</w:t>
      </w:r>
    </w:p>
    <w:p>
      <w:pPr>
        <w:pStyle w:val="ListBullet"/>
        <w:spacing w:after="60"/>
        <w:ind w:left="360"/>
      </w:pPr>
      <w:r>
        <w:t>A content-based detection signal evaluated directly against a frequency-count baseline (mirroring Ganser et al.'s original method) — this comparison against the baseline is the project's validation method, not an incidental check.</w:t>
      </w:r>
    </w:p>
    <w:p>
      <w:pPr>
        <w:spacing w:after="80"/>
      </w:pPr>
      <w:r>
        <w:t>Evaluation design: a pre-defined cohort with onset dates set independently of any content analysis — 63 flu country-season units across eight stratified countries (income tier × hemisphere), from FluNet directly (UKHSA for the UK cell); plus a secondary dengue cohort of city-season units from Brazilian state capitals, from InfoDengue directly. Onset dates are fixed and held out before any extraction runs. The evaluation metric is detection lead time — the system's first meaningful signal minus the reference onset date — computed for both the content-based method and the frequency baseline on the same cohort.</w:t>
      </w:r>
    </w:p>
    <w:p>
      <w:pPr>
        <w:spacing w:after="80"/>
      </w:pPr>
      <w:r>
        <w:t>Validation: the cohort is stratified by income tier, hemisphere, and media density into a calibration subset, used to tune extraction prompts and onset thresholds, and a held-out subset, used only for the final lead-time comparison. No tuning is performed on data used to report results.</w:t>
      </w:r>
    </w:p>
    <w:p>
      <w:pPr>
        <w:keepNext/>
        <w:spacing w:before="160" w:after="60"/>
      </w:pPr>
      <w:r>
        <w:rPr>
          <w:b/>
          <w:sz w:val="24"/>
        </w:rPr>
        <w:t>4. Project Management</w:t>
      </w:r>
    </w:p>
    <w:p>
      <w:pPr>
        <w:spacing w:after="40"/>
      </w:pPr>
      <w:r>
        <w:t>Timeline (through early December):</w:t>
      </w:r>
    </w:p>
    <w:p>
      <w:pPr>
        <w:pStyle w:val="ListBullet"/>
        <w:spacing w:after="60"/>
        <w:ind w:left="360"/>
      </w:pPr>
      <w:r>
        <w:t>Sept 15–21: finalize ground-truth cohort and onset dates (flu primary, dengue secondary).</w:t>
      </w:r>
    </w:p>
    <w:p>
      <w:pPr>
        <w:pStyle w:val="ListBullet"/>
        <w:spacing w:after="60"/>
        <w:ind w:left="360"/>
      </w:pPr>
      <w:r>
        <w:t>Sept 22–Oct 5: GDELT ingestion at scale for cohort countries and cities.</w:t>
      </w:r>
    </w:p>
    <w:p>
      <w:pPr>
        <w:pStyle w:val="ListBullet"/>
        <w:spacing w:after="60"/>
        <w:ind w:left="360"/>
      </w:pPr>
      <w:r>
        <w:t>Oct 6–19: build the extraction pipeline (LLM few-shot schema extraction).</w:t>
      </w:r>
    </w:p>
    <w:p>
      <w:pPr>
        <w:pStyle w:val="ListBullet"/>
        <w:spacing w:after="60"/>
        <w:ind w:left="360"/>
      </w:pPr>
      <w:r>
        <w:t>Oct 20–Nov 2: relevance classification and cross-document linking.</w:t>
      </w:r>
    </w:p>
    <w:p>
      <w:pPr>
        <w:pStyle w:val="ListBullet"/>
        <w:spacing w:after="60"/>
        <w:ind w:left="360"/>
      </w:pPr>
      <w:r>
        <w:t>Nov 3–16: lead-time evaluation — content-based signal vs. frequency baseline.</w:t>
      </w:r>
    </w:p>
    <w:p>
      <w:pPr>
        <w:pStyle w:val="ListBullet"/>
        <w:spacing w:after="60"/>
        <w:ind w:left="360"/>
      </w:pPr>
      <w:r>
        <w:t>Nov 17–23: country-level relative-intensity mapping.</w:t>
      </w:r>
    </w:p>
    <w:p>
      <w:pPr>
        <w:pStyle w:val="ListBullet"/>
        <w:spacing w:after="60"/>
        <w:ind w:left="360"/>
      </w:pPr>
      <w:r>
        <w:t>Nov 24–Dec 5: writeup and final report.</w:t>
      </w:r>
    </w:p>
    <w:p>
      <w:pPr>
        <w:spacing w:after="80"/>
      </w:pPr>
      <w:r>
        <w:t>This schedule reflects a scope that is now settled after four disease-domain reframes were resolved through feasibility testing prior to build start.</w:t>
      </w:r>
    </w:p>
    <w:p>
      <w:pPr>
        <w:spacing w:after="80"/>
      </w:pPr>
      <w:r>
        <w:t>Status check-ins are aligned with course-specified status check-ins. By each checkpoint, the following should be true in sequence: ground-truth cohort finalized; extraction pipeline producing structured output on a validation sample; baseline and content-based lead times both computed.</w:t>
      </w:r>
    </w:p>
    <w:p>
      <w:pPr>
        <w:spacing w:after="40"/>
      </w:pPr>
      <w:r>
        <w:t>Top risks:</w:t>
      </w:r>
    </w:p>
    <w:p>
      <w:pPr>
        <w:pStyle w:val="ListBullet"/>
        <w:spacing w:after="60"/>
        <w:ind w:left="360"/>
      </w:pPr>
      <w:r>
        <w:rPr>
          <w:b/>
        </w:rPr>
        <w:t xml:space="preserve">Uneven cross-country GDELT content coverage (confirmed: Brazil/Indonesia thin vs. USA/UK/Japan/Australia/Kenya/India strong) — </w:t>
      </w:r>
      <w:r>
        <w:t>monitored via per-country retrievability/content-depth rate; mitigated by prioritizing cohort countries with confirmed adequate coverage and disclosing thin-coverage countries as a limitation rather than assuming uniform coverage.</w:t>
      </w:r>
    </w:p>
    <w:p>
      <w:pPr>
        <w:pStyle w:val="ListBullet"/>
        <w:spacing w:after="60"/>
        <w:ind w:left="360"/>
      </w:pPr>
      <w:r>
        <w:rPr>
          <w:b/>
        </w:rPr>
        <w:t xml:space="preserve">LLM extraction accuracy ceiling (comparable published systems report roughly 60–90% depending on task) — </w:t>
      </w:r>
      <w:r>
        <w:t>monitored via a held-out labeled validation sample; mitigated by iterative few-shot prompt refinement, treating extraction accuracy as a reported metric rather than an assumption.</w:t>
      </w:r>
    </w:p>
    <w:p>
      <w:pPr>
        <w:pStyle w:val="ListBullet"/>
        <w:spacing w:after="60"/>
        <w:ind w:left="360"/>
      </w:pPr>
      <w:r>
        <w:rPr>
          <w:b/>
        </w:rPr>
        <w:t xml:space="preserve">Onset-threshold sensitivity for the seasonal cohort — </w:t>
      </w:r>
      <w:r>
        <w:t>already identified and mitigated during feasibility testing: a flat incidence/positivity threshold misreads baseline-variable regions (a 25x spread in dengue city baselines), so the build uses city- and country-relative thresholds instead of one flat rate.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