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1422400</wp:posOffset>
            </wp:positionV>
            <wp:extent cx="736600" cy="1270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2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42"/>
        <w:ind w:left="0" w:right="7488" w:firstLine="0"/>
        <w:jc w:val="left"/>
      </w:pPr>
      <w:r>
        <w:rPr>
          <w:rFonts w:ascii="Rubik" w:hAnsi="Rubik" w:eastAsia="Rubik"/>
          <w:b/>
          <w:i w:val="0"/>
          <w:color w:val="202529"/>
          <w:sz w:val="66"/>
        </w:rPr>
        <w:t xml:space="preserve">ALAN SUSA </w:t>
      </w:r>
      <w:r>
        <w:br/>
      </w:r>
      <w:r>
        <w:rPr>
          <w:rFonts w:ascii="Rubik" w:hAnsi="Rubik" w:eastAsia="Rubik"/>
          <w:b/>
          <w:i w:val="0"/>
          <w:color w:val="FF0000"/>
          <w:sz w:val="40"/>
        </w:rPr>
        <w:t>Data Engineer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899"/>
        <w:gridCol w:w="1899"/>
        <w:gridCol w:w="1899"/>
        <w:gridCol w:w="1899"/>
        <w:gridCol w:w="1899"/>
        <w:gridCol w:w="1899"/>
      </w:tblGrid>
      <w:tr>
        <w:trPr>
          <w:trHeight w:hRule="exact" w:val="37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114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6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alansusa@email.com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0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(123) 456-7890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39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54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New York, NY</w:t>
            </w:r>
          </w:p>
        </w:tc>
      </w:tr>
    </w:tbl>
    <w:p>
      <w:pPr>
        <w:autoSpaceDN w:val="0"/>
        <w:autoSpaceDE w:val="0"/>
        <w:widowControl/>
        <w:spacing w:line="240" w:lineRule="auto" w:before="46" w:after="524"/>
        <w:ind w:left="314" w:right="0" w:firstLine="0"/>
        <w:jc w:val="left"/>
      </w:pPr>
      <w:r>
        <w:rPr>
          <w:w w:val="98.7142835344587"/>
          <w:rFonts w:ascii="Open Sans" w:hAnsi="Open Sans" w:eastAsia="Open Sans"/>
          <w:b w:val="0"/>
          <w:i w:val="0"/>
          <w:color w:val="007BFF"/>
          <w:sz w:val="21"/>
        </w:rPr>
        <w:hyperlink r:id="rId12" w:history="1">
          <w:r>
            <w:rPr>
              <w:rStyle w:val="Hyperlink"/>
            </w:rPr>
            <w:t>LinkedIn</w:t>
          </w:r>
        </w:hyperlink>
      </w:r>
    </w:p>
    <w:p>
      <w:pPr>
        <w:sectPr>
          <w:pgSz w:w="12240" w:h="15840"/>
          <w:pgMar w:top="224" w:right="416" w:bottom="316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Rubik" w:hAnsi="Rubik" w:eastAsia="Rubik"/>
          <w:b/>
          <w:i w:val="0"/>
          <w:color w:val="202529"/>
          <w:sz w:val="40"/>
        </w:rPr>
        <w:t>WORK EXPERIENCE</w:t>
      </w:r>
    </w:p>
    <w:p>
      <w:pPr>
        <w:autoSpaceDN w:val="0"/>
        <w:autoSpaceDE w:val="0"/>
        <w:widowControl/>
        <w:spacing w:line="240" w:lineRule="auto" w:before="10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30"/>
        </w:rPr>
        <w:t>Data Engineer</w:t>
      </w:r>
    </w:p>
    <w:p>
      <w:pPr>
        <w:autoSpaceDN w:val="0"/>
        <w:autoSpaceDE w:val="0"/>
        <w:widowControl/>
        <w:spacing w:line="240" w:lineRule="auto" w:before="8" w:after="0"/>
        <w:ind w:left="0" w:right="0" w:firstLine="0"/>
        <w:jc w:val="left"/>
      </w:pPr>
      <w:r>
        <w:rPr>
          <w:w w:val="101.41304679538892"/>
          <w:rFonts w:ascii="Open Sans SemiBold" w:hAnsi="Open Sans SemiBold" w:eastAsia="Open Sans SemiBold"/>
          <w:b/>
          <w:i w:val="0"/>
          <w:color w:val="FF0000"/>
          <w:sz w:val="23"/>
        </w:rPr>
        <w:t>Consumer Reports</w:t>
      </w:r>
    </w:p>
    <w:p>
      <w:pPr>
        <w:autoSpaceDN w:val="0"/>
        <w:tabs>
          <w:tab w:pos="314" w:val="left"/>
          <w:tab w:pos="2988" w:val="left"/>
          <w:tab w:pos="3254" w:val="left"/>
        </w:tabs>
        <w:autoSpaceDE w:val="0"/>
        <w:widowControl/>
        <w:spacing w:line="240" w:lineRule="auto" w:before="26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39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May 2018 - current</w:t>
      </w:r>
      <w:r>
        <w:tab/>
      </w:r>
      <w:r>
        <w:drawing>
          <wp:inline xmlns:a="http://schemas.openxmlformats.org/drawingml/2006/main" xmlns:pic="http://schemas.openxmlformats.org/drawingml/2006/picture">
            <wp:extent cx="101600" cy="139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New York, NY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2" w:after="0"/>
        <w:ind w:left="2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Led the migration from Oracle to Redshift using Amazon Athena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and S3, resulting in an annual cost savings of $678,000 and an</w:t>
      </w:r>
    </w:p>
    <w:p>
      <w:pPr>
        <w:autoSpaceDN w:val="0"/>
        <w:autoSpaceDE w:val="0"/>
        <w:widowControl/>
        <w:spacing w:line="240" w:lineRule="auto" w:before="0" w:after="0"/>
        <w:ind w:left="494" w:right="0" w:firstLine="0"/>
        <w:jc w:val="left"/>
      </w:pP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increase in performance of 14%</w:t>
      </w:r>
    </w:p>
    <w:p>
      <w:pPr>
        <w:sectPr>
          <w:type w:val="continuous"/>
          <w:pgSz w:w="12240" w:h="15840"/>
          <w:pgMar w:top="224" w:right="416" w:bottom="316" w:left="432" w:header="720" w:footer="720" w:gutter="0"/>
          <w:cols w:num="2" w:equalWidth="0">
            <w:col w:w="7188" w:space="0"/>
            <w:col w:w="420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auto" w:before="0" w:after="0"/>
        <w:ind w:left="222" w:right="0" w:firstLine="0"/>
        <w:jc w:val="left"/>
      </w:pPr>
      <w:r>
        <w:rPr>
          <w:rFonts w:ascii="Rubik" w:hAnsi="Rubik" w:eastAsia="Rubik"/>
          <w:b/>
          <w:i w:val="0"/>
          <w:color w:val="202529"/>
          <w:sz w:val="40"/>
        </w:rPr>
        <w:t>EDUCATION</w:t>
      </w:r>
    </w:p>
    <w:p>
      <w:pPr>
        <w:autoSpaceDN w:val="0"/>
        <w:autoSpaceDE w:val="0"/>
        <w:widowControl/>
        <w:spacing w:line="240" w:lineRule="auto" w:before="116" w:after="0"/>
        <w:ind w:left="222" w:right="0" w:firstLine="0"/>
        <w:jc w:val="left"/>
      </w:pPr>
      <w:r>
        <w:rPr>
          <w:w w:val="101.41304679538892"/>
          <w:rFonts w:ascii="Open Sans" w:hAnsi="Open Sans" w:eastAsia="Open Sans"/>
          <w:b w:val="0"/>
          <w:i w:val="0"/>
          <w:color w:val="202529"/>
          <w:sz w:val="23"/>
        </w:rPr>
        <w:t>B.A.</w:t>
      </w:r>
    </w:p>
    <w:p>
      <w:pPr>
        <w:autoSpaceDN w:val="0"/>
        <w:autoSpaceDE w:val="0"/>
        <w:widowControl/>
        <w:spacing w:line="245" w:lineRule="auto" w:before="12" w:after="0"/>
        <w:ind w:left="222" w:right="1152" w:firstLine="0"/>
        <w:jc w:val="left"/>
      </w:pPr>
      <w:r>
        <w:rPr>
          <w:w w:val="101.41304679538892"/>
          <w:rFonts w:ascii="Open Sans" w:hAnsi="Open Sans" w:eastAsia="Open Sans"/>
          <w:b w:val="0"/>
          <w:i w:val="0"/>
          <w:color w:val="202529"/>
          <w:sz w:val="23"/>
        </w:rPr>
        <w:t xml:space="preserve">Computer Science </w:t>
      </w:r>
      <w:r>
        <w:br/>
      </w:r>
      <w:r>
        <w:rPr>
          <w:w w:val="101.41304679538892"/>
          <w:rFonts w:ascii="Open Sans SemiBold" w:hAnsi="Open Sans SemiBold" w:eastAsia="Open Sans SemiBold"/>
          <w:b/>
          <w:i w:val="0"/>
          <w:color w:val="FF0000"/>
          <w:sz w:val="23"/>
        </w:rPr>
        <w:t>University of Pittsburgh</w:t>
      </w:r>
    </w:p>
    <w:p>
      <w:pPr>
        <w:autoSpaceDN w:val="0"/>
        <w:autoSpaceDE w:val="0"/>
        <w:widowControl/>
        <w:spacing w:line="240" w:lineRule="auto" w:before="10" w:after="0"/>
        <w:ind w:left="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5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September 2010 - April 2014</w:t>
      </w:r>
    </w:p>
    <w:p>
      <w:pPr>
        <w:autoSpaceDN w:val="0"/>
        <w:autoSpaceDE w:val="0"/>
        <w:widowControl/>
        <w:spacing w:line="240" w:lineRule="auto" w:before="18" w:after="244"/>
        <w:ind w:left="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300" cy="139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Pittsburgh, PA</w:t>
      </w:r>
    </w:p>
    <w:p>
      <w:pPr>
        <w:sectPr>
          <w:type w:val="nextColumn"/>
          <w:pgSz w:w="12240" w:h="15840"/>
          <w:pgMar w:top="224" w:right="416" w:bottom="316" w:left="432" w:header="720" w:footer="720" w:gutter="0"/>
          <w:cols w:num="2" w:equalWidth="0">
            <w:col w:w="7188" w:space="0"/>
            <w:col w:w="42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9"/>
        <w:gridCol w:w="1899"/>
        <w:gridCol w:w="1899"/>
        <w:gridCol w:w="1899"/>
        <w:gridCol w:w="1899"/>
        <w:gridCol w:w="1899"/>
      </w:tblGrid>
      <w:tr>
        <w:trPr>
          <w:trHeight w:hRule="exact" w:val="268"/>
        </w:trPr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Designed and implemented a real-time data pipeline to process</w:t>
            </w:r>
          </w:p>
        </w:tc>
        <w:tc>
          <w:tcPr>
            <w:tcW w:type="dxa" w:w="4224"/>
            <w:gridSpan w:val="2"/>
            <w:vMerge w:val="restart"/>
            <w:tcBorders>
              <w:bottom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0" w:after="0"/>
              <w:ind w:left="262" w:right="0" w:firstLine="0"/>
              <w:jc w:val="left"/>
            </w:pPr>
            <w:r>
              <w:rPr>
                <w:rFonts w:ascii="Rubik" w:hAnsi="Rubik" w:eastAsia="Rubik"/>
                <w:b/>
                <w:i w:val="0"/>
                <w:color w:val="202529"/>
                <w:sz w:val="40"/>
              </w:rPr>
              <w:t>SKILLS</w:t>
            </w:r>
          </w:p>
        </w:tc>
      </w:tr>
      <w:tr>
        <w:trPr>
          <w:trHeight w:hRule="exact" w:val="497"/>
        </w:trPr>
        <w:tc>
          <w:tcPr>
            <w:tcW w:type="dxa" w:w="714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94" w:right="576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 xml:space="preserve">semi-structured data by integrating 150 million raw records </w:t>
            </w: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from 30+ data sources using Kafka and PySpark</w:t>
            </w:r>
          </w:p>
        </w:tc>
        <w:tc>
          <w:tcPr>
            <w:tcW w:type="dxa" w:w="3798"/>
            <w:gridSpan w:val="2"/>
            <w:vMerge/>
            <w:tcBorders>
              <w:bottom w:sz="17.59999999999991" w:val="single" w:color="#000000"/>
            </w:tcBorders>
          </w:tcPr>
          <w:p/>
        </w:tc>
      </w:tr>
      <w:tr>
        <w:trPr>
          <w:trHeight w:hRule="exact" w:val="291"/>
        </w:trPr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86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Designed the data pipeline architecture for a new product that</w:t>
            </w:r>
          </w:p>
        </w:tc>
        <w:tc>
          <w:tcPr>
            <w:tcW w:type="dxa" w:w="420"/>
            <w:vMerge w:val="restart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vMerge w:val="restart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82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Python</w:t>
            </w:r>
          </w:p>
        </w:tc>
      </w:tr>
      <w:tr>
        <w:trPr>
          <w:trHeight w:hRule="exact" w:val="60"/>
        </w:trPr>
        <w:tc>
          <w:tcPr>
            <w:tcW w:type="dxa" w:w="714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94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quickly scaled from 0 to 125,000 daily active users</w:t>
            </w:r>
          </w:p>
        </w:tc>
        <w:tc>
          <w:tcPr>
            <w:tcW w:type="dxa" w:w="1899"/>
            <w:vMerge/>
            <w:tcBorders>
              <w:top w:sz="17.59999999999991" w:val="single" w:color="#000000"/>
            </w:tcBorders>
          </w:tcPr>
          <w:p/>
        </w:tc>
        <w:tc>
          <w:tcPr>
            <w:tcW w:type="dxa" w:w="1899"/>
            <w:vMerge/>
            <w:tcBorders>
              <w:top w:sz="17.59999999999991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596"/>
            <w:gridSpan w:val="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ETLs</w:t>
            </w:r>
          </w:p>
        </w:tc>
      </w:tr>
      <w:tr>
        <w:trPr>
          <w:trHeight w:hRule="exact" w:val="80"/>
        </w:trPr>
        <w:tc>
          <w:tcPr>
            <w:tcW w:type="dxa" w:w="3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6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Studied and revamped data dictionaries to include a more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99"/>
            <w:vMerge/>
            <w:tcBorders/>
          </w:tcPr>
          <w:p/>
        </w:tc>
        <w:tc>
          <w:tcPr>
            <w:tcW w:type="dxa" w:w="5697"/>
            <w:gridSpan w:val="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SQL (Postgres, Redshift, MySQL)</w:t>
            </w:r>
          </w:p>
        </w:tc>
      </w:tr>
      <w:tr>
        <w:trPr>
          <w:trHeight w:hRule="exact" w:val="100"/>
        </w:trPr>
        <w:tc>
          <w:tcPr>
            <w:tcW w:type="dxa" w:w="714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0" w:after="0"/>
              <w:ind w:left="0" w:right="864" w:firstLine="494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 xml:space="preserve">robust history for developing consistency across domain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30"/>
              </w:rPr>
              <w:t xml:space="preserve">Data Engineer </w:t>
            </w:r>
            <w:r>
              <w:br/>
            </w:r>
            <w:r>
              <w:rPr>
                <w:w w:val="101.41304679538892"/>
                <w:rFonts w:ascii="Open Sans SemiBold" w:hAnsi="Open Sans SemiBold" w:eastAsia="Open Sans SemiBold"/>
                <w:b/>
                <w:i w:val="0"/>
                <w:color w:val="FF0000"/>
                <w:sz w:val="23"/>
              </w:rPr>
              <w:t>Guardian Life Insurance Company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7596"/>
            <w:gridSpan w:val="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NoSQL (MongoDB)</w:t>
            </w:r>
          </w:p>
        </w:tc>
      </w:tr>
      <w:tr>
        <w:trPr>
          <w:trHeight w:hRule="exact" w:val="300"/>
        </w:trPr>
        <w:tc>
          <w:tcPr>
            <w:tcW w:type="dxa" w:w="7596"/>
            <w:gridSpan w:val="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Spark, Kafka</w:t>
            </w:r>
          </w:p>
        </w:tc>
      </w:tr>
      <w:tr>
        <w:trPr>
          <w:trHeight w:hRule="exact" w:val="280"/>
        </w:trPr>
        <w:tc>
          <w:tcPr>
            <w:tcW w:type="dxa" w:w="7596"/>
            <w:gridSpan w:val="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Airflow</w:t>
            </w:r>
          </w:p>
        </w:tc>
      </w:tr>
      <w:tr>
        <w:trPr>
          <w:trHeight w:hRule="exact" w:val="300"/>
        </w:trPr>
        <w:tc>
          <w:tcPr>
            <w:tcW w:type="dxa" w:w="7596"/>
            <w:gridSpan w:val="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AWS (Athena, Lambda, S3)</w:t>
            </w:r>
          </w:p>
        </w:tc>
      </w:tr>
      <w:tr>
        <w:trPr>
          <w:trHeight w:hRule="exact" w:val="300"/>
        </w:trPr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52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6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August 2016 - May 2018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62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New York, NY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6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Maintained data pipeline up-time of 99.8% while ingesting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714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94" w:right="576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 xml:space="preserve">streaming and transactional data across 8 different primary </w:t>
            </w: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data sources using Spark, Redshift, S3, and Python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6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Automated ETL processes across billions of rows of data, which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714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94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reduced manual workload by 29% monthly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Ingested data from disparate data sources using a combination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714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94" w:right="288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 xml:space="preserve">of SQL, Google Analytics API, and Salesforce API using Python to </w:t>
            </w: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create data views to be used in BI tools like Tableau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6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Communicated with project managers and analysts about data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714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94" w:right="0" w:firstLine="0"/>
              <w:jc w:val="left"/>
            </w:pPr>
            <w:r>
              <w:rPr>
                <w:w w:val="98.7142835344587"/>
                <w:rFonts w:ascii="Open Sans" w:hAnsi="Open Sans" w:eastAsia="Open Sans"/>
                <w:b w:val="0"/>
                <w:i w:val="0"/>
                <w:color w:val="202529"/>
                <w:sz w:val="21"/>
              </w:rPr>
              <w:t>pipelines that drove efficiency KPIs up by 26%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30"/>
        </w:rPr>
        <w:t>Data Engineer Intern</w:t>
      </w:r>
    </w:p>
    <w:p>
      <w:pPr>
        <w:autoSpaceDN w:val="0"/>
        <w:autoSpaceDE w:val="0"/>
        <w:widowControl/>
        <w:spacing w:line="240" w:lineRule="auto" w:before="8" w:after="0"/>
        <w:ind w:left="0" w:right="0" w:firstLine="0"/>
        <w:jc w:val="left"/>
      </w:pPr>
      <w:r>
        <w:rPr>
          <w:w w:val="101.41304679538892"/>
          <w:rFonts w:ascii="Open Sans SemiBold" w:hAnsi="Open Sans SemiBold" w:eastAsia="Open Sans SemiBold"/>
          <w:b/>
          <w:i w:val="0"/>
          <w:color w:val="FF0000"/>
          <w:sz w:val="23"/>
        </w:rPr>
        <w:t>Federal Reserve Board of Governors</w:t>
      </w:r>
    </w:p>
    <w:p>
      <w:pPr>
        <w:autoSpaceDN w:val="0"/>
        <w:tabs>
          <w:tab w:pos="314" w:val="left"/>
          <w:tab w:pos="3768" w:val="left"/>
          <w:tab w:pos="4034" w:val="left"/>
        </w:tabs>
        <w:autoSpaceDE w:val="0"/>
        <w:widowControl/>
        <w:spacing w:line="240" w:lineRule="auto" w:before="26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397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August 2014 - August 2016</w:t>
      </w:r>
      <w:r>
        <w:tab/>
      </w:r>
      <w:r>
        <w:drawing>
          <wp:inline xmlns:a="http://schemas.openxmlformats.org/drawingml/2006/main" xmlns:pic="http://schemas.openxmlformats.org/drawingml/2006/picture">
            <wp:extent cx="101600" cy="1397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Washington, DC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2" w:after="0"/>
        <w:ind w:left="228" w:right="44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 xml:space="preserve">Built basic ETL that ingested transactional and event data from </w:t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 xml:space="preserve">a web app with 12,000 daily active users that saved over </w:t>
      </w:r>
      <w:r>
        <w:br/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$85,000 annually in external vendor costs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18" w:after="0"/>
        <w:ind w:left="228" w:right="44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 xml:space="preserve">Worked with client to understand business needs and translate </w:t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 xml:space="preserve">those business needs into actionable reports in Tableau, saving </w:t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17 hours of manual work each week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18" w:after="0"/>
        <w:ind w:left="228" w:right="489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 xml:space="preserve">Used Spark in Python to distribute data processing on large </w:t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streaming datasets, improving ingestion and speed by 67%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18" w:after="0"/>
        <w:ind w:left="228" w:right="4752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 xml:space="preserve">Supported implementation and active monitoring of controls </w:t>
      </w:r>
      <w:r>
        <w:rPr>
          <w:w w:val="98.7142835344587"/>
          <w:rFonts w:ascii="Open Sans" w:hAnsi="Open Sans" w:eastAsia="Open Sans"/>
          <w:b w:val="0"/>
          <w:i w:val="0"/>
          <w:color w:val="202529"/>
          <w:sz w:val="21"/>
        </w:rPr>
        <w:t>and programs for precision and efficacy</w:t>
      </w:r>
    </w:p>
    <w:sectPr w:rsidR="00FC693F" w:rsidRPr="0006063C" w:rsidSect="00034616">
      <w:type w:val="continuous"/>
      <w:pgSz w:w="12240" w:h="15840"/>
      <w:pgMar w:top="224" w:right="416" w:bottom="316" w:left="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linkedin.com/in/alan-susa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