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4" w:lineRule="auto" w:before="0" w:after="0"/>
        <w:ind w:left="1964" w:right="0" w:firstLine="0"/>
        <w:jc w:val="left"/>
      </w:pPr>
      <w:r>
        <w:rPr>
          <w:rFonts w:ascii="Lora" w:hAnsi="Lora" w:eastAsia="Lora"/>
          <w:b w:val="0"/>
          <w:i w:val="0"/>
          <w:color w:val="FFFFFF"/>
          <w:sz w:val="67"/>
        </w:rPr>
        <w:t>KANDACE LOUDOR</w:t>
      </w:r>
    </w:p>
    <w:p>
      <w:pPr>
        <w:autoSpaceDN w:val="0"/>
        <w:autoSpaceDE w:val="0"/>
        <w:widowControl/>
        <w:spacing w:line="204" w:lineRule="auto" w:before="42" w:after="562"/>
        <w:ind w:left="0" w:right="4008" w:firstLine="0"/>
        <w:jc w:val="right"/>
      </w:pPr>
      <w:r>
        <w:rPr>
          <w:rFonts w:ascii="Lora" w:hAnsi="Lora" w:eastAsia="Lora"/>
          <w:b w:val="0"/>
          <w:i w:val="0"/>
          <w:color w:val="FFFFFF"/>
          <w:sz w:val="31"/>
        </w:rPr>
        <w:t>DATA SCIENTIST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2"/>
        <w:gridCol w:w="5472"/>
      </w:tblGrid>
      <w:tr>
        <w:trPr>
          <w:trHeight w:hRule="exact" w:val="8958"/>
        </w:trPr>
        <w:tc>
          <w:tcPr>
            <w:tcW w:type="dxa" w:w="33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0" w:right="346" w:firstLine="0"/>
              <w:jc w:val="righ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CONTACT</w:t>
            </w:r>
          </w:p>
          <w:p>
            <w:pPr>
              <w:autoSpaceDN w:val="0"/>
              <w:autoSpaceDE w:val="0"/>
              <w:widowControl/>
              <w:spacing w:line="257" w:lineRule="auto" w:before="84" w:after="0"/>
              <w:ind w:left="576" w:right="66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kloudor@email.com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(123) 456-7890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Mount Laurel, NJ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7BFF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LinkedIn </w:t>
                </w:r>
              </w:hyperlink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7BFF"/>
                <w:sz w:val="22"/>
              </w:rPr>
              <w:hyperlink r:id="rId10" w:history="1">
                <w:r>
                  <w:rPr>
                    <w:rStyle w:val="Hyperlink"/>
                  </w:rPr>
                  <w:t>Github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4" w:lineRule="auto" w:before="462" w:after="0"/>
              <w:ind w:left="0" w:right="352" w:firstLine="0"/>
              <w:jc w:val="righ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40" w:lineRule="auto" w:before="72" w:after="0"/>
              <w:ind w:left="0" w:right="346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0" w:right="348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Statistics </w:t>
            </w:r>
            <w:r>
              <w:br/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Rutgers University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September 2011 - April 2015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New Brunswick, NJ</w:t>
            </w:r>
          </w:p>
          <w:p>
            <w:pPr>
              <w:autoSpaceDN w:val="0"/>
              <w:autoSpaceDE w:val="0"/>
              <w:widowControl/>
              <w:spacing w:line="204" w:lineRule="auto" w:before="448" w:after="0"/>
              <w:ind w:left="0" w:right="346" w:firstLine="0"/>
              <w:jc w:val="righ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SKILLS</w:t>
            </w:r>
          </w:p>
          <w:p>
            <w:pPr>
              <w:autoSpaceDN w:val="0"/>
              <w:autoSpaceDE w:val="0"/>
              <w:widowControl/>
              <w:spacing w:line="245" w:lineRule="auto" w:before="70" w:after="0"/>
              <w:ind w:left="288" w:right="348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Python (NumPy, Pandas,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Scikit-learn, Keras, Flask)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SQL (MySQL, Postgres)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Git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Time Series Forecasting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Productionizing Models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Recommendation Engines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Customer Segmentation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AWS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368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WORK EXPERIENCE</w:t>
            </w:r>
          </w:p>
          <w:p>
            <w:pPr>
              <w:autoSpaceDN w:val="0"/>
              <w:autoSpaceDE w:val="0"/>
              <w:widowControl/>
              <w:spacing w:line="240" w:lineRule="auto" w:before="62" w:after="0"/>
              <w:ind w:left="3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>Data Scientist</w:t>
            </w:r>
          </w:p>
          <w:p>
            <w:pPr>
              <w:autoSpaceDN w:val="0"/>
              <w:autoSpaceDE w:val="0"/>
              <w:widowControl/>
              <w:spacing w:line="240" w:lineRule="auto" w:before="6" w:after="0"/>
              <w:ind w:left="368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Grubhub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68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June 2018 - current / Princeton, NJ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86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Deployed a recommendation engine to production to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conditionally recommend other menu items based on past order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history, increasing average order size by 7%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86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Implemented various time series forecasting techniques to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predict surge in orders, lowering customer wait by 10 minutes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86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Designed a model in a pilot to increase incentives for drivers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during peak hours, increasing driver availability by 22%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Led a team of 3 data scientist to model the ordering process 5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unique ways, reported results, and made recommendations to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increase order output by 9%</w:t>
            </w:r>
          </w:p>
          <w:p>
            <w:pPr>
              <w:autoSpaceDN w:val="0"/>
              <w:autoSpaceDE w:val="0"/>
              <w:widowControl/>
              <w:spacing w:line="240" w:lineRule="auto" w:before="264" w:after="0"/>
              <w:ind w:left="36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>Data Scientist</w:t>
            </w:r>
          </w:p>
          <w:p>
            <w:pPr>
              <w:autoSpaceDN w:val="0"/>
              <w:autoSpaceDE w:val="0"/>
              <w:widowControl/>
              <w:spacing w:line="240" w:lineRule="auto" w:before="4" w:after="0"/>
              <w:ind w:left="368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Spectrix Analytical Services</w:t>
            </w:r>
          </w:p>
          <w:p>
            <w:pPr>
              <w:autoSpaceDN w:val="0"/>
              <w:autoSpaceDE w:val="0"/>
              <w:widowControl/>
              <w:spacing w:line="240" w:lineRule="auto" w:before="10" w:after="0"/>
              <w:ind w:left="368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March 2016 - June 2018 / Princeton, NJ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Built a customer attrition random forest model that improved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monthly retention by 12 basis points for clients likely to opt-out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by providing relevant product features for them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Coordinated with the product and marketing teams to determine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what kind of client interactions resulted in maximized service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opt-ins, increasing conversions by 18%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Partnered with product team to create a production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recommendation engine in Python that improved the length on-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page for users with $225K in incremental annual revenue</w:t>
            </w:r>
          </w:p>
          <w:p>
            <w:pPr>
              <w:autoSpaceDN w:val="0"/>
              <w:autoSpaceDE w:val="0"/>
              <w:widowControl/>
              <w:spacing w:line="245" w:lineRule="auto" w:before="16" w:after="0"/>
              <w:ind w:left="86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Compiled and analyzed data surrounding the prototypes for a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prosthesis, which saved over $1M in its creation</w:t>
            </w:r>
          </w:p>
        </w:tc>
      </w:tr>
    </w:tbl>
    <w:p>
      <w:pPr>
        <w:autoSpaceDN w:val="0"/>
        <w:autoSpaceDE w:val="0"/>
        <w:widowControl/>
        <w:spacing w:line="240" w:lineRule="auto" w:before="202" w:after="0"/>
        <w:ind w:left="0" w:right="3648" w:firstLine="0"/>
        <w:jc w:val="right"/>
      </w:pPr>
      <w:r>
        <w:rPr>
          <w:rFonts w:ascii="Open Sans" w:hAnsi="Open Sans" w:eastAsia="Open Sans"/>
          <w:b w:val="0"/>
          <w:i w:val="0"/>
          <w:color w:val="202529"/>
          <w:sz w:val="31"/>
        </w:rPr>
        <w:t>Entry-Level Data Analyst</w:t>
      </w:r>
    </w:p>
    <w:p>
      <w:pPr>
        <w:autoSpaceDN w:val="0"/>
        <w:autoSpaceDE w:val="0"/>
        <w:widowControl/>
        <w:spacing w:line="240" w:lineRule="auto" w:before="6" w:after="0"/>
        <w:ind w:left="0" w:right="6336" w:firstLine="0"/>
        <w:jc w:val="right"/>
      </w:pP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>Avenica</w:t>
      </w:r>
    </w:p>
    <w:p>
      <w:pPr>
        <w:autoSpaceDN w:val="0"/>
        <w:autoSpaceDE w:val="0"/>
        <w:widowControl/>
        <w:spacing w:line="240" w:lineRule="auto" w:before="8" w:after="0"/>
        <w:ind w:left="0" w:right="2358" w:firstLine="0"/>
        <w:jc w:val="right"/>
      </w:pP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>April 2015 - March 2016 / Mount Laurel, NJ</w:t>
      </w:r>
    </w:p>
    <w:p>
      <w:pPr>
        <w:autoSpaceDN w:val="0"/>
        <w:autoSpaceDE w:val="0"/>
        <w:widowControl/>
        <w:spacing w:line="245" w:lineRule="auto" w:before="8" w:after="0"/>
        <w:ind w:left="4230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Collaborated with product managers to perform cohort analysis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that identified an opportunity to reduce pricing by 21% for a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segment of users to boost yearly revenue by $560,000</w:t>
      </w:r>
    </w:p>
    <w:p>
      <w:pPr>
        <w:autoSpaceDN w:val="0"/>
        <w:autoSpaceDE w:val="0"/>
        <w:widowControl/>
        <w:spacing w:line="245" w:lineRule="auto" w:before="0" w:after="0"/>
        <w:ind w:left="4230" w:right="432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Constructed operational reporting in Tableau to improve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scheduling contractors, saving $90,000 in the annual budget</w:t>
      </w:r>
    </w:p>
    <w:p>
      <w:pPr>
        <w:autoSpaceDN w:val="0"/>
        <w:autoSpaceDE w:val="0"/>
        <w:widowControl/>
        <w:spacing w:line="245" w:lineRule="auto" w:before="16" w:after="0"/>
        <w:ind w:left="4230" w:right="432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Implemented a long-term pricing experiment that improved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customer lifetime value by 23%</w:t>
      </w:r>
    </w:p>
    <w:p>
      <w:pPr>
        <w:autoSpaceDN w:val="0"/>
        <w:autoSpaceDE w:val="0"/>
        <w:widowControl/>
        <w:spacing w:line="245" w:lineRule="auto" w:before="16" w:after="0"/>
        <w:ind w:left="4230" w:right="432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 xml:space="preserve">Ran, submitted, and reported on monthly client enrollments, </w:t>
      </w:r>
      <w:r>
        <w:rPr>
          <w:rFonts w:ascii="Open Sans" w:hAnsi="Open Sans" w:eastAsia="Open Sans"/>
          <w:b w:val="0"/>
          <w:i w:val="0"/>
          <w:color w:val="202529"/>
          <w:sz w:val="22"/>
        </w:rPr>
        <w:t>services opted in for, and the employees assigned to clients</w:t>
      </w:r>
    </w:p>
    <w:sectPr w:rsidR="00FC693F" w:rsidRPr="0006063C" w:rsidSect="00034616">
      <w:pgSz w:w="12240" w:h="15840"/>
      <w:pgMar w:top="208" w:right="784" w:bottom="364" w:left="5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hyperlink" Target="https://github.com/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