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4080"/>
        <w:gridCol w:w="4080"/>
        <w:gridCol w:w="4080"/>
      </w:tblGrid>
      <w:tr>
        <w:trPr>
          <w:trHeight w:hRule="exact" w:val="1290"/>
        </w:trPr>
        <w:tc>
          <w:tcPr>
            <w:tcW w:type="dxa" w:w="2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50" w:after="0"/>
              <w:ind w:left="532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tcoleman@email.com</w:t>
            </w:r>
          </w:p>
        </w:tc>
        <w:tc>
          <w:tcPr>
            <w:tcW w:type="dxa" w:w="6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2" w:val="left"/>
                <w:tab w:pos="3508" w:val="left"/>
              </w:tabs>
              <w:autoSpaceDE w:val="0"/>
              <w:widowControl/>
              <w:spacing w:line="245" w:lineRule="auto" w:before="60" w:after="0"/>
              <w:ind w:left="62" w:right="288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66"/>
              </w:rPr>
              <w:t xml:space="preserve">Terrence Coleman </w:t>
            </w:r>
            <w:r>
              <w:tab/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 xml:space="preserve">(123) 456-7890 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Brooklyn, NY</w:t>
            </w:r>
          </w:p>
        </w:tc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50" w:after="0"/>
              <w:ind w:left="384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007BFF"/>
                <w:sz w:val="23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5" w:lineRule="auto" w:before="64" w:after="0"/>
        <w:ind w:left="432" w:right="432" w:firstLine="0"/>
        <w:jc w:val="center"/>
      </w:pP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 xml:space="preserve">Analytically minded self-starter with a decade of experience collaborating with cross-functional teams and </w:t>
      </w: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 xml:space="preserve">ensuring the accuracy and integrity around data and actionable insights. Prepared to lead teams and interns in </w:t>
      </w: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>predictive modeling and insight reporting to boost Hyphen's business efficiency, strategic goals, and profit.</w:t>
      </w:r>
    </w:p>
    <w:p>
      <w:pPr>
        <w:autoSpaceDN w:val="0"/>
        <w:autoSpaceDE w:val="0"/>
        <w:widowControl/>
        <w:spacing w:line="240" w:lineRule="auto" w:before="236" w:after="6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9D4536"/>
          <w:sz w:val="30"/>
        </w:rPr>
        <w:t>WORK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2240"/>
      </w:tblGrid>
      <w:tr>
        <w:trPr>
          <w:trHeight w:hRule="exact" w:val="7826"/>
        </w:trPr>
        <w:tc>
          <w:tcPr>
            <w:tcW w:type="dxa" w:w="1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32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0"/>
              </w:rPr>
              <w:t>Best Buy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0"/>
              </w:rPr>
              <w:t xml:space="preserve"> - Senior Data Scientist</w:t>
            </w:r>
          </w:p>
          <w:p>
            <w:pPr>
              <w:autoSpaceDN w:val="0"/>
              <w:tabs>
                <w:tab w:pos="10798" w:val="left"/>
              </w:tabs>
              <w:autoSpaceDE w:val="0"/>
              <w:widowControl/>
              <w:spacing w:line="240" w:lineRule="auto" w:before="0" w:after="0"/>
              <w:ind w:left="232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 xml:space="preserve">October 2018 - current </w:t>
            </w:r>
            <w:r>
              <w:tab/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Remote</w:t>
            </w:r>
          </w:p>
          <w:p>
            <w:pPr>
              <w:autoSpaceDN w:val="0"/>
              <w:tabs>
                <w:tab w:pos="786" w:val="left"/>
              </w:tabs>
              <w:autoSpaceDE w:val="0"/>
              <w:widowControl/>
              <w:spacing w:line="245" w:lineRule="auto" w:before="0" w:after="0"/>
              <w:ind w:left="532" w:right="288" w:firstLine="0"/>
              <w:jc w:val="left"/>
            </w:pP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Led data extraction and evaluation efforts to save Best Buy more than 11M over the course of tenure</w:t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 xml:space="preserve">Partnered with product team to build a production recommendation engine in Python that improved the 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average length on page for users and resulted in $450K in incremental annual revenue</w:t>
            </w:r>
          </w:p>
          <w:p>
            <w:pPr>
              <w:autoSpaceDN w:val="0"/>
              <w:tabs>
                <w:tab w:pos="786" w:val="left"/>
              </w:tabs>
              <w:autoSpaceDE w:val="0"/>
              <w:widowControl/>
              <w:spacing w:line="245" w:lineRule="auto" w:before="0" w:after="0"/>
              <w:ind w:left="532" w:right="576" w:firstLine="0"/>
              <w:jc w:val="left"/>
            </w:pP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 xml:space="preserve">Created a customer attrition random forest model, improving monthly retention by 6 basis points for 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customers likely to attrit by servicing relevant product features for them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32" w:right="864" w:firstLine="0"/>
              <w:jc w:val="left"/>
            </w:pP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Communicated with PMs to lead 4 data scientists in project planning, development, and execution</w:t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Coached data team throughout short and long-term projects, redefining documentation frequently</w:t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232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0"/>
              </w:rPr>
              <w:t>2U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0"/>
              </w:rPr>
              <w:t xml:space="preserve"> - Data Scientist</w:t>
            </w:r>
          </w:p>
          <w:p>
            <w:pPr>
              <w:autoSpaceDN w:val="0"/>
              <w:tabs>
                <w:tab w:pos="10244" w:val="left"/>
              </w:tabs>
              <w:autoSpaceDE w:val="0"/>
              <w:widowControl/>
              <w:spacing w:line="240" w:lineRule="auto" w:before="0" w:after="0"/>
              <w:ind w:left="232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 xml:space="preserve">April 2014 - October 2018 </w:t>
            </w:r>
            <w:r>
              <w:tab/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Brooklyn, NY</w:t>
            </w:r>
          </w:p>
          <w:p>
            <w:pPr>
              <w:autoSpaceDN w:val="0"/>
              <w:tabs>
                <w:tab w:pos="786" w:val="left"/>
              </w:tabs>
              <w:autoSpaceDE w:val="0"/>
              <w:widowControl/>
              <w:spacing w:line="245" w:lineRule="auto" w:before="0" w:after="0"/>
              <w:ind w:left="532" w:right="288" w:firstLine="0"/>
              <w:jc w:val="left"/>
            </w:pP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 xml:space="preserve">Conducted A/B testing to solve client pain points in learning platforms, and identified and recommended 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solutions to solve unclear platform roadmaps, which reduced the bounce rate by 62%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32" w:right="288" w:firstLine="0"/>
              <w:jc w:val="left"/>
            </w:pP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Extracted data from 7 disparate sources, and increased agility and accuracy with a centralized system</w:t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Constructed decisions trees to optimize needed algorithms to better target the learning audience by 15%</w:t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232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0"/>
              </w:rPr>
              <w:t>2U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0"/>
              </w:rPr>
              <w:t xml:space="preserve"> - Data Analyst</w:t>
            </w:r>
          </w:p>
          <w:p>
            <w:pPr>
              <w:autoSpaceDN w:val="0"/>
              <w:tabs>
                <w:tab w:pos="10244" w:val="left"/>
              </w:tabs>
              <w:autoSpaceDE w:val="0"/>
              <w:widowControl/>
              <w:spacing w:line="240" w:lineRule="auto" w:before="0" w:after="0"/>
              <w:ind w:left="232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 xml:space="preserve">April 2012 - April 2014 </w:t>
            </w:r>
            <w:r>
              <w:tab/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Brooklyn, NY</w:t>
            </w:r>
          </w:p>
          <w:p>
            <w:pPr>
              <w:autoSpaceDN w:val="0"/>
              <w:tabs>
                <w:tab w:pos="786" w:val="left"/>
              </w:tabs>
              <w:autoSpaceDE w:val="0"/>
              <w:widowControl/>
              <w:spacing w:line="245" w:lineRule="auto" w:before="0" w:after="0"/>
              <w:ind w:left="532" w:right="1008" w:firstLine="0"/>
              <w:jc w:val="left"/>
            </w:pP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 xml:space="preserve">Determined, using Python clustering methods, groups of states where underwriting models were 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underperforming, and owned improvements to increase profit by 4%</w:t>
            </w:r>
          </w:p>
          <w:p>
            <w:pPr>
              <w:autoSpaceDN w:val="0"/>
              <w:tabs>
                <w:tab w:pos="786" w:val="left"/>
              </w:tabs>
              <w:autoSpaceDE w:val="0"/>
              <w:widowControl/>
              <w:spacing w:line="245" w:lineRule="auto" w:before="0" w:after="0"/>
              <w:ind w:left="532" w:right="288" w:firstLine="0"/>
              <w:jc w:val="left"/>
            </w:pP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 xml:space="preserve">Identified procedural areas of improvement through customer data to help improve the profitability of a 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nationwide retention program by 8%</w:t>
            </w:r>
          </w:p>
          <w:p>
            <w:pPr>
              <w:autoSpaceDN w:val="0"/>
              <w:tabs>
                <w:tab w:pos="786" w:val="left"/>
              </w:tabs>
              <w:autoSpaceDE w:val="0"/>
              <w:widowControl/>
              <w:spacing w:line="245" w:lineRule="auto" w:before="0" w:after="0"/>
              <w:ind w:left="532" w:right="576" w:firstLine="0"/>
              <w:jc w:val="left"/>
            </w:pP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 xml:space="preserve">Developed and owned the reporting for a nationwide retention program using Python, SQL, and Excel, 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saving an average of 60 hours of labor each month</w:t>
            </w:r>
          </w:p>
        </w:tc>
      </w:tr>
    </w:tbl>
    <w:p>
      <w:pPr>
        <w:autoSpaceDN w:val="0"/>
        <w:autoSpaceDE w:val="0"/>
        <w:widowControl/>
        <w:spacing w:line="240" w:lineRule="auto" w:before="370" w:after="6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9D4536"/>
          <w:sz w:val="30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6120"/>
        <w:gridCol w:w="6120"/>
      </w:tblGrid>
      <w:tr>
        <w:trPr>
          <w:trHeight w:hRule="exact" w:val="1766"/>
        </w:trPr>
        <w:tc>
          <w:tcPr>
            <w:tcW w:type="dxa" w:w="9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32" w:right="2592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0"/>
              </w:rPr>
              <w:t xml:space="preserve">University of Pittsburgh 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0"/>
              </w:rPr>
              <w:t xml:space="preserve">- Master's , Mathematics 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September 2012 - April 2014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232" w:right="288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0"/>
              </w:rPr>
              <w:t>University of Pittsburgh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0"/>
              </w:rPr>
              <w:t xml:space="preserve"> - Bachelor's, Mathematics and Economics 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September 2008 - April 2012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428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Pittsburgh, PA</w:t>
            </w:r>
          </w:p>
          <w:p>
            <w:pPr>
              <w:autoSpaceDN w:val="0"/>
              <w:autoSpaceDE w:val="0"/>
              <w:widowControl/>
              <w:spacing w:line="240" w:lineRule="auto" w:before="696" w:after="0"/>
              <w:ind w:left="428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Pittsburgh, PA</w:t>
            </w:r>
          </w:p>
        </w:tc>
      </w:tr>
    </w:tbl>
    <w:p>
      <w:pPr>
        <w:autoSpaceDN w:val="0"/>
        <w:autoSpaceDE w:val="0"/>
        <w:widowControl/>
        <w:spacing w:line="240" w:lineRule="auto" w:before="370" w:after="0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9D4536"/>
          <w:sz w:val="30"/>
        </w:rPr>
        <w:t>SKILLS</w:t>
      </w:r>
    </w:p>
    <w:p>
      <w:pPr>
        <w:autoSpaceDN w:val="0"/>
        <w:autoSpaceDE w:val="0"/>
        <w:widowControl/>
        <w:spacing w:line="245" w:lineRule="auto" w:before="68" w:after="0"/>
        <w:ind w:left="432" w:right="864" w:firstLine="0"/>
        <w:jc w:val="left"/>
      </w:pP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 xml:space="preserve">Python (NumPy, Pandas, Scikit-learn, Flask), SAS; SQL - Redshift, MySQL; ElasticSearch; Recommendation </w:t>
      </w: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>Engines, Customer Segmentation &amp; Retention Models, Price Optimization, Productionizing Models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linkedin.com/in/terrence-cole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