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Comprehensive Case Study: Harnessing AI to Achieve Hyper-Precision in Lead and Persona Identification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z w:val="24"/>
          <w:szCs w:val="24"/>
          <w:rtl w:val="0"/>
        </w:rPr>
        <w:t xml:space="preserve">Case Study Subject: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InnovateB2B Analytics (A High-Growth Marketing Technology (MarTech) Platform)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Industry: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Business-to-Business Software as a Service (B2B SaaS) – Marketing Analytics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The Pre-AI Challenge: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InnovateB2B offered a robust platform but struggled with an inefficient marketing funnel. Their lead volume was high, but their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Sales Qualified Lead (SQL) conversion rate was stagnant at 4%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and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Customer Acquisition Cost (CAC) was spiking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Their traditional marketing approach relied on broad personas (e.g., "Agency Owner Alex") and a manual, subjective lead scoring system based primarily on job title and company size. The sales team was wasting over half their time pursuing low-intent leads.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The AI Solution: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InnovateB2B implemented a comprehensive AI/Machine Learning framework across their marketing automation and CRM platforms, focusing specifically on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predictive modeling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behavioral clustering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redefine their leads and personas.</w:t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6" w:lineRule="auto"/>
        <w:jc w:val="both"/>
        <w:rPr>
          <w:rFonts w:ascii="Times New Roman" w:cs="Times New Roman" w:eastAsia="Times New Roman" w:hAnsi="Times New Roman"/>
          <w:i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z w:val="24"/>
          <w:szCs w:val="24"/>
          <w:rtl w:val="0"/>
        </w:rPr>
        <w:t xml:space="preserve">1. AI-Driven Persona Micro-Segmentation (The "Why")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goal was to move from vague, assumed personas to statistically validated, actionable micro-segments.</w:t>
      </w:r>
    </w:p>
    <w:p w:rsidR="00000000" w:rsidDel="00000000" w:rsidP="00000000" w:rsidRDefault="00000000" w:rsidRPr="00000000" w14:paraId="0000000C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6" w:lineRule="auto"/>
        <w:jc w:val="both"/>
        <w:rPr>
          <w:rFonts w:ascii="Times New Roman" w:cs="Times New Roman" w:eastAsia="Times New Roman" w:hAnsi="Times New Roman"/>
          <w:i w:val="0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rtl w:val="0"/>
        </w:rPr>
        <w:t xml:space="preserve">1.1. Data Unification and Feature Engineering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InnovateB2B ingested and unified data from five key sources into their Customer Data Platform (CDP):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ind w:left="60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CRM Data: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Historical closed/won and closed/lost deals, deal size, sales cycle length.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ind w:left="60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Website &amp; App Data: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Pages visited, time-on-page, usage of specific platform features during the free trial, number of logins, feature adoption rate.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ind w:left="60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Content Data: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Specific content assets downloaded (e.g., high-level e-books vs. API documentation).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ind w:left="60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Ad Data: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Which paid ad channel (LinkedIn vs. Google) initially captured the lead.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ind w:left="60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Qualitative Data (NLP):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Analysis of keywords and sentiment in support transcripts and initial sales notes.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jc w:val="both"/>
        <w:rPr>
          <w:rFonts w:ascii="Times New Roman" w:cs="Times New Roman" w:eastAsia="Times New Roman" w:hAnsi="Times New Roman"/>
          <w:i w:val="0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rtl w:val="0"/>
        </w:rPr>
        <w:t xml:space="preserve">1.2. Application of Unsupervised Learning (Clustering)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AI used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K-Means Clustering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group over 20,000 historical customers based on hundreds of feature variables simultaneously. This revealed four distinct, high-value micro-personas, replacing the original two broad ones: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AI-Identified Micro-Persona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Key Differentiating Behaviors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Marketing Actionable Insight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"Integration Specialist Isabel"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High engagement with API documentation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and sandbox environment during the trial.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Job titles: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Marketing Operations, MarTech Manager.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Targeted Content: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Webinars focused on platform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rtl w:val="0"/>
              </w:rPr>
              <w:t xml:space="preserve">integration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and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technical guides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 Route directly to the solutions engineering team.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"Executive Reporting Eric"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High engagement with "ROI Calculator"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and case studies showing large-scale cost savings.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Job titles: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VP of Marketing, CMO.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Targeted Content: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C-suite focused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financial justification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reports and high-level strategy e-books. Emphasize security and governance.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"Campaign Performance Clara"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Frequent visits to "A/B Testing"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features and short-form blog content.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Company size: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Small-to-Mid-Market (SMM).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Targeted Content: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Practical,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how-to guides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and platform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rtl w:val="0"/>
              </w:rPr>
              <w:t xml:space="preserve">tutorials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focusing on immediate campaign optimization.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"Compliance Officer Chris"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Low general activity but hyper-focused visits to 'Privacy' and 'GDPR'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pages.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Job titles: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Legal Counsel, Data Protection Officer.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Targeted Content: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Highly specific, regulatory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compliance whitepapers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 Trigger an alert for sales to address legal concerns early.</w:t>
            </w:r>
          </w:p>
        </w:tc>
      </w:tr>
    </w:tbl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6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Impact: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 shift to micro-personas enabled the content team to create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75% more personalized messaging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directly addressing the specific pain points and job functions of each segment.</w:t>
      </w:r>
    </w:p>
    <w:p w:rsidR="00000000" w:rsidDel="00000000" w:rsidP="00000000" w:rsidRDefault="00000000" w:rsidRPr="00000000" w14:paraId="0000002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6" w:lineRule="auto"/>
        <w:jc w:val="both"/>
        <w:rPr>
          <w:rFonts w:ascii="Times New Roman" w:cs="Times New Roman" w:eastAsia="Times New Roman" w:hAnsi="Times New Roman"/>
          <w:i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z w:val="24"/>
          <w:szCs w:val="24"/>
          <w:rtl w:val="0"/>
        </w:rPr>
        <w:t xml:space="preserve">2. AI-Driven Predictive Lead Scoring (The "How")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InnovateB2B implemented a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Predictive Lead Scoring (PLS)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model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Supervised Machine Learning (Logistic Regression and Gradient Boosting)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C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6" w:lineRule="auto"/>
        <w:jc w:val="both"/>
        <w:rPr>
          <w:rFonts w:ascii="Times New Roman" w:cs="Times New Roman" w:eastAsia="Times New Roman" w:hAnsi="Times New Roman"/>
          <w:i w:val="0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rtl w:val="0"/>
        </w:rPr>
        <w:t xml:space="preserve">2.1. Feature Weighting and Conversion Probability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ML model determined the statistical correlation between over 50 behavioral and demographic data points and a successful closed/won deal. It assigned dynamic weights, revealing that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traditional job title was far less predictive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than specific content consumption: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High-Weight AI Predictors (Top 3)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Low-Weight Traditional Factors (Bottom 3)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1. Visited Pricing Page &gt; 3 Times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(Highest Intent)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1. Email Open Rate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(Often misleading)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2. Downloaded a Technical API Whitepaper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(Indicates technical readiness)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2. Social Media Follow/Like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(Weak correlation to purchase)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3. Job Title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z w:val="24"/>
                <w:szCs w:val="24"/>
                <w:rtl w:val="0"/>
              </w:rPr>
              <w:t xml:space="preserve">and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 Industry Match (e.g., "VP" in "FinTech")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(High-value segment)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3. Time on Home Page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(Too generic)</w:t>
            </w:r>
          </w:p>
        </w:tc>
      </w:tr>
    </w:tbl>
    <w:p w:rsidR="00000000" w:rsidDel="00000000" w:rsidP="00000000" w:rsidRDefault="00000000" w:rsidRPr="00000000" w14:paraId="0000003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jc w:val="both"/>
        <w:rPr>
          <w:rFonts w:ascii="Times New Roman" w:cs="Times New Roman" w:eastAsia="Times New Roman" w:hAnsi="Times New Roman"/>
          <w:i w:val="0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rtl w:val="0"/>
        </w:rPr>
        <w:t xml:space="preserve">2.2. Automated Real-Time Lead Qualification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PLS model assigned a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conversion probability score (0–100)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every incoming lead in real time.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ind w:left="60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Priority Routing: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Leads scoring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90+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(representing the top 5% of all leads) were instantly designated as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PQLs (Product Qualified Leads)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or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PQAs (Product Qualified Accounts)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routed to the dedicated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High-Value SDR Team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within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5 minutes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for immediate follow-up.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ind w:left="60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Intelligent Nurturing: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Leads scoring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40-89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were automatically placed into dynamic nurture streams tailored to their AI-identified micro-persona (e.g., "Clara" received tutorial videos; "Eric" received ROI documentation).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ind w:left="60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Sales Action Alerts: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 system provided the sales team with a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"Why This Score" briefing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highlighting the specific actions that pushed the score above the threshold (e.g., "Lead scored 94 because they visited competitor comparison pages and spent 10 minutes in the feature dashboard").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jc w:val="both"/>
        <w:rPr>
          <w:rFonts w:ascii="Times New Roman" w:cs="Times New Roman" w:eastAsia="Times New Roman" w:hAnsi="Times New Roman"/>
          <w:i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z w:val="24"/>
          <w:szCs w:val="24"/>
          <w:rtl w:val="0"/>
        </w:rPr>
        <w:t xml:space="preserve">3. Performance Outcomes and Strategic Impact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Within nine months of full AI implementation, InnovateB2B achieved significant, quantifiable improvements across its funnel: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Metric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Pre-AI Baseline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Post-AI Implementation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Improvement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Sales Qualified Lead (SQL) Conversion Rate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4.1%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11.5%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180% Increase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Customer Acquisition Cost (CAC)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$1,800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$1,120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38% Reduction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Sales Cycle Length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90 Days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62 Days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31% Reduction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Sales Team Efficiency (Time on Qualified Leads)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45%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85%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89% Improvement in Focus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Marketing Spend Efficiency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1.8X ROI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3.5X ROI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94% Increase in ROI</w:t>
            </w:r>
          </w:p>
        </w:tc>
      </w:tr>
    </w:tbl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Conclusion: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InnovateB2B case study clearly demonstrates that the application of AI in lead and persona identification is no longer a luxury but a strategic necessity. By transitioning from subjective, rule-based marketing to data-driven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micro-segmentation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predictive scoring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the company drastically improved its funnel efficiency. They minimized wasted marketing spend, empowered their sales team to focus on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high-intent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prospects, and achieved exponential growth acceleration by mastering the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precision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of their customer targeting.</w:t>
      </w:r>
    </w:p>
    <w:sectPr>
      <w:headerReference r:id="rId7" w:type="default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lzDgOViAhJVxvNyt8icmn9l5Vg==">CgMxLjA4AHIhMWpzNkZyZlJOUEUzWVhZWkdEOUpkU0pTUU5YTWpLcDlo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