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Topic :</w:t>
      </w:r>
      <w:r w:rsidDel="00000000" w:rsidR="00000000" w:rsidRPr="00000000">
        <w:rPr>
          <w:rFonts w:ascii="Times New Roman" w:cs="Times New Roman" w:eastAsia="Times New Roman" w:hAnsi="Times New Roman"/>
          <w:sz w:val="30"/>
          <w:szCs w:val="30"/>
          <w:rtl w:val="0"/>
        </w:rPr>
        <w:t xml:space="preserve"> The SolarWinds Cyberattack – A Case Study on Supply Chain Vulnerabilities in Network Security</w:t>
      </w:r>
    </w:p>
    <w:p w:rsidR="00000000" w:rsidDel="00000000" w:rsidP="00000000" w:rsidRDefault="00000000" w:rsidRPr="00000000" w14:paraId="0000000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IA – 1 : Case Study based Poster presentation</w:t>
      </w:r>
    </w:p>
    <w:p w:rsidR="00000000" w:rsidDel="00000000" w:rsidP="00000000" w:rsidRDefault="00000000" w:rsidRPr="00000000" w14:paraId="00000004">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Form a group of 3 – 4 students. Identify the recent security case or incident that happened. Prepare a poster and present the same.</w:t>
      </w:r>
    </w:p>
    <w:p w:rsidR="00000000" w:rsidDel="00000000" w:rsidP="00000000" w:rsidRDefault="00000000" w:rsidRPr="00000000" w14:paraId="00000005">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Course Outcomes:</w:t>
      </w:r>
    </w:p>
    <w:p w:rsidR="00000000" w:rsidDel="00000000" w:rsidP="00000000" w:rsidRDefault="00000000" w:rsidRPr="00000000" w14:paraId="00000007">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CO1:</w:t>
      </w:r>
      <w:r w:rsidDel="00000000" w:rsidR="00000000" w:rsidRPr="00000000">
        <w:rPr>
          <w:rFonts w:ascii="Times New Roman" w:cs="Times New Roman" w:eastAsia="Times New Roman" w:hAnsi="Times New Roman"/>
          <w:sz w:val="30"/>
          <w:szCs w:val="30"/>
          <w:rtl w:val="0"/>
        </w:rPr>
        <w:t xml:space="preserve"> Describe the basics of Information Security</w:t>
      </w:r>
    </w:p>
    <w:p w:rsidR="00000000" w:rsidDel="00000000" w:rsidP="00000000" w:rsidRDefault="00000000" w:rsidRPr="00000000" w14:paraId="0000000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CO2:</w:t>
      </w:r>
      <w:r w:rsidDel="00000000" w:rsidR="00000000" w:rsidRPr="00000000">
        <w:rPr>
          <w:rFonts w:ascii="Times New Roman" w:cs="Times New Roman" w:eastAsia="Times New Roman" w:hAnsi="Times New Roman"/>
          <w:sz w:val="30"/>
          <w:szCs w:val="30"/>
          <w:rtl w:val="0"/>
        </w:rPr>
        <w:t xml:space="preserve"> Illustrate different cryptographic algorithms for security.</w:t>
      </w:r>
    </w:p>
    <w:p w:rsidR="00000000" w:rsidDel="00000000" w:rsidP="00000000" w:rsidRDefault="00000000" w:rsidRPr="00000000" w14:paraId="00000009">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CO3:</w:t>
      </w:r>
      <w:r w:rsidDel="00000000" w:rsidR="00000000" w:rsidRPr="00000000">
        <w:rPr>
          <w:rFonts w:ascii="Times New Roman" w:cs="Times New Roman" w:eastAsia="Times New Roman" w:hAnsi="Times New Roman"/>
          <w:sz w:val="30"/>
          <w:szCs w:val="30"/>
          <w:rtl w:val="0"/>
        </w:rPr>
        <w:t xml:space="preserve"> Describe various access control policies and models.</w:t>
      </w:r>
    </w:p>
    <w:p w:rsidR="00000000" w:rsidDel="00000000" w:rsidP="00000000" w:rsidRDefault="00000000" w:rsidRPr="00000000" w14:paraId="0000000A">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CO4:</w:t>
      </w:r>
      <w:r w:rsidDel="00000000" w:rsidR="00000000" w:rsidRPr="00000000">
        <w:rPr>
          <w:rFonts w:ascii="Times New Roman" w:cs="Times New Roman" w:eastAsia="Times New Roman" w:hAnsi="Times New Roman"/>
          <w:sz w:val="30"/>
          <w:szCs w:val="30"/>
          <w:rtl w:val="0"/>
        </w:rPr>
        <w:t xml:space="preserve"> Understand Security issues related to Software, Web and Networks.</w:t>
      </w:r>
    </w:p>
    <w:p w:rsidR="00000000" w:rsidDel="00000000" w:rsidP="00000000" w:rsidRDefault="00000000" w:rsidRPr="00000000" w14:paraId="0000000B">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______________________________________________________________</w:t>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6"/>
          <w:szCs w:val="26"/>
          <w:shd w:fill="e6b8af" w:val="clear"/>
        </w:rPr>
      </w:pPr>
      <w:bookmarkStart w:colFirst="0" w:colLast="0" w:name="_e16396ygsfv7" w:id="0"/>
      <w:bookmarkEnd w:id="0"/>
      <w:r w:rsidDel="00000000" w:rsidR="00000000" w:rsidRPr="00000000">
        <w:rPr>
          <w:rFonts w:ascii="Times New Roman" w:cs="Times New Roman" w:eastAsia="Times New Roman" w:hAnsi="Times New Roman"/>
          <w:b w:val="1"/>
          <w:color w:val="000000"/>
          <w:sz w:val="26"/>
          <w:szCs w:val="26"/>
          <w:shd w:fill="e6b8af" w:val="clear"/>
          <w:rtl w:val="0"/>
        </w:rPr>
        <w:t xml:space="preserve">Introduction</w:t>
      </w:r>
    </w:p>
    <w:p w:rsidR="00000000" w:rsidDel="00000000" w:rsidP="00000000" w:rsidRDefault="00000000" w:rsidRPr="00000000" w14:paraId="0000000D">
      <w:pPr>
        <w:spacing w:after="240" w:before="240" w:lineRule="auto"/>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Location:</w:t>
      </w:r>
      <w:r w:rsidDel="00000000" w:rsidR="00000000" w:rsidRPr="00000000">
        <w:rPr>
          <w:rFonts w:ascii="Times New Roman" w:cs="Times New Roman" w:eastAsia="Times New Roman" w:hAnsi="Times New Roman"/>
          <w:sz w:val="30"/>
          <w:szCs w:val="30"/>
          <w:shd w:fill="e6b8af" w:val="clear"/>
          <w:rtl w:val="0"/>
        </w:rPr>
        <w:t xml:space="preserve"> Top-left section</w:t>
      </w:r>
    </w:p>
    <w:p w:rsidR="00000000" w:rsidDel="00000000" w:rsidP="00000000" w:rsidRDefault="00000000" w:rsidRPr="00000000" w14:paraId="0000000E">
      <w:pPr>
        <w:spacing w:after="240" w:before="240" w:lineRule="auto"/>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sz w:val="30"/>
          <w:szCs w:val="30"/>
          <w:shd w:fill="e6b8af" w:val="clear"/>
          <w:rtl w:val="0"/>
        </w:rPr>
        <w:t xml:space="preserve">In December 2020, one of the most sophisticated cyberattacks in history was discovered. This attack, known as the SolarWinds cyberattack, revealed critical vulnerabilities in global supply chains, as attackers compromised trusted third-party vendors to infiltrate government agencies and corporations worldwide. This case study focuses on understanding how such supply chain attacks happen and what lessons can be learned to strengthen cybersecurity.</w:t>
      </w:r>
    </w:p>
    <w:p w:rsidR="00000000" w:rsidDel="00000000" w:rsidP="00000000" w:rsidRDefault="00000000" w:rsidRPr="00000000" w14:paraId="0000000F">
      <w:pPr>
        <w:spacing w:after="240" w:before="240" w:lineRule="auto"/>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26"/>
          <w:szCs w:val="26"/>
          <w:shd w:fill="e6b8af" w:val="clear"/>
        </w:rPr>
      </w:pPr>
      <w:bookmarkStart w:colFirst="0" w:colLast="0" w:name="_nb7hykdtv735" w:id="1"/>
      <w:bookmarkEnd w:id="1"/>
      <w:r w:rsidDel="00000000" w:rsidR="00000000" w:rsidRPr="00000000">
        <w:rPr>
          <w:rFonts w:ascii="Times New Roman" w:cs="Times New Roman" w:eastAsia="Times New Roman" w:hAnsi="Times New Roman"/>
          <w:b w:val="1"/>
          <w:color w:val="000000"/>
          <w:sz w:val="26"/>
          <w:szCs w:val="26"/>
          <w:shd w:fill="e6b8af" w:val="clear"/>
          <w:rtl w:val="0"/>
        </w:rPr>
        <w:t xml:space="preserve">Incident Timeline</w:t>
      </w:r>
    </w:p>
    <w:p w:rsidR="00000000" w:rsidDel="00000000" w:rsidP="00000000" w:rsidRDefault="00000000" w:rsidRPr="00000000" w14:paraId="00000011">
      <w:pPr>
        <w:spacing w:after="240" w:before="240" w:lineRule="auto"/>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Location:</w:t>
      </w:r>
      <w:r w:rsidDel="00000000" w:rsidR="00000000" w:rsidRPr="00000000">
        <w:rPr>
          <w:rFonts w:ascii="Times New Roman" w:cs="Times New Roman" w:eastAsia="Times New Roman" w:hAnsi="Times New Roman"/>
          <w:sz w:val="30"/>
          <w:szCs w:val="30"/>
          <w:shd w:fill="e6b8af" w:val="clear"/>
          <w:rtl w:val="0"/>
        </w:rPr>
        <w:t xml:space="preserve"> Top-right section</w:t>
      </w:r>
    </w:p>
    <w:tbl>
      <w:tblPr>
        <w:tblStyle w:val="Table1"/>
        <w:tblW w:w="8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gridCol w:w="6425"/>
        <w:tblGridChange w:id="0">
          <w:tblGrid>
            <w:gridCol w:w="1805"/>
            <w:gridCol w:w="64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Event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March 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sz w:val="30"/>
                <w:szCs w:val="30"/>
                <w:shd w:fill="e6b8af" w:val="clear"/>
                <w:rtl w:val="0"/>
              </w:rPr>
              <w:t xml:space="preserve">Attackers gain access to SolarWinds' software environment.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June 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sz w:val="30"/>
                <w:szCs w:val="30"/>
                <w:shd w:fill="e6b8af" w:val="clear"/>
                <w:rtl w:val="0"/>
              </w:rPr>
              <w:t xml:space="preserve">Compromised Orion software update is released to customers.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December 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sz w:val="30"/>
                <w:szCs w:val="30"/>
                <w:shd w:fill="e6b8af" w:val="clear"/>
                <w:rtl w:val="0"/>
              </w:rPr>
              <w:t xml:space="preserve">The breach is discovered by FireEye and disclosed to the public.</w:t>
            </w:r>
          </w:p>
        </w:tc>
      </w:tr>
    </w:tbl>
    <w:p w:rsidR="00000000" w:rsidDel="00000000" w:rsidP="00000000" w:rsidRDefault="00000000" w:rsidRPr="00000000" w14:paraId="0000001A">
      <w:pPr>
        <w:spacing w:after="240" w:before="240" w:lineRule="auto"/>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sz w:val="26"/>
          <w:szCs w:val="26"/>
          <w:shd w:fill="e6b8af" w:val="clear"/>
        </w:rPr>
      </w:pPr>
      <w:bookmarkStart w:colFirst="0" w:colLast="0" w:name="_p75887emjp61" w:id="2"/>
      <w:bookmarkEnd w:id="2"/>
      <w:r w:rsidDel="00000000" w:rsidR="00000000" w:rsidRPr="00000000">
        <w:rPr>
          <w:rFonts w:ascii="Times New Roman" w:cs="Times New Roman" w:eastAsia="Times New Roman" w:hAnsi="Times New Roman"/>
          <w:b w:val="1"/>
          <w:color w:val="000000"/>
          <w:sz w:val="26"/>
          <w:szCs w:val="26"/>
          <w:shd w:fill="e6b8af" w:val="clear"/>
          <w:rtl w:val="0"/>
        </w:rPr>
        <w:t xml:space="preserve">Background of the Incident</w:t>
      </w:r>
    </w:p>
    <w:p w:rsidR="00000000" w:rsidDel="00000000" w:rsidP="00000000" w:rsidRDefault="00000000" w:rsidRPr="00000000" w14:paraId="0000001C">
      <w:pPr>
        <w:spacing w:after="240" w:before="240" w:lineRule="auto"/>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Location:</w:t>
      </w:r>
      <w:r w:rsidDel="00000000" w:rsidR="00000000" w:rsidRPr="00000000">
        <w:rPr>
          <w:rFonts w:ascii="Times New Roman" w:cs="Times New Roman" w:eastAsia="Times New Roman" w:hAnsi="Times New Roman"/>
          <w:sz w:val="30"/>
          <w:szCs w:val="30"/>
          <w:shd w:fill="e6b8af" w:val="clear"/>
          <w:rtl w:val="0"/>
        </w:rPr>
        <w:t xml:space="preserve"> Below or near the “Incident Timeline.”</w:t>
      </w:r>
    </w:p>
    <w:p w:rsidR="00000000" w:rsidDel="00000000" w:rsidP="00000000" w:rsidRDefault="00000000" w:rsidRPr="00000000" w14:paraId="0000001D">
      <w:pPr>
        <w:spacing w:after="240" w:before="240" w:lineRule="auto"/>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sz w:val="30"/>
          <w:szCs w:val="30"/>
          <w:shd w:fill="e6b8af" w:val="clear"/>
          <w:rtl w:val="0"/>
        </w:rPr>
        <w:t xml:space="preserve">In March 2020, attackers infiltrated SolarWinds’ software development environment. They inserted malicious code into a software update of SolarWinds' Orion IT management tool, which was distributed to over 18,000 customers. This attack went undetected for months, giving attackers access to sensitive systems within U.S. federal agencies, corporations, and infrastructure organizations.</w:t>
      </w:r>
    </w:p>
    <w:p w:rsidR="00000000" w:rsidDel="00000000" w:rsidP="00000000" w:rsidRDefault="00000000" w:rsidRPr="00000000" w14:paraId="0000001E">
      <w:pPr>
        <w:spacing w:after="240" w:before="240" w:lineRule="auto"/>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6"/>
          <w:szCs w:val="26"/>
          <w:shd w:fill="e6b8af" w:val="clear"/>
        </w:rPr>
      </w:pPr>
      <w:bookmarkStart w:colFirst="0" w:colLast="0" w:name="_sxd7ytaiyiqt" w:id="3"/>
      <w:bookmarkEnd w:id="3"/>
      <w:r w:rsidDel="00000000" w:rsidR="00000000" w:rsidRPr="00000000">
        <w:rPr>
          <w:rFonts w:ascii="Times New Roman" w:cs="Times New Roman" w:eastAsia="Times New Roman" w:hAnsi="Times New Roman"/>
          <w:b w:val="1"/>
          <w:color w:val="000000"/>
          <w:sz w:val="26"/>
          <w:szCs w:val="26"/>
          <w:shd w:fill="e6b8af" w:val="clear"/>
          <w:rtl w:val="0"/>
        </w:rPr>
        <w:t xml:space="preserve">Impact of the Attack</w:t>
      </w:r>
    </w:p>
    <w:p w:rsidR="00000000" w:rsidDel="00000000" w:rsidP="00000000" w:rsidRDefault="00000000" w:rsidRPr="00000000" w14:paraId="00000020">
      <w:pPr>
        <w:spacing w:after="240" w:before="240" w:lineRule="auto"/>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Location:</w:t>
      </w:r>
      <w:r w:rsidDel="00000000" w:rsidR="00000000" w:rsidRPr="00000000">
        <w:rPr>
          <w:rFonts w:ascii="Times New Roman" w:cs="Times New Roman" w:eastAsia="Times New Roman" w:hAnsi="Times New Roman"/>
          <w:sz w:val="30"/>
          <w:szCs w:val="30"/>
          <w:shd w:fill="e6b8af" w:val="clear"/>
          <w:rtl w:val="0"/>
        </w:rPr>
        <w:t xml:space="preserve"> Below "Background of the Incident."</w:t>
      </w:r>
    </w:p>
    <w:p w:rsidR="00000000" w:rsidDel="00000000" w:rsidP="00000000" w:rsidRDefault="00000000" w:rsidRPr="00000000" w14:paraId="00000021">
      <w:pPr>
        <w:numPr>
          <w:ilvl w:val="0"/>
          <w:numId w:val="2"/>
        </w:numPr>
        <w:spacing w:after="0" w:afterAutospacing="0" w:before="240" w:lineRule="auto"/>
        <w:ind w:left="720" w:hanging="360"/>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Government Agencies</w:t>
      </w:r>
      <w:r w:rsidDel="00000000" w:rsidR="00000000" w:rsidRPr="00000000">
        <w:rPr>
          <w:rFonts w:ascii="Times New Roman" w:cs="Times New Roman" w:eastAsia="Times New Roman" w:hAnsi="Times New Roman"/>
          <w:sz w:val="30"/>
          <w:szCs w:val="30"/>
          <w:shd w:fill="e6b8af" w:val="clear"/>
          <w:rtl w:val="0"/>
        </w:rPr>
        <w:t xml:space="preserve">: U.S. federal departments, including the </w:t>
      </w:r>
      <w:r w:rsidDel="00000000" w:rsidR="00000000" w:rsidRPr="00000000">
        <w:rPr>
          <w:rFonts w:ascii="Times New Roman" w:cs="Times New Roman" w:eastAsia="Times New Roman" w:hAnsi="Times New Roman"/>
          <w:b w:val="1"/>
          <w:sz w:val="30"/>
          <w:szCs w:val="30"/>
          <w:shd w:fill="e6b8af" w:val="clear"/>
          <w:rtl w:val="0"/>
        </w:rPr>
        <w:t xml:space="preserve">Department of Homeland Security (DHS)</w:t>
      </w:r>
      <w:r w:rsidDel="00000000" w:rsidR="00000000" w:rsidRPr="00000000">
        <w:rPr>
          <w:rFonts w:ascii="Times New Roman" w:cs="Times New Roman" w:eastAsia="Times New Roman" w:hAnsi="Times New Roman"/>
          <w:sz w:val="30"/>
          <w:szCs w:val="30"/>
          <w:shd w:fill="e6b8af" w:val="clear"/>
          <w:rtl w:val="0"/>
        </w:rPr>
        <w:t xml:space="preserve"> and </w:t>
      </w:r>
      <w:r w:rsidDel="00000000" w:rsidR="00000000" w:rsidRPr="00000000">
        <w:rPr>
          <w:rFonts w:ascii="Times New Roman" w:cs="Times New Roman" w:eastAsia="Times New Roman" w:hAnsi="Times New Roman"/>
          <w:b w:val="1"/>
          <w:sz w:val="30"/>
          <w:szCs w:val="30"/>
          <w:shd w:fill="e6b8af" w:val="clear"/>
          <w:rtl w:val="0"/>
        </w:rPr>
        <w:t xml:space="preserve">Treasury Department</w:t>
      </w:r>
      <w:r w:rsidDel="00000000" w:rsidR="00000000" w:rsidRPr="00000000">
        <w:rPr>
          <w:rFonts w:ascii="Times New Roman" w:cs="Times New Roman" w:eastAsia="Times New Roman" w:hAnsi="Times New Roman"/>
          <w:sz w:val="30"/>
          <w:szCs w:val="30"/>
          <w:shd w:fill="e6b8af" w:val="clear"/>
          <w:rtl w:val="0"/>
        </w:rPr>
        <w:t xml:space="preserve">, were compromised.</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Private Sector</w:t>
      </w:r>
      <w:r w:rsidDel="00000000" w:rsidR="00000000" w:rsidRPr="00000000">
        <w:rPr>
          <w:rFonts w:ascii="Times New Roman" w:cs="Times New Roman" w:eastAsia="Times New Roman" w:hAnsi="Times New Roman"/>
          <w:sz w:val="30"/>
          <w:szCs w:val="30"/>
          <w:shd w:fill="e6b8af" w:val="clear"/>
          <w:rtl w:val="0"/>
        </w:rPr>
        <w:t xml:space="preserve">: Major corporations such as </w:t>
      </w:r>
      <w:r w:rsidDel="00000000" w:rsidR="00000000" w:rsidRPr="00000000">
        <w:rPr>
          <w:rFonts w:ascii="Times New Roman" w:cs="Times New Roman" w:eastAsia="Times New Roman" w:hAnsi="Times New Roman"/>
          <w:b w:val="1"/>
          <w:sz w:val="30"/>
          <w:szCs w:val="30"/>
          <w:shd w:fill="e6b8af" w:val="clear"/>
          <w:rtl w:val="0"/>
        </w:rPr>
        <w:t xml:space="preserve">Microsoft</w:t>
      </w:r>
      <w:r w:rsidDel="00000000" w:rsidR="00000000" w:rsidRPr="00000000">
        <w:rPr>
          <w:rFonts w:ascii="Times New Roman" w:cs="Times New Roman" w:eastAsia="Times New Roman" w:hAnsi="Times New Roman"/>
          <w:sz w:val="30"/>
          <w:szCs w:val="30"/>
          <w:shd w:fill="e6b8af" w:val="clear"/>
          <w:rtl w:val="0"/>
        </w:rPr>
        <w:t xml:space="preserve"> were targeted.</w:t>
      </w:r>
    </w:p>
    <w:p w:rsidR="00000000" w:rsidDel="00000000" w:rsidP="00000000" w:rsidRDefault="00000000" w:rsidRPr="00000000" w14:paraId="00000023">
      <w:pPr>
        <w:numPr>
          <w:ilvl w:val="0"/>
          <w:numId w:val="2"/>
        </w:numPr>
        <w:spacing w:after="240" w:before="0" w:beforeAutospacing="0" w:lineRule="auto"/>
        <w:ind w:left="720" w:hanging="360"/>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National Security</w:t>
      </w:r>
      <w:r w:rsidDel="00000000" w:rsidR="00000000" w:rsidRPr="00000000">
        <w:rPr>
          <w:rFonts w:ascii="Times New Roman" w:cs="Times New Roman" w:eastAsia="Times New Roman" w:hAnsi="Times New Roman"/>
          <w:sz w:val="30"/>
          <w:szCs w:val="30"/>
          <w:shd w:fill="e6b8af" w:val="clear"/>
          <w:rtl w:val="0"/>
        </w:rPr>
        <w:t xml:space="preserve">: The exposure of highly sensitive data raised significant concerns about the compromise of national security.</w:t>
      </w:r>
    </w:p>
    <w:p w:rsidR="00000000" w:rsidDel="00000000" w:rsidP="00000000" w:rsidRDefault="00000000" w:rsidRPr="00000000" w14:paraId="00000024">
      <w:pPr>
        <w:spacing w:after="240" w:before="240" w:lineRule="auto"/>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rFonts w:ascii="Times New Roman" w:cs="Times New Roman" w:eastAsia="Times New Roman" w:hAnsi="Times New Roman"/>
          <w:b w:val="1"/>
          <w:color w:val="000000"/>
          <w:sz w:val="26"/>
          <w:szCs w:val="26"/>
          <w:shd w:fill="e6b8af" w:val="clear"/>
        </w:rPr>
      </w:pPr>
      <w:bookmarkStart w:colFirst="0" w:colLast="0" w:name="_vqjcgebv3fly" w:id="4"/>
      <w:bookmarkEnd w:id="4"/>
      <w:r w:rsidDel="00000000" w:rsidR="00000000" w:rsidRPr="00000000">
        <w:rPr>
          <w:rFonts w:ascii="Times New Roman" w:cs="Times New Roman" w:eastAsia="Times New Roman" w:hAnsi="Times New Roman"/>
          <w:b w:val="1"/>
          <w:color w:val="000000"/>
          <w:sz w:val="26"/>
          <w:szCs w:val="26"/>
          <w:shd w:fill="e6b8af" w:val="clear"/>
          <w:rtl w:val="0"/>
        </w:rPr>
        <w:t xml:space="preserve">Security Vulnerabilities and Solutions</w:t>
      </w:r>
    </w:p>
    <w:p w:rsidR="00000000" w:rsidDel="00000000" w:rsidP="00000000" w:rsidRDefault="00000000" w:rsidRPr="00000000" w14:paraId="00000026">
      <w:pPr>
        <w:rPr>
          <w:shd w:fill="e6b8af" w:val="clear"/>
        </w:rPr>
      </w:pPr>
      <w:r w:rsidDel="00000000" w:rsidR="00000000" w:rsidRPr="00000000">
        <w:rPr>
          <w:rtl w:val="0"/>
        </w:rPr>
      </w:r>
    </w:p>
    <w:tbl>
      <w:tblPr>
        <w:tblStyle w:val="Table2"/>
        <w:tblW w:w="6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2195"/>
        <w:gridCol w:w="2195"/>
        <w:tblGridChange w:id="0">
          <w:tblGrid>
            <w:gridCol w:w="1625"/>
            <w:gridCol w:w="2195"/>
            <w:gridCol w:w="219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shd w:fill="e6b8af" w:val="clear"/>
              </w:rPr>
            </w:pPr>
            <w:r w:rsidDel="00000000" w:rsidR="00000000" w:rsidRPr="00000000">
              <w:rPr>
                <w:b w:val="1"/>
                <w:shd w:fill="e6b8af" w:val="clear"/>
                <w:rtl w:val="0"/>
              </w:rPr>
              <w:t xml:space="preserve">Security 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shd w:fill="e6b8af" w:val="clear"/>
              </w:rPr>
            </w:pPr>
            <w:r w:rsidDel="00000000" w:rsidR="00000000" w:rsidRPr="00000000">
              <w:rPr>
                <w:b w:val="1"/>
                <w:shd w:fill="e6b8af" w:val="clear"/>
                <w:rtl w:val="0"/>
              </w:rPr>
              <w:t xml:space="preserve">Key Vulnerabilities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shd w:fill="e6b8af" w:val="clear"/>
              </w:rPr>
            </w:pPr>
            <w:r w:rsidDel="00000000" w:rsidR="00000000" w:rsidRPr="00000000">
              <w:rPr>
                <w:b w:val="1"/>
                <w:shd w:fill="e6b8af" w:val="clear"/>
                <w:rtl w:val="0"/>
              </w:rPr>
              <w:t xml:space="preserve">Proposed Solutions</w:t>
            </w:r>
            <w:r w:rsidDel="00000000" w:rsidR="00000000" w:rsidRPr="00000000">
              <w:rPr>
                <w:rtl w:val="0"/>
              </w:rPr>
            </w:r>
          </w:p>
        </w:tc>
      </w:tr>
    </w:tbl>
    <w:p w:rsidR="00000000" w:rsidDel="00000000" w:rsidP="00000000" w:rsidRDefault="00000000" w:rsidRPr="00000000" w14:paraId="0000002A">
      <w:pPr>
        <w:rPr>
          <w:shd w:fill="e6b8af" w:val="clear"/>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7.2799999999997"/>
        <w:gridCol w:w="4318.08"/>
        <w:gridCol w:w="3344.64"/>
        <w:tblGridChange w:id="0">
          <w:tblGrid>
            <w:gridCol w:w="1697.2799999999997"/>
            <w:gridCol w:w="4318.08"/>
            <w:gridCol w:w="3344.64"/>
          </w:tblGrid>
        </w:tblGridChange>
      </w:tblGrid>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shd w:fill="e6b8af" w:val="clear"/>
              </w:rPr>
            </w:pPr>
            <w:r w:rsidDel="00000000" w:rsidR="00000000" w:rsidRPr="00000000">
              <w:rPr>
                <w:b w:val="1"/>
                <w:shd w:fill="e6b8af" w:val="clear"/>
                <w:rtl w:val="0"/>
              </w:rPr>
              <w:t xml:space="preserve">Cryptography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rPr>
                <w:shd w:fill="e6b8af" w:val="clear"/>
              </w:rPr>
            </w:pPr>
            <w:r w:rsidDel="00000000" w:rsidR="00000000" w:rsidRPr="00000000">
              <w:rPr>
                <w:shd w:fill="e6b8af" w:val="clear"/>
                <w:rtl w:val="0"/>
              </w:rPr>
              <w:t xml:space="preserve">Weak certificate handling allowed attackers to sign malicious updates.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shd w:fill="e6b8af" w:val="clear"/>
              </w:rPr>
            </w:pPr>
            <w:r w:rsidDel="00000000" w:rsidR="00000000" w:rsidRPr="00000000">
              <w:rPr>
                <w:shd w:fill="e6b8af" w:val="clear"/>
                <w:rtl w:val="0"/>
              </w:rPr>
              <w:t xml:space="preserve">- </w:t>
            </w:r>
            <w:r w:rsidDel="00000000" w:rsidR="00000000" w:rsidRPr="00000000">
              <w:rPr>
                <w:b w:val="1"/>
                <w:shd w:fill="e6b8af" w:val="clear"/>
                <w:rtl w:val="0"/>
              </w:rPr>
              <w:t xml:space="preserve">HMAC</w:t>
            </w:r>
            <w:r w:rsidDel="00000000" w:rsidR="00000000" w:rsidRPr="00000000">
              <w:rPr>
                <w:shd w:fill="e6b8af" w:val="clear"/>
                <w:rtl w:val="0"/>
              </w:rPr>
              <w:t xml:space="preserve"> for integrity checking.</w:t>
            </w:r>
          </w:p>
          <w:p w:rsidR="00000000" w:rsidDel="00000000" w:rsidP="00000000" w:rsidRDefault="00000000" w:rsidRPr="00000000" w14:paraId="0000002E">
            <w:pPr>
              <w:rPr>
                <w:shd w:fill="e6b8af" w:val="clear"/>
              </w:rPr>
            </w:pPr>
            <w:r w:rsidDel="00000000" w:rsidR="00000000" w:rsidRPr="00000000">
              <w:rPr>
                <w:shd w:fill="e6b8af" w:val="clear"/>
                <w:rtl w:val="0"/>
              </w:rPr>
              <w:t xml:space="preserve">- </w:t>
            </w:r>
            <w:r w:rsidDel="00000000" w:rsidR="00000000" w:rsidRPr="00000000">
              <w:rPr>
                <w:b w:val="1"/>
                <w:shd w:fill="e6b8af" w:val="clear"/>
                <w:rtl w:val="0"/>
              </w:rPr>
              <w:t xml:space="preserve">Certificate transparency logs</w:t>
            </w:r>
            <w:r w:rsidDel="00000000" w:rsidR="00000000" w:rsidRPr="00000000">
              <w:rPr>
                <w:shd w:fill="e6b8af" w:val="clear"/>
                <w:rtl w:val="0"/>
              </w:rPr>
              <w:t xml:space="preserve"> to detect fraud.</w:t>
            </w:r>
          </w:p>
          <w:p w:rsidR="00000000" w:rsidDel="00000000" w:rsidP="00000000" w:rsidRDefault="00000000" w:rsidRPr="00000000" w14:paraId="0000002F">
            <w:pPr>
              <w:rPr>
                <w:shd w:fill="e6b8af" w:val="clear"/>
              </w:rPr>
            </w:pPr>
            <w:r w:rsidDel="00000000" w:rsidR="00000000" w:rsidRPr="00000000">
              <w:rPr>
                <w:shd w:fill="e6b8af" w:val="clear"/>
                <w:rtl w:val="0"/>
              </w:rPr>
              <w:t xml:space="preserve">- </w:t>
            </w:r>
            <w:r w:rsidDel="00000000" w:rsidR="00000000" w:rsidRPr="00000000">
              <w:rPr>
                <w:b w:val="1"/>
                <w:shd w:fill="e6b8af" w:val="clear"/>
                <w:rtl w:val="0"/>
              </w:rPr>
              <w:t xml:space="preserve">Key rotation</w:t>
            </w:r>
            <w:r w:rsidDel="00000000" w:rsidR="00000000" w:rsidRPr="00000000">
              <w:rPr>
                <w:shd w:fill="e6b8af" w:val="clear"/>
                <w:rtl w:val="0"/>
              </w:rPr>
              <w:t xml:space="preserve"> to avoid long-term abuse.</w:t>
            </w:r>
          </w:p>
        </w:tc>
      </w:tr>
    </w:tbl>
    <w:p w:rsidR="00000000" w:rsidDel="00000000" w:rsidP="00000000" w:rsidRDefault="00000000" w:rsidRPr="00000000" w14:paraId="00000030">
      <w:pPr>
        <w:rPr>
          <w:shd w:fill="e6b8af" w:val="clea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2.4479999999999"/>
        <w:gridCol w:w="4048.512"/>
        <w:gridCol w:w="3719.04"/>
        <w:tblGridChange w:id="0">
          <w:tblGrid>
            <w:gridCol w:w="1592.4479999999999"/>
            <w:gridCol w:w="4048.512"/>
            <w:gridCol w:w="3719.04"/>
          </w:tblGrid>
        </w:tblGridChange>
      </w:tblGrid>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rPr>
                <w:shd w:fill="e6b8af" w:val="clear"/>
              </w:rPr>
            </w:pPr>
            <w:r w:rsidDel="00000000" w:rsidR="00000000" w:rsidRPr="00000000">
              <w:rPr>
                <w:b w:val="1"/>
                <w:shd w:fill="e6b8af" w:val="clear"/>
                <w:rtl w:val="0"/>
              </w:rPr>
              <w:t xml:space="preserve">Access Control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rPr>
                <w:shd w:fill="e6b8af" w:val="clear"/>
              </w:rPr>
            </w:pPr>
            <w:r w:rsidDel="00000000" w:rsidR="00000000" w:rsidRPr="00000000">
              <w:rPr>
                <w:shd w:fill="e6b8af" w:val="clear"/>
                <w:rtl w:val="0"/>
              </w:rPr>
              <w:t xml:space="preserve">Weak </w:t>
            </w:r>
            <w:r w:rsidDel="00000000" w:rsidR="00000000" w:rsidRPr="00000000">
              <w:rPr>
                <w:b w:val="1"/>
                <w:shd w:fill="e6b8af" w:val="clear"/>
                <w:rtl w:val="0"/>
              </w:rPr>
              <w:t xml:space="preserve">RBAC</w:t>
            </w:r>
            <w:r w:rsidDel="00000000" w:rsidR="00000000" w:rsidRPr="00000000">
              <w:rPr>
                <w:shd w:fill="e6b8af" w:val="clear"/>
                <w:rtl w:val="0"/>
              </w:rPr>
              <w:t xml:space="preserve"> policies enabled lateral movement.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shd w:fill="e6b8af" w:val="clear"/>
              </w:rPr>
            </w:pPr>
            <w:r w:rsidDel="00000000" w:rsidR="00000000" w:rsidRPr="00000000">
              <w:rPr>
                <w:shd w:fill="e6b8af" w:val="clear"/>
                <w:rtl w:val="0"/>
              </w:rPr>
              <w:t xml:space="preserve">- Stricter </w:t>
            </w:r>
            <w:r w:rsidDel="00000000" w:rsidR="00000000" w:rsidRPr="00000000">
              <w:rPr>
                <w:b w:val="1"/>
                <w:shd w:fill="e6b8af" w:val="clear"/>
                <w:rtl w:val="0"/>
              </w:rPr>
              <w:t xml:space="preserve">RBAC</w:t>
            </w:r>
            <w:r w:rsidDel="00000000" w:rsidR="00000000" w:rsidRPr="00000000">
              <w:rPr>
                <w:shd w:fill="e6b8af" w:val="clear"/>
                <w:rtl w:val="0"/>
              </w:rPr>
              <w:t xml:space="preserve"> to limit user access.</w:t>
            </w:r>
          </w:p>
          <w:p w:rsidR="00000000" w:rsidDel="00000000" w:rsidP="00000000" w:rsidRDefault="00000000" w:rsidRPr="00000000" w14:paraId="00000034">
            <w:pPr>
              <w:rPr>
                <w:shd w:fill="e6b8af" w:val="clear"/>
              </w:rPr>
            </w:pPr>
            <w:r w:rsidDel="00000000" w:rsidR="00000000" w:rsidRPr="00000000">
              <w:rPr>
                <w:shd w:fill="e6b8af" w:val="clear"/>
                <w:rtl w:val="0"/>
              </w:rPr>
              <w:t xml:space="preserve">- Enforce </w:t>
            </w:r>
            <w:r w:rsidDel="00000000" w:rsidR="00000000" w:rsidRPr="00000000">
              <w:rPr>
                <w:b w:val="1"/>
                <w:shd w:fill="e6b8af" w:val="clear"/>
                <w:rtl w:val="0"/>
              </w:rPr>
              <w:t xml:space="preserve">MFA</w:t>
            </w:r>
            <w:r w:rsidDel="00000000" w:rsidR="00000000" w:rsidRPr="00000000">
              <w:rPr>
                <w:shd w:fill="e6b8af" w:val="clear"/>
                <w:rtl w:val="0"/>
              </w:rPr>
              <w:t xml:space="preserve"> for high-privilege accounts.</w:t>
            </w:r>
          </w:p>
          <w:p w:rsidR="00000000" w:rsidDel="00000000" w:rsidP="00000000" w:rsidRDefault="00000000" w:rsidRPr="00000000" w14:paraId="00000035">
            <w:pPr>
              <w:rPr>
                <w:shd w:fill="e6b8af" w:val="clear"/>
              </w:rPr>
            </w:pPr>
            <w:r w:rsidDel="00000000" w:rsidR="00000000" w:rsidRPr="00000000">
              <w:rPr>
                <w:shd w:fill="e6b8af" w:val="clear"/>
                <w:rtl w:val="0"/>
              </w:rPr>
              <w:t xml:space="preserve">- Regular audits of access permissions.</w:t>
            </w:r>
          </w:p>
        </w:tc>
      </w:tr>
    </w:tbl>
    <w:p w:rsidR="00000000" w:rsidDel="00000000" w:rsidP="00000000" w:rsidRDefault="00000000" w:rsidRPr="00000000" w14:paraId="00000036">
      <w:pPr>
        <w:rPr>
          <w:shd w:fill="e6b8af" w:val="clear"/>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7.3759999999997"/>
        <w:gridCol w:w="4467.84"/>
        <w:gridCol w:w="3254.7839999999997"/>
        <w:tblGridChange w:id="0">
          <w:tblGrid>
            <w:gridCol w:w="1637.3759999999997"/>
            <w:gridCol w:w="4467.84"/>
            <w:gridCol w:w="3254.7839999999997"/>
          </w:tblGrid>
        </w:tblGridChange>
      </w:tblGrid>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shd w:fill="e6b8af" w:val="clear"/>
              </w:rPr>
            </w:pPr>
            <w:r w:rsidDel="00000000" w:rsidR="00000000" w:rsidRPr="00000000">
              <w:rPr>
                <w:b w:val="1"/>
                <w:shd w:fill="e6b8af" w:val="clear"/>
                <w:rtl w:val="0"/>
              </w:rPr>
              <w:t xml:space="preserve">Network 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shd w:fill="e6b8af" w:val="clear"/>
              </w:rPr>
            </w:pPr>
            <w:r w:rsidDel="00000000" w:rsidR="00000000" w:rsidRPr="00000000">
              <w:rPr>
                <w:shd w:fill="e6b8af" w:val="clear"/>
                <w:rtl w:val="0"/>
              </w:rPr>
              <w:t xml:space="preserve">Exploited </w:t>
            </w:r>
            <w:r w:rsidDel="00000000" w:rsidR="00000000" w:rsidRPr="00000000">
              <w:rPr>
                <w:b w:val="1"/>
                <w:shd w:fill="e6b8af" w:val="clear"/>
                <w:rtl w:val="0"/>
              </w:rPr>
              <w:t xml:space="preserve">TCP/IP vulnerabilities</w:t>
            </w:r>
            <w:r w:rsidDel="00000000" w:rsidR="00000000" w:rsidRPr="00000000">
              <w:rPr>
                <w:shd w:fill="e6b8af" w:val="clear"/>
                <w:rtl w:val="0"/>
              </w:rPr>
              <w:t xml:space="preserve"> (IP spoofing, session hijacking).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shd w:fill="e6b8af" w:val="clear"/>
              </w:rPr>
            </w:pPr>
            <w:r w:rsidDel="00000000" w:rsidR="00000000" w:rsidRPr="00000000">
              <w:rPr>
                <w:shd w:fill="e6b8af" w:val="clear"/>
                <w:rtl w:val="0"/>
              </w:rPr>
              <w:t xml:space="preserve">- Implement </w:t>
            </w:r>
            <w:r w:rsidDel="00000000" w:rsidR="00000000" w:rsidRPr="00000000">
              <w:rPr>
                <w:b w:val="1"/>
                <w:shd w:fill="e6b8af" w:val="clear"/>
                <w:rtl w:val="0"/>
              </w:rPr>
              <w:t xml:space="preserve">Zero Trust Architecture</w:t>
            </w:r>
            <w:r w:rsidDel="00000000" w:rsidR="00000000" w:rsidRPr="00000000">
              <w:rPr>
                <w:shd w:fill="e6b8af" w:val="clear"/>
                <w:rtl w:val="0"/>
              </w:rPr>
              <w:t xml:space="preserve">.</w:t>
            </w:r>
          </w:p>
          <w:p w:rsidR="00000000" w:rsidDel="00000000" w:rsidP="00000000" w:rsidRDefault="00000000" w:rsidRPr="00000000" w14:paraId="0000003A">
            <w:pPr>
              <w:rPr>
                <w:shd w:fill="e6b8af" w:val="clear"/>
              </w:rPr>
            </w:pPr>
            <w:r w:rsidDel="00000000" w:rsidR="00000000" w:rsidRPr="00000000">
              <w:rPr>
                <w:shd w:fill="e6b8af" w:val="clear"/>
                <w:rtl w:val="0"/>
              </w:rPr>
              <w:t xml:space="preserve">- Use </w:t>
            </w:r>
            <w:r w:rsidDel="00000000" w:rsidR="00000000" w:rsidRPr="00000000">
              <w:rPr>
                <w:b w:val="1"/>
                <w:shd w:fill="e6b8af" w:val="clear"/>
                <w:rtl w:val="0"/>
              </w:rPr>
              <w:t xml:space="preserve">IDS</w:t>
            </w:r>
            <w:r w:rsidDel="00000000" w:rsidR="00000000" w:rsidRPr="00000000">
              <w:rPr>
                <w:shd w:fill="e6b8af" w:val="clear"/>
                <w:rtl w:val="0"/>
              </w:rPr>
              <w:t xml:space="preserve"> to detect suspicious behavior.</w:t>
            </w:r>
          </w:p>
          <w:p w:rsidR="00000000" w:rsidDel="00000000" w:rsidP="00000000" w:rsidRDefault="00000000" w:rsidRPr="00000000" w14:paraId="0000003B">
            <w:pPr>
              <w:rPr>
                <w:shd w:fill="e6b8af" w:val="clear"/>
              </w:rPr>
            </w:pPr>
            <w:r w:rsidDel="00000000" w:rsidR="00000000" w:rsidRPr="00000000">
              <w:rPr>
                <w:shd w:fill="e6b8af" w:val="clear"/>
                <w:rtl w:val="0"/>
              </w:rPr>
              <w:t xml:space="preserve">- </w:t>
            </w:r>
            <w:r w:rsidDel="00000000" w:rsidR="00000000" w:rsidRPr="00000000">
              <w:rPr>
                <w:b w:val="1"/>
                <w:shd w:fill="e6b8af" w:val="clear"/>
                <w:rtl w:val="0"/>
              </w:rPr>
              <w:t xml:space="preserve">Network segmentation</w:t>
            </w:r>
            <w:r w:rsidDel="00000000" w:rsidR="00000000" w:rsidRPr="00000000">
              <w:rPr>
                <w:shd w:fill="e6b8af" w:val="clear"/>
                <w:rtl w:val="0"/>
              </w:rPr>
              <w:t xml:space="preserve"> to limit movement.</w:t>
            </w:r>
          </w:p>
        </w:tc>
      </w:tr>
    </w:tbl>
    <w:p w:rsidR="00000000" w:rsidDel="00000000" w:rsidP="00000000" w:rsidRDefault="00000000" w:rsidRPr="00000000" w14:paraId="0000003C">
      <w:pPr>
        <w:rPr>
          <w:shd w:fill="e6b8af" w:val="clear"/>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6.272"/>
        <w:gridCol w:w="3793.92"/>
        <w:gridCol w:w="3239.808"/>
        <w:tblGridChange w:id="0">
          <w:tblGrid>
            <w:gridCol w:w="2326.272"/>
            <w:gridCol w:w="3793.92"/>
            <w:gridCol w:w="3239.808"/>
          </w:tblGrid>
        </w:tblGridChange>
      </w:tblGrid>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shd w:fill="e6b8af" w:val="clear"/>
              </w:rPr>
            </w:pPr>
            <w:r w:rsidDel="00000000" w:rsidR="00000000" w:rsidRPr="00000000">
              <w:rPr>
                <w:b w:val="1"/>
                <w:shd w:fill="e6b8af" w:val="clear"/>
                <w:rtl w:val="0"/>
              </w:rPr>
              <w:t xml:space="preserve">Web and API 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shd w:fill="e6b8af" w:val="clear"/>
              </w:rPr>
            </w:pPr>
            <w:r w:rsidDel="00000000" w:rsidR="00000000" w:rsidRPr="00000000">
              <w:rPr>
                <w:shd w:fill="e6b8af" w:val="clear"/>
                <w:rtl w:val="0"/>
              </w:rPr>
              <w:t xml:space="preserve">Insecure API endpoints exposed systems.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shd w:fill="e6b8af" w:val="clear"/>
              </w:rPr>
            </w:pPr>
            <w:r w:rsidDel="00000000" w:rsidR="00000000" w:rsidRPr="00000000">
              <w:rPr>
                <w:shd w:fill="e6b8af" w:val="clear"/>
                <w:rtl w:val="0"/>
              </w:rPr>
              <w:t xml:space="preserve">- Conduct regular </w:t>
            </w:r>
            <w:r w:rsidDel="00000000" w:rsidR="00000000" w:rsidRPr="00000000">
              <w:rPr>
                <w:b w:val="1"/>
                <w:shd w:fill="e6b8af" w:val="clear"/>
                <w:rtl w:val="0"/>
              </w:rPr>
              <w:t xml:space="preserve">security audits</w:t>
            </w:r>
            <w:r w:rsidDel="00000000" w:rsidR="00000000" w:rsidRPr="00000000">
              <w:rPr>
                <w:shd w:fill="e6b8af" w:val="clear"/>
                <w:rtl w:val="0"/>
              </w:rPr>
              <w:t xml:space="preserve">.</w:t>
            </w:r>
          </w:p>
          <w:p w:rsidR="00000000" w:rsidDel="00000000" w:rsidP="00000000" w:rsidRDefault="00000000" w:rsidRPr="00000000" w14:paraId="00000040">
            <w:pPr>
              <w:rPr>
                <w:shd w:fill="e6b8af" w:val="clear"/>
              </w:rPr>
            </w:pPr>
            <w:r w:rsidDel="00000000" w:rsidR="00000000" w:rsidRPr="00000000">
              <w:rPr>
                <w:shd w:fill="e6b8af" w:val="clear"/>
                <w:rtl w:val="0"/>
              </w:rPr>
              <w:t xml:space="preserve">- Follow </w:t>
            </w:r>
            <w:r w:rsidDel="00000000" w:rsidR="00000000" w:rsidRPr="00000000">
              <w:rPr>
                <w:b w:val="1"/>
                <w:shd w:fill="e6b8af" w:val="clear"/>
                <w:rtl w:val="0"/>
              </w:rPr>
              <w:t xml:space="preserve">secure coding practices</w:t>
            </w:r>
            <w:r w:rsidDel="00000000" w:rsidR="00000000" w:rsidRPr="00000000">
              <w:rPr>
                <w:shd w:fill="e6b8af" w:val="clear"/>
                <w:rtl w:val="0"/>
              </w:rPr>
              <w:t xml:space="preserve">.</w:t>
            </w:r>
          </w:p>
        </w:tc>
      </w:tr>
    </w:tbl>
    <w:p w:rsidR="00000000" w:rsidDel="00000000" w:rsidP="00000000" w:rsidRDefault="00000000" w:rsidRPr="00000000" w14:paraId="00000041">
      <w:pPr>
        <w:rPr>
          <w:shd w:fill="e6b8af" w:val="clear"/>
        </w:rPr>
      </w:pPr>
      <w:r w:rsidDel="00000000" w:rsidR="00000000" w:rsidRPr="00000000">
        <w:rPr>
          <w:rtl w:val="0"/>
        </w:rPr>
      </w:r>
    </w:p>
    <w:tbl>
      <w:tblPr>
        <w:tblStyle w:val="Table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1.405750798722"/>
        <w:gridCol w:w="3085.111821086262"/>
        <w:gridCol w:w="3593.482428115016"/>
        <w:tblGridChange w:id="0">
          <w:tblGrid>
            <w:gridCol w:w="2681.405750798722"/>
            <w:gridCol w:w="3085.111821086262"/>
            <w:gridCol w:w="3593.482428115016"/>
          </w:tblGrid>
        </w:tblGridChange>
      </w:tblGrid>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shd w:fill="e6b8af" w:val="clear"/>
              </w:rPr>
            </w:pPr>
            <w:r w:rsidDel="00000000" w:rsidR="00000000" w:rsidRPr="00000000">
              <w:rPr>
                <w:b w:val="1"/>
                <w:shd w:fill="e6b8af" w:val="clear"/>
                <w:rtl w:val="0"/>
              </w:rPr>
              <w:t xml:space="preserve">General Recommendations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shd w:fill="e6b8af" w:val="clear"/>
              </w:rPr>
            </w:pPr>
            <w:r w:rsidDel="00000000" w:rsidR="00000000" w:rsidRPr="00000000">
              <w:rPr>
                <w:shd w:fill="e6b8af" w:val="clear"/>
                <w:rtl w:val="0"/>
              </w:rPr>
              <w:t xml:space="preserve">Lack of proactive detection and response.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shd w:fill="e6b8af" w:val="clear"/>
              </w:rPr>
            </w:pPr>
            <w:r w:rsidDel="00000000" w:rsidR="00000000" w:rsidRPr="00000000">
              <w:rPr>
                <w:shd w:fill="e6b8af" w:val="clear"/>
                <w:rtl w:val="0"/>
              </w:rPr>
              <w:t xml:space="preserve">- Use </w:t>
            </w:r>
            <w:r w:rsidDel="00000000" w:rsidR="00000000" w:rsidRPr="00000000">
              <w:rPr>
                <w:b w:val="1"/>
                <w:shd w:fill="e6b8af" w:val="clear"/>
                <w:rtl w:val="0"/>
              </w:rPr>
              <w:t xml:space="preserve">SIEM systems</w:t>
            </w:r>
            <w:r w:rsidDel="00000000" w:rsidR="00000000" w:rsidRPr="00000000">
              <w:rPr>
                <w:shd w:fill="e6b8af" w:val="clear"/>
                <w:rtl w:val="0"/>
              </w:rPr>
              <w:t xml:space="preserve"> for centralized monitoring.</w:t>
            </w:r>
          </w:p>
          <w:p w:rsidR="00000000" w:rsidDel="00000000" w:rsidP="00000000" w:rsidRDefault="00000000" w:rsidRPr="00000000" w14:paraId="00000045">
            <w:pPr>
              <w:rPr>
                <w:shd w:fill="e6b8af" w:val="clear"/>
              </w:rPr>
            </w:pPr>
            <w:r w:rsidDel="00000000" w:rsidR="00000000" w:rsidRPr="00000000">
              <w:rPr>
                <w:shd w:fill="e6b8af" w:val="clear"/>
                <w:rtl w:val="0"/>
              </w:rPr>
              <w:t xml:space="preserve">- Deploy </w:t>
            </w:r>
            <w:r w:rsidDel="00000000" w:rsidR="00000000" w:rsidRPr="00000000">
              <w:rPr>
                <w:b w:val="1"/>
                <w:shd w:fill="e6b8af" w:val="clear"/>
                <w:rtl w:val="0"/>
              </w:rPr>
              <w:t xml:space="preserve">behavioral analytics</w:t>
            </w:r>
            <w:r w:rsidDel="00000000" w:rsidR="00000000" w:rsidRPr="00000000">
              <w:rPr>
                <w:shd w:fill="e6b8af" w:val="clear"/>
                <w:rtl w:val="0"/>
              </w:rPr>
              <w:t xml:space="preserve">.</w:t>
            </w:r>
          </w:p>
          <w:p w:rsidR="00000000" w:rsidDel="00000000" w:rsidP="00000000" w:rsidRDefault="00000000" w:rsidRPr="00000000" w14:paraId="00000046">
            <w:pPr>
              <w:rPr>
                <w:shd w:fill="e6b8af" w:val="clear"/>
              </w:rPr>
            </w:pPr>
            <w:r w:rsidDel="00000000" w:rsidR="00000000" w:rsidRPr="00000000">
              <w:rPr>
                <w:shd w:fill="e6b8af" w:val="clear"/>
                <w:rtl w:val="0"/>
              </w:rPr>
              <w:t xml:space="preserve">- Encrypt sensitive data with </w:t>
            </w:r>
            <w:r w:rsidDel="00000000" w:rsidR="00000000" w:rsidRPr="00000000">
              <w:rPr>
                <w:b w:val="1"/>
                <w:shd w:fill="e6b8af" w:val="clear"/>
                <w:rtl w:val="0"/>
              </w:rPr>
              <w:t xml:space="preserve">AES-256</w:t>
            </w:r>
            <w:r w:rsidDel="00000000" w:rsidR="00000000" w:rsidRPr="00000000">
              <w:rPr>
                <w:shd w:fill="e6b8af" w:val="clear"/>
                <w:rtl w:val="0"/>
              </w:rPr>
              <w:t xml:space="preserve">.</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rFonts w:ascii="Times New Roman" w:cs="Times New Roman" w:eastAsia="Times New Roman" w:hAnsi="Times New Roman"/>
          <w:b w:val="1"/>
          <w:color w:val="000000"/>
          <w:sz w:val="26"/>
          <w:szCs w:val="26"/>
          <w:shd w:fill="e6b8af" w:val="clear"/>
        </w:rPr>
      </w:pPr>
      <w:bookmarkStart w:colFirst="0" w:colLast="0" w:name="_2k51iyrzouqz" w:id="5"/>
      <w:bookmarkEnd w:id="5"/>
      <w:r w:rsidDel="00000000" w:rsidR="00000000" w:rsidRPr="00000000">
        <w:rPr>
          <w:rFonts w:ascii="Times New Roman" w:cs="Times New Roman" w:eastAsia="Times New Roman" w:hAnsi="Times New Roman"/>
          <w:b w:val="1"/>
          <w:color w:val="000000"/>
          <w:sz w:val="26"/>
          <w:szCs w:val="26"/>
          <w:shd w:fill="e6b8af" w:val="clear"/>
          <w:rtl w:val="0"/>
        </w:rPr>
        <w:t xml:space="preserve">Conclusion</w:t>
      </w:r>
    </w:p>
    <w:p w:rsidR="00000000" w:rsidDel="00000000" w:rsidP="00000000" w:rsidRDefault="00000000" w:rsidRPr="00000000" w14:paraId="0000004A">
      <w:pPr>
        <w:spacing w:after="240" w:before="240" w:lineRule="auto"/>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Location:</w:t>
      </w:r>
      <w:r w:rsidDel="00000000" w:rsidR="00000000" w:rsidRPr="00000000">
        <w:rPr>
          <w:rFonts w:ascii="Times New Roman" w:cs="Times New Roman" w:eastAsia="Times New Roman" w:hAnsi="Times New Roman"/>
          <w:sz w:val="30"/>
          <w:szCs w:val="30"/>
          <w:shd w:fill="e6b8af" w:val="clear"/>
          <w:rtl w:val="0"/>
        </w:rPr>
        <w:t xml:space="preserve"> Bottom-right corner.</w:t>
      </w:r>
    </w:p>
    <w:p w:rsidR="00000000" w:rsidDel="00000000" w:rsidP="00000000" w:rsidRDefault="00000000" w:rsidRPr="00000000" w14:paraId="0000004B">
      <w:pPr>
        <w:spacing w:after="240" w:before="240" w:lineRule="auto"/>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sz w:val="30"/>
          <w:szCs w:val="30"/>
          <w:shd w:fill="e6b8af" w:val="clear"/>
          <w:rtl w:val="0"/>
        </w:rPr>
        <w:t xml:space="preserve">The SolarWinds cyberattack revealed significant vulnerabilities in the global supply chain, impacting government agencies and private corporations alike. To prevent future supply chain attacks, organizations must implement stronger cryptographic practices, enforce strict access control policies, and adopt advanced network security protocols. These measures can help reduce the risk of similar cyber incidents.</w:t>
      </w:r>
    </w:p>
    <w:p w:rsidR="00000000" w:rsidDel="00000000" w:rsidP="00000000" w:rsidRDefault="00000000" w:rsidRPr="00000000" w14:paraId="0000004C">
      <w:pPr>
        <w:spacing w:after="240" w:before="240" w:lineRule="auto"/>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sz w:val="26"/>
          <w:szCs w:val="26"/>
          <w:shd w:fill="e6b8af" w:val="clear"/>
        </w:rPr>
      </w:pPr>
      <w:bookmarkStart w:colFirst="0" w:colLast="0" w:name="_hevt4vhsix06" w:id="6"/>
      <w:bookmarkEnd w:id="6"/>
      <w:r w:rsidDel="00000000" w:rsidR="00000000" w:rsidRPr="00000000">
        <w:rPr>
          <w:rFonts w:ascii="Times New Roman" w:cs="Times New Roman" w:eastAsia="Times New Roman" w:hAnsi="Times New Roman"/>
          <w:b w:val="1"/>
          <w:color w:val="000000"/>
          <w:sz w:val="26"/>
          <w:szCs w:val="26"/>
          <w:shd w:fill="e6b8af" w:val="clear"/>
          <w:rtl w:val="0"/>
        </w:rPr>
        <w:t xml:space="preserve">References</w:t>
      </w:r>
    </w:p>
    <w:p w:rsidR="00000000" w:rsidDel="00000000" w:rsidP="00000000" w:rsidRDefault="00000000" w:rsidRPr="00000000" w14:paraId="0000004E">
      <w:pPr>
        <w:numPr>
          <w:ilvl w:val="0"/>
          <w:numId w:val="1"/>
        </w:numPr>
        <w:spacing w:after="0" w:afterAutospacing="0" w:before="240" w:lineRule="auto"/>
        <w:ind w:left="720" w:hanging="360"/>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FireEye</w:t>
      </w:r>
      <w:r w:rsidDel="00000000" w:rsidR="00000000" w:rsidRPr="00000000">
        <w:rPr>
          <w:rFonts w:ascii="Times New Roman" w:cs="Times New Roman" w:eastAsia="Times New Roman" w:hAnsi="Times New Roman"/>
          <w:sz w:val="30"/>
          <w:szCs w:val="30"/>
          <w:shd w:fill="e6b8af" w:val="clear"/>
          <w:rtl w:val="0"/>
        </w:rPr>
        <w:t xml:space="preserve">, "Highly Evasive Attacker Leverages SolarWinds Supply Chain to Compromise Multiple Global Victims With SUNBURST Backdoor," </w:t>
      </w:r>
      <w:r w:rsidDel="00000000" w:rsidR="00000000" w:rsidRPr="00000000">
        <w:rPr>
          <w:rFonts w:ascii="Times New Roman" w:cs="Times New Roman" w:eastAsia="Times New Roman" w:hAnsi="Times New Roman"/>
          <w:i w:val="1"/>
          <w:sz w:val="30"/>
          <w:szCs w:val="30"/>
          <w:shd w:fill="e6b8af" w:val="clear"/>
          <w:rtl w:val="0"/>
        </w:rPr>
        <w:t xml:space="preserve">FireEye Threat Research</w:t>
      </w:r>
      <w:r w:rsidDel="00000000" w:rsidR="00000000" w:rsidRPr="00000000">
        <w:rPr>
          <w:rFonts w:ascii="Times New Roman" w:cs="Times New Roman" w:eastAsia="Times New Roman" w:hAnsi="Times New Roman"/>
          <w:sz w:val="30"/>
          <w:szCs w:val="30"/>
          <w:shd w:fill="e6b8af" w:val="clear"/>
          <w:rtl w:val="0"/>
        </w:rPr>
        <w:t xml:space="preserve">, Dec. 2020. [Online]. Available:</w:t>
      </w:r>
      <w:hyperlink r:id="rId6">
        <w:r w:rsidDel="00000000" w:rsidR="00000000" w:rsidRPr="00000000">
          <w:rPr>
            <w:rFonts w:ascii="Times New Roman" w:cs="Times New Roman" w:eastAsia="Times New Roman" w:hAnsi="Times New Roman"/>
            <w:sz w:val="30"/>
            <w:szCs w:val="30"/>
            <w:shd w:fill="e6b8af" w:val="clear"/>
            <w:rtl w:val="0"/>
          </w:rPr>
          <w:t xml:space="preserve"> </w:t>
        </w:r>
      </w:hyperlink>
      <w:hyperlink r:id="rId7">
        <w:r w:rsidDel="00000000" w:rsidR="00000000" w:rsidRPr="00000000">
          <w:rPr>
            <w:rFonts w:ascii="Times New Roman" w:cs="Times New Roman" w:eastAsia="Times New Roman" w:hAnsi="Times New Roman"/>
            <w:color w:val="1155cc"/>
            <w:sz w:val="30"/>
            <w:szCs w:val="30"/>
            <w:u w:val="single"/>
            <w:shd w:fill="e6b8af" w:val="clear"/>
            <w:rtl w:val="0"/>
          </w:rPr>
          <w:t xml:space="preserve">https://www.fireeye.com/blog/threat-research/2020/12/evasive-attacker-leverages-solarwinds-supply-chain-compromises-with-sunburst-backdoor.html</w:t>
        </w:r>
      </w:hyperlink>
      <w:r w:rsidDel="00000000" w:rsidR="00000000" w:rsidRPr="00000000">
        <w:rPr>
          <w:rtl w:val="0"/>
        </w:rPr>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Microsoft</w:t>
      </w:r>
      <w:r w:rsidDel="00000000" w:rsidR="00000000" w:rsidRPr="00000000">
        <w:rPr>
          <w:rFonts w:ascii="Times New Roman" w:cs="Times New Roman" w:eastAsia="Times New Roman" w:hAnsi="Times New Roman"/>
          <w:sz w:val="30"/>
          <w:szCs w:val="30"/>
          <w:shd w:fill="e6b8af" w:val="clear"/>
          <w:rtl w:val="0"/>
        </w:rPr>
        <w:t xml:space="preserve">, "Solorigate: Analyzing the Compromised DLL File That Started a Sophisticated Cyberattack," </w:t>
      </w:r>
      <w:r w:rsidDel="00000000" w:rsidR="00000000" w:rsidRPr="00000000">
        <w:rPr>
          <w:rFonts w:ascii="Times New Roman" w:cs="Times New Roman" w:eastAsia="Times New Roman" w:hAnsi="Times New Roman"/>
          <w:i w:val="1"/>
          <w:sz w:val="30"/>
          <w:szCs w:val="30"/>
          <w:shd w:fill="e6b8af" w:val="clear"/>
          <w:rtl w:val="0"/>
        </w:rPr>
        <w:t xml:space="preserve">Microsoft Security Blog</w:t>
      </w:r>
      <w:r w:rsidDel="00000000" w:rsidR="00000000" w:rsidRPr="00000000">
        <w:rPr>
          <w:rFonts w:ascii="Times New Roman" w:cs="Times New Roman" w:eastAsia="Times New Roman" w:hAnsi="Times New Roman"/>
          <w:sz w:val="30"/>
          <w:szCs w:val="30"/>
          <w:shd w:fill="e6b8af" w:val="clear"/>
          <w:rtl w:val="0"/>
        </w:rPr>
        <w:t xml:space="preserve">, Feb. 2021. [Online]. Available:</w:t>
      </w:r>
      <w:hyperlink r:id="rId8">
        <w:r w:rsidDel="00000000" w:rsidR="00000000" w:rsidRPr="00000000">
          <w:rPr>
            <w:rFonts w:ascii="Times New Roman" w:cs="Times New Roman" w:eastAsia="Times New Roman" w:hAnsi="Times New Roman"/>
            <w:sz w:val="30"/>
            <w:szCs w:val="30"/>
            <w:shd w:fill="e6b8af" w:val="clear"/>
            <w:rtl w:val="0"/>
          </w:rPr>
          <w:t xml:space="preserve"> </w:t>
        </w:r>
      </w:hyperlink>
      <w:hyperlink r:id="rId9">
        <w:r w:rsidDel="00000000" w:rsidR="00000000" w:rsidRPr="00000000">
          <w:rPr>
            <w:rFonts w:ascii="Times New Roman" w:cs="Times New Roman" w:eastAsia="Times New Roman" w:hAnsi="Times New Roman"/>
            <w:color w:val="1155cc"/>
            <w:sz w:val="30"/>
            <w:szCs w:val="30"/>
            <w:u w:val="single"/>
            <w:shd w:fill="e6b8af" w:val="clear"/>
            <w:rtl w:val="0"/>
          </w:rPr>
          <w:t xml:space="preserve">https://aka.ms/solorigate</w:t>
        </w:r>
      </w:hyperlink>
      <w:r w:rsidDel="00000000" w:rsidR="00000000" w:rsidRPr="00000000">
        <w:rPr>
          <w:rtl w:val="0"/>
        </w:rPr>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A. Karami, R. Hill, and M. Freemantle</w:t>
      </w:r>
      <w:r w:rsidDel="00000000" w:rsidR="00000000" w:rsidRPr="00000000">
        <w:rPr>
          <w:rFonts w:ascii="Times New Roman" w:cs="Times New Roman" w:eastAsia="Times New Roman" w:hAnsi="Times New Roman"/>
          <w:sz w:val="30"/>
          <w:szCs w:val="30"/>
          <w:shd w:fill="e6b8af" w:val="clear"/>
          <w:rtl w:val="0"/>
        </w:rPr>
        <w:t xml:space="preserve">, "Analyzing the SolarWinds Hack: An Investigation of Supply Chain Security Vulnerabilities," </w:t>
      </w:r>
      <w:r w:rsidDel="00000000" w:rsidR="00000000" w:rsidRPr="00000000">
        <w:rPr>
          <w:rFonts w:ascii="Times New Roman" w:cs="Times New Roman" w:eastAsia="Times New Roman" w:hAnsi="Times New Roman"/>
          <w:i w:val="1"/>
          <w:sz w:val="30"/>
          <w:szCs w:val="30"/>
          <w:shd w:fill="e6b8af" w:val="clear"/>
          <w:rtl w:val="0"/>
        </w:rPr>
        <w:t xml:space="preserve">IEEE Transactions on Information Forensics and Security</w:t>
      </w:r>
      <w:r w:rsidDel="00000000" w:rsidR="00000000" w:rsidRPr="00000000">
        <w:rPr>
          <w:rFonts w:ascii="Times New Roman" w:cs="Times New Roman" w:eastAsia="Times New Roman" w:hAnsi="Times New Roman"/>
          <w:sz w:val="30"/>
          <w:szCs w:val="30"/>
          <w:shd w:fill="e6b8af" w:val="clear"/>
          <w:rtl w:val="0"/>
        </w:rPr>
        <w:t xml:space="preserve">, vol. 16, pp. 4895–4907, Nov. 2021. doi: 10.1109/TIFS.2021.3114599.</w:t>
      </w:r>
    </w:p>
    <w:p w:rsidR="00000000" w:rsidDel="00000000" w:rsidP="00000000" w:rsidRDefault="00000000" w:rsidRPr="00000000" w14:paraId="00000051">
      <w:pPr>
        <w:numPr>
          <w:ilvl w:val="0"/>
          <w:numId w:val="1"/>
        </w:numPr>
        <w:spacing w:after="0" w:afterAutospacing="0" w:before="0" w:beforeAutospacing="0" w:lineRule="auto"/>
        <w:ind w:left="720" w:hanging="360"/>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Danish Center for Cyber Security (CFCS)</w:t>
      </w:r>
      <w:r w:rsidDel="00000000" w:rsidR="00000000" w:rsidRPr="00000000">
        <w:rPr>
          <w:rFonts w:ascii="Times New Roman" w:cs="Times New Roman" w:eastAsia="Times New Roman" w:hAnsi="Times New Roman"/>
          <w:sz w:val="30"/>
          <w:szCs w:val="30"/>
          <w:shd w:fill="e6b8af" w:val="clear"/>
          <w:rtl w:val="0"/>
        </w:rPr>
        <w:t xml:space="preserve">, "CFCS SolarWinds Report," </w:t>
      </w:r>
      <w:r w:rsidDel="00000000" w:rsidR="00000000" w:rsidRPr="00000000">
        <w:rPr>
          <w:rFonts w:ascii="Times New Roman" w:cs="Times New Roman" w:eastAsia="Times New Roman" w:hAnsi="Times New Roman"/>
          <w:i w:val="1"/>
          <w:sz w:val="30"/>
          <w:szCs w:val="30"/>
          <w:shd w:fill="e6b8af" w:val="clear"/>
          <w:rtl w:val="0"/>
        </w:rPr>
        <w:t xml:space="preserve">CFCS</w:t>
      </w:r>
      <w:r w:rsidDel="00000000" w:rsidR="00000000" w:rsidRPr="00000000">
        <w:rPr>
          <w:rFonts w:ascii="Times New Roman" w:cs="Times New Roman" w:eastAsia="Times New Roman" w:hAnsi="Times New Roman"/>
          <w:sz w:val="30"/>
          <w:szCs w:val="30"/>
          <w:shd w:fill="e6b8af" w:val="clear"/>
          <w:rtl w:val="0"/>
        </w:rPr>
        <w:t xml:space="preserve">, 2021. [Online]. Available:</w:t>
      </w:r>
      <w:hyperlink r:id="rId10">
        <w:r w:rsidDel="00000000" w:rsidR="00000000" w:rsidRPr="00000000">
          <w:rPr>
            <w:rFonts w:ascii="Times New Roman" w:cs="Times New Roman" w:eastAsia="Times New Roman" w:hAnsi="Times New Roman"/>
            <w:sz w:val="30"/>
            <w:szCs w:val="30"/>
            <w:shd w:fill="e6b8af" w:val="clear"/>
            <w:rtl w:val="0"/>
          </w:rPr>
          <w:t xml:space="preserve"> </w:t>
        </w:r>
      </w:hyperlink>
      <w:hyperlink r:id="rId11">
        <w:r w:rsidDel="00000000" w:rsidR="00000000" w:rsidRPr="00000000">
          <w:rPr>
            <w:rFonts w:ascii="Times New Roman" w:cs="Times New Roman" w:eastAsia="Times New Roman" w:hAnsi="Times New Roman"/>
            <w:color w:val="1155cc"/>
            <w:sz w:val="30"/>
            <w:szCs w:val="30"/>
            <w:u w:val="single"/>
            <w:shd w:fill="e6b8af" w:val="clear"/>
            <w:rtl w:val="0"/>
          </w:rPr>
          <w:t xml:space="preserve">https://www.cfcs.dk/globalassets/cfcs/dokumenter/rapporter/en/CFCS-solarwinds-report-EN.pdf</w:t>
        </w:r>
      </w:hyperlink>
      <w:r w:rsidDel="00000000" w:rsidR="00000000" w:rsidRPr="00000000">
        <w:rPr>
          <w:rtl w:val="0"/>
        </w:rPr>
      </w:r>
    </w:p>
    <w:p w:rsidR="00000000" w:rsidDel="00000000" w:rsidP="00000000" w:rsidRDefault="00000000" w:rsidRPr="00000000" w14:paraId="00000052">
      <w:pPr>
        <w:numPr>
          <w:ilvl w:val="0"/>
          <w:numId w:val="1"/>
        </w:numPr>
        <w:spacing w:after="240" w:before="0" w:beforeAutospacing="0" w:lineRule="auto"/>
        <w:ind w:left="720" w:hanging="360"/>
        <w:rPr>
          <w:rFonts w:ascii="Times New Roman" w:cs="Times New Roman" w:eastAsia="Times New Roman" w:hAnsi="Times New Roman"/>
          <w:sz w:val="30"/>
          <w:szCs w:val="30"/>
          <w:shd w:fill="e6b8af" w:val="clear"/>
        </w:rPr>
      </w:pPr>
      <w:r w:rsidDel="00000000" w:rsidR="00000000" w:rsidRPr="00000000">
        <w:rPr>
          <w:rFonts w:ascii="Times New Roman" w:cs="Times New Roman" w:eastAsia="Times New Roman" w:hAnsi="Times New Roman"/>
          <w:b w:val="1"/>
          <w:sz w:val="30"/>
          <w:szCs w:val="30"/>
          <w:shd w:fill="e6b8af" w:val="clear"/>
          <w:rtl w:val="0"/>
        </w:rPr>
        <w:t xml:space="preserve">OWASP Foundation</w:t>
      </w:r>
      <w:r w:rsidDel="00000000" w:rsidR="00000000" w:rsidRPr="00000000">
        <w:rPr>
          <w:rFonts w:ascii="Times New Roman" w:cs="Times New Roman" w:eastAsia="Times New Roman" w:hAnsi="Times New Roman"/>
          <w:sz w:val="30"/>
          <w:szCs w:val="30"/>
          <w:shd w:fill="e6b8af" w:val="clear"/>
          <w:rtl w:val="0"/>
        </w:rPr>
        <w:t xml:space="preserve">, "OWASP Top Ten Web Application Security Risks," </w:t>
      </w:r>
      <w:r w:rsidDel="00000000" w:rsidR="00000000" w:rsidRPr="00000000">
        <w:rPr>
          <w:rFonts w:ascii="Times New Roman" w:cs="Times New Roman" w:eastAsia="Times New Roman" w:hAnsi="Times New Roman"/>
          <w:i w:val="1"/>
          <w:sz w:val="30"/>
          <w:szCs w:val="30"/>
          <w:shd w:fill="e6b8af" w:val="clear"/>
          <w:rtl w:val="0"/>
        </w:rPr>
        <w:t xml:space="preserve">OWASP</w:t>
      </w:r>
      <w:r w:rsidDel="00000000" w:rsidR="00000000" w:rsidRPr="00000000">
        <w:rPr>
          <w:rFonts w:ascii="Times New Roman" w:cs="Times New Roman" w:eastAsia="Times New Roman" w:hAnsi="Times New Roman"/>
          <w:sz w:val="30"/>
          <w:szCs w:val="30"/>
          <w:shd w:fill="e6b8af" w:val="clear"/>
          <w:rtl w:val="0"/>
        </w:rPr>
        <w:t xml:space="preserve">, 2020. [Online]. Available:</w:t>
      </w:r>
      <w:hyperlink r:id="rId12">
        <w:r w:rsidDel="00000000" w:rsidR="00000000" w:rsidRPr="00000000">
          <w:rPr>
            <w:rFonts w:ascii="Times New Roman" w:cs="Times New Roman" w:eastAsia="Times New Roman" w:hAnsi="Times New Roman"/>
            <w:sz w:val="30"/>
            <w:szCs w:val="30"/>
            <w:shd w:fill="e6b8af" w:val="clear"/>
            <w:rtl w:val="0"/>
          </w:rPr>
          <w:t xml:space="preserve"> </w:t>
        </w:r>
      </w:hyperlink>
      <w:hyperlink r:id="rId13">
        <w:r w:rsidDel="00000000" w:rsidR="00000000" w:rsidRPr="00000000">
          <w:rPr>
            <w:rFonts w:ascii="Times New Roman" w:cs="Times New Roman" w:eastAsia="Times New Roman" w:hAnsi="Times New Roman"/>
            <w:color w:val="1155cc"/>
            <w:sz w:val="30"/>
            <w:szCs w:val="30"/>
            <w:u w:val="single"/>
            <w:shd w:fill="e6b8af" w:val="clear"/>
            <w:rtl w:val="0"/>
          </w:rPr>
          <w:t xml:space="preserve">https://owasp.org/www-project-top-ten/</w:t>
        </w:r>
      </w:hyperlink>
      <w:r w:rsidDel="00000000" w:rsidR="00000000" w:rsidRPr="00000000">
        <w:rPr>
          <w:rtl w:val="0"/>
        </w:rPr>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fcs.dk/globalassets/cfcs/dokumenter/rapporter/en/CFCS-solarwinds-report-EN.pdf" TargetMode="External"/><Relationship Id="rId10" Type="http://schemas.openxmlformats.org/officeDocument/2006/relationships/hyperlink" Target="https://www.cfcs.dk/globalassets/cfcs/dokumenter/rapporter/en/CFCS-solarwinds-report-EN.pdf" TargetMode="External"/><Relationship Id="rId13" Type="http://schemas.openxmlformats.org/officeDocument/2006/relationships/hyperlink" Target="https://owasp.org/www-project-top-ten/" TargetMode="External"/><Relationship Id="rId12" Type="http://schemas.openxmlformats.org/officeDocument/2006/relationships/hyperlink" Target="https://owasp.org/www-project-top-t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ka.ms/solorigate" TargetMode="External"/><Relationship Id="rId5" Type="http://schemas.openxmlformats.org/officeDocument/2006/relationships/styles" Target="styles.xml"/><Relationship Id="rId6" Type="http://schemas.openxmlformats.org/officeDocument/2006/relationships/hyperlink" Target="https://www.fireeye.com/blog/threat-research/2020/12/evasive-attacker-leverages-solarwinds-supply-chain-compromises-with-sunburst-backdoor.html" TargetMode="External"/><Relationship Id="rId7" Type="http://schemas.openxmlformats.org/officeDocument/2006/relationships/hyperlink" Target="https://www.fireeye.com/blog/threat-research/2020/12/evasive-attacker-leverages-solarwinds-supply-chain-compromises-with-sunburst-backdoor.html" TargetMode="External"/><Relationship Id="rId8" Type="http://schemas.openxmlformats.org/officeDocument/2006/relationships/hyperlink" Target="https://aka.ms/solori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