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0" w:before="0" w:line="276"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tbl>
      <w:tblPr>
        <w:tblStyle w:val="Table1"/>
        <w:tblW w:w="640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08"/>
        <w:tblGridChange w:id="0">
          <w:tblGrid>
            <w:gridCol w:w="6408"/>
          </w:tblGrid>
        </w:tblGridChange>
      </w:tblGrid>
      <w:tr>
        <w:trPr>
          <w:cantSplit w:val="0"/>
          <w:tblHeader w:val="0"/>
        </w:trPr>
        <w:tc>
          <w:tcPr>
            <w:vAlign w:val="bottom"/>
          </w:tcPr>
          <w:p w:rsidR="00000000" w:rsidDel="00000000" w:rsidP="00000000" w:rsidRDefault="00000000" w:rsidRPr="00000000" w14:paraId="00000013">
            <w:pP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after="0" w:before="0" w:line="276" w:lineRule="auto"/>
              <w:ind w:right="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No._07</w:t>
            </w:r>
          </w:p>
          <w:p w:rsidR="00000000" w:rsidDel="00000000" w:rsidP="00000000" w:rsidRDefault="00000000" w:rsidRPr="00000000" w14:paraId="00000015">
            <w:pPr>
              <w:spacing w:after="0" w:before="0" w:line="276" w:lineRule="auto"/>
              <w:ind w:right="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after="0" w:before="0" w:line="276" w:lineRule="auto"/>
              <w:ind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Virtual Lab on IoT</w:t>
            </w:r>
          </w:p>
          <w:p w:rsidR="00000000" w:rsidDel="00000000" w:rsidP="00000000" w:rsidRDefault="00000000" w:rsidRPr="00000000" w14:paraId="00000017">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8">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Batch: B–1                                 Roll No.: 16010422234                                 Experiment No.:07</w:t>
      </w:r>
    </w:p>
    <w:p w:rsidR="00000000" w:rsidDel="00000000" w:rsidP="00000000" w:rsidRDefault="00000000" w:rsidRPr="00000000" w14:paraId="0000002C">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after="0" w:before="0" w:line="276"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Virtual Lab on IoT</w:t>
      </w:r>
    </w:p>
    <w:p w:rsidR="00000000" w:rsidDel="00000000" w:rsidP="00000000" w:rsidRDefault="00000000" w:rsidRPr="00000000" w14:paraId="0000002F">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Resources needed:</w:t>
      </w:r>
      <w:r w:rsidDel="00000000" w:rsidR="00000000" w:rsidRPr="00000000">
        <w:rPr>
          <w:rFonts w:ascii="Times New Roman" w:cs="Times New Roman" w:eastAsia="Times New Roman" w:hAnsi="Times New Roman"/>
          <w:sz w:val="24"/>
          <w:szCs w:val="24"/>
          <w:rtl w:val="0"/>
        </w:rPr>
        <w:t xml:space="preserve"> Internet</w:t>
      </w:r>
    </w:p>
    <w:p w:rsidR="00000000" w:rsidDel="00000000" w:rsidP="00000000" w:rsidRDefault="00000000" w:rsidRPr="00000000" w14:paraId="00000032">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035">
      <w:pPr>
        <w:spacing w:after="0" w:before="0" w:line="276"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Labs project is an initiative of Ministry of Human Resource Development (MHRD), Government of India under the aegis of National Mission on Education through Information and Communication Technology (NMEICT). This project is a consortium activity of twelve participating institutes and IIT Delhi is a coordinating institute. It is a paradigm shift in ICT-based education. For the first time, such an initiative has been taken-up in remote‐experimentation. Under the Virtual Labs project, over 100 Virtual Labs consisting of approximately 700+ web-enabled experiments were designed for remote-operation and viewing.</w:t>
      </w:r>
    </w:p>
    <w:p w:rsidR="00000000" w:rsidDel="00000000" w:rsidP="00000000" w:rsidRDefault="00000000" w:rsidRPr="00000000" w14:paraId="00000036">
      <w:pPr>
        <w:pBdr>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w:t>
      </w:r>
    </w:p>
    <w:p w:rsidR="00000000" w:rsidDel="00000000" w:rsidP="00000000" w:rsidRDefault="00000000" w:rsidRPr="00000000" w14:paraId="00000039">
      <w:pPr>
        <w:spacing w:after="0" w:before="0" w:line="276"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any experiment of IoT / Embedded system from the given list of experiments on Virtual lab website.</w:t>
      </w:r>
    </w:p>
    <w:p w:rsidR="00000000" w:rsidDel="00000000" w:rsidP="00000000" w:rsidRDefault="00000000" w:rsidRPr="00000000" w14:paraId="0000003A">
      <w:pPr>
        <w:spacing w:after="0" w:before="0" w:line="276" w:lineRule="auto"/>
        <w:ind w:right="0"/>
        <w:jc w:val="both"/>
        <w:rPr>
          <w:rFonts w:ascii="Times New Roman" w:cs="Times New Roman" w:eastAsia="Times New Roman" w:hAnsi="Times New Roman"/>
          <w:color w:val="ff0000"/>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https://sl-coep.vlabs.ac.in/exp/temperature-sensor/simulation.html</w:t>
        </w:r>
      </w:hyperlink>
      <w:r w:rsidDel="00000000" w:rsidR="00000000" w:rsidRPr="00000000">
        <w:rPr>
          <w:rtl w:val="0"/>
        </w:rPr>
      </w:r>
    </w:p>
    <w:p w:rsidR="00000000" w:rsidDel="00000000" w:rsidP="00000000" w:rsidRDefault="00000000" w:rsidRPr="00000000" w14:paraId="0000003B">
      <w:pPr>
        <w:spacing w:after="0" w:before="0" w:line="276" w:lineRule="auto"/>
        <w:ind w:right="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3C">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(Program printout with output / Document printout as per the format)</w:t>
      </w:r>
    </w:p>
    <w:p w:rsidR="00000000" w:rsidDel="00000000" w:rsidP="00000000" w:rsidRDefault="00000000" w:rsidRPr="00000000" w14:paraId="0000004B">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00400"/>
            <wp:effectExtent b="0" l="0" r="0" t="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00400"/>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00400"/>
            <wp:effectExtent b="0" l="0" r="0" t="0"/>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004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00400"/>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00400"/>
            <wp:effectExtent b="0" l="0" r="0" t="0"/>
            <wp:docPr id="1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00400"/>
            <wp:effectExtent b="0" l="0" r="0" t="0"/>
            <wp:docPr id="1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00400"/>
            <wp:effectExtent b="0" l="0" r="0" t="0"/>
            <wp:docPr id="1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00400"/>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pBdr>
          <w:top w:color="000000" w:space="1" w:sz="12" w:val="single"/>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00400"/>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w:t>
      </w:r>
    </w:p>
    <w:p w:rsidR="00000000" w:rsidDel="00000000" w:rsidP="00000000" w:rsidRDefault="00000000" w:rsidRPr="00000000" w14:paraId="0000007C">
      <w:pPr>
        <w:pBdr>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Explain AWS IoT Greengrass concept.</w:t>
      </w:r>
    </w:p>
    <w:p w:rsidR="00000000" w:rsidDel="00000000" w:rsidP="00000000" w:rsidRDefault="00000000" w:rsidRPr="00000000" w14:paraId="0000007D">
      <w:pPr>
        <w:pBdr>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Bdr>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IoT Greengrass is a service that extends AWS cloud capabilities to local devices, allowing them to process data, execute machine learning models, and communicate securely even when offline. It enables edge devices to act intelligently by running AWS Lambda functions, synchronizing data with the cloud, and securely interacting with other devices in the network.</w:t>
      </w:r>
    </w:p>
    <w:p w:rsidR="00000000" w:rsidDel="00000000" w:rsidP="00000000" w:rsidRDefault="00000000" w:rsidRPr="00000000" w14:paraId="0000007F">
      <w:pPr>
        <w:pBdr>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pBdr>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features of AWS IoT Greengrass:</w:t>
      </w:r>
    </w:p>
    <w:p w:rsidR="00000000" w:rsidDel="00000000" w:rsidP="00000000" w:rsidRDefault="00000000" w:rsidRPr="00000000" w14:paraId="00000081">
      <w:pPr>
        <w:pBdr>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Local Computing: </w:t>
      </w:r>
      <w:r w:rsidDel="00000000" w:rsidR="00000000" w:rsidRPr="00000000">
        <w:rPr>
          <w:rFonts w:ascii="Times New Roman" w:cs="Times New Roman" w:eastAsia="Times New Roman" w:hAnsi="Times New Roman"/>
          <w:sz w:val="24"/>
          <w:szCs w:val="24"/>
          <w:rtl w:val="0"/>
        </w:rPr>
        <w:t xml:space="preserve">Allows devices to process data locally without always depending on the cloud.</w:t>
      </w:r>
    </w:p>
    <w:p w:rsidR="00000000" w:rsidDel="00000000" w:rsidP="00000000" w:rsidRDefault="00000000" w:rsidRPr="00000000" w14:paraId="00000082">
      <w:pPr>
        <w:pBdr>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 Machine Learning (ML) Inference: </w:t>
      </w:r>
      <w:r w:rsidDel="00000000" w:rsidR="00000000" w:rsidRPr="00000000">
        <w:rPr>
          <w:rFonts w:ascii="Times New Roman" w:cs="Times New Roman" w:eastAsia="Times New Roman" w:hAnsi="Times New Roman"/>
          <w:sz w:val="24"/>
          <w:szCs w:val="24"/>
          <w:rtl w:val="0"/>
        </w:rPr>
        <w:t xml:space="preserve">Enables edge devices to run pre-trained ML models for faster decision-making.</w:t>
      </w:r>
    </w:p>
    <w:p w:rsidR="00000000" w:rsidDel="00000000" w:rsidP="00000000" w:rsidRDefault="00000000" w:rsidRPr="00000000" w14:paraId="00000083">
      <w:pPr>
        <w:pBdr>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iii. Secure Device Communication: </w:t>
      </w:r>
      <w:r w:rsidDel="00000000" w:rsidR="00000000" w:rsidRPr="00000000">
        <w:rPr>
          <w:rFonts w:ascii="Times New Roman" w:cs="Times New Roman" w:eastAsia="Times New Roman" w:hAnsi="Times New Roman"/>
          <w:sz w:val="24"/>
          <w:szCs w:val="24"/>
          <w:rtl w:val="0"/>
        </w:rPr>
        <w:t xml:space="preserve">Provides authentication and encryption for secure device-to-device and device-to-cloud communication.</w:t>
      </w:r>
    </w:p>
    <w:p w:rsidR="00000000" w:rsidDel="00000000" w:rsidP="00000000" w:rsidRDefault="00000000" w:rsidRPr="00000000" w14:paraId="00000084">
      <w:pPr>
        <w:pBdr>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iv. Connectivity Management: </w:t>
      </w:r>
      <w:r w:rsidDel="00000000" w:rsidR="00000000" w:rsidRPr="00000000">
        <w:rPr>
          <w:rFonts w:ascii="Times New Roman" w:cs="Times New Roman" w:eastAsia="Times New Roman" w:hAnsi="Times New Roman"/>
          <w:sz w:val="24"/>
          <w:szCs w:val="24"/>
          <w:rtl w:val="0"/>
        </w:rPr>
        <w:t xml:space="preserve">Supports intermittent connectivity by caching messages and synchronizing them with the cloud when the connection is restored.</w:t>
      </w:r>
    </w:p>
    <w:p w:rsidR="00000000" w:rsidDel="00000000" w:rsidP="00000000" w:rsidRDefault="00000000" w:rsidRPr="00000000" w14:paraId="00000085">
      <w:pPr>
        <w:pBdr>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 Lambda Function Execution: </w:t>
      </w:r>
      <w:r w:rsidDel="00000000" w:rsidR="00000000" w:rsidRPr="00000000">
        <w:rPr>
          <w:rFonts w:ascii="Times New Roman" w:cs="Times New Roman" w:eastAsia="Times New Roman" w:hAnsi="Times New Roman"/>
          <w:sz w:val="24"/>
          <w:szCs w:val="24"/>
          <w:rtl w:val="0"/>
        </w:rPr>
        <w:t xml:space="preserve">Allows running AWS Lambda functions on local devices to automate tasks and respond to local events.</w:t>
      </w:r>
    </w:p>
    <w:p w:rsidR="00000000" w:rsidDel="00000000" w:rsidP="00000000" w:rsidRDefault="00000000" w:rsidRPr="00000000" w14:paraId="00000086">
      <w:pPr>
        <w:pBdr>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Bdr>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IoT Greengrass is widely used in industries like smart homes, industrial automation, and healthcare to improve efficiency and reduce latency in IoT applications.</w:t>
      </w:r>
    </w:p>
    <w:p w:rsidR="00000000" w:rsidDel="00000000" w:rsidP="00000000" w:rsidRDefault="00000000" w:rsidRPr="00000000" w14:paraId="00000088">
      <w:pPr>
        <w:pBdr>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Outcomes: CO2 — Comprehend IoT architecture, enabling technologies and protocols</w:t>
      </w:r>
    </w:p>
    <w:p w:rsidR="00000000" w:rsidDel="00000000" w:rsidP="00000000" w:rsidRDefault="00000000" w:rsidRPr="00000000" w14:paraId="0000008B">
      <w:pPr>
        <w:pBdr>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8E">
      <w:pPr>
        <w:spacing w:after="0" w:before="0" w:line="276"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experiment, we explored the concept of Virtual Labs and how they enable remote experimentation in IoT. The selected experiment demonstrated the functionality of a temperature sensor using a virtual simulation. The use of Virtual Labs enhances learning by providing hands-on experience without requiring physical hardware. Additionally, we learned about AWS IoT Greengrass and its role in enabling edge computing for IoT devices, allowing them to process data locally while maintaining secure communication with the cloud. This knowledge is essential for developing efficient and scalable IoT applications.</w:t>
      </w:r>
    </w:p>
    <w:p w:rsidR="00000000" w:rsidDel="00000000" w:rsidP="00000000" w:rsidRDefault="00000000" w:rsidRPr="00000000" w14:paraId="0000008F">
      <w:pPr>
        <w:pBdr>
          <w:bottom w:color="000000" w:space="1" w:sz="12" w:val="single"/>
        </w:pBd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Grade: AA / AB / BB / BC / CC / CD / DD </w:t>
      </w:r>
    </w:p>
    <w:p w:rsidR="00000000" w:rsidDel="00000000" w:rsidP="00000000" w:rsidRDefault="00000000" w:rsidRPr="00000000" w14:paraId="00000095">
      <w:pP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pBdr>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faculty in-charge with date</w:t>
      </w:r>
    </w:p>
    <w:p w:rsidR="00000000" w:rsidDel="00000000" w:rsidP="00000000" w:rsidRDefault="00000000" w:rsidRPr="00000000" w14:paraId="00000099">
      <w:pPr>
        <w:pBdr>
          <w:bottom w:color="000000" w:space="1" w:sz="12" w:val="single"/>
        </w:pBd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9C">
      <w:pP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Links: </w:t>
      </w:r>
    </w:p>
    <w:p w:rsidR="00000000" w:rsidDel="00000000" w:rsidP="00000000" w:rsidRDefault="00000000" w:rsidRPr="00000000" w14:paraId="0000009D">
      <w:pPr>
        <w:spacing w:after="0" w:before="0" w:line="276" w:lineRule="auto"/>
        <w:ind w:right="0"/>
        <w:jc w:val="both"/>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0000ff"/>
            <w:sz w:val="24"/>
            <w:szCs w:val="24"/>
            <w:u w:val="single"/>
            <w:rtl w:val="0"/>
          </w:rPr>
          <w:t xml:space="preserve">https://www.vlab.co.in/</w:t>
        </w:r>
      </w:hyperlink>
      <w:r w:rsidDel="00000000" w:rsidR="00000000" w:rsidRPr="00000000">
        <w:rPr>
          <w:rtl w:val="0"/>
        </w:rPr>
      </w:r>
    </w:p>
    <w:p w:rsidR="00000000" w:rsidDel="00000000" w:rsidP="00000000" w:rsidRDefault="00000000" w:rsidRPr="00000000" w14:paraId="0000009E">
      <w:pP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w:t>
      </w:r>
    </w:p>
    <w:p w:rsidR="00000000" w:rsidDel="00000000" w:rsidP="00000000" w:rsidRDefault="00000000" w:rsidRPr="00000000" w14:paraId="0000009F">
      <w:pPr>
        <w:spacing w:after="0" w:before="0" w:line="276"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Jan Holler, Vlasios Tsiatsis, Catherine Mulligan, Stefan Avesand, Stamatis Karnouskos, David Boyle, “From Machine-to-Machine to the Internet of Things: Introduction to a New Age of Intelligence”, 1st Edition, Academic Press, 2014.</w:t>
      </w:r>
    </w:p>
    <w:p w:rsidR="00000000" w:rsidDel="00000000" w:rsidP="00000000" w:rsidRDefault="00000000" w:rsidRPr="00000000" w14:paraId="000000A0">
      <w:pPr>
        <w:spacing w:after="0" w:before="0" w:line="276"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Vijay Madisetti and Arshdeep Bahga, “Internet of Things (A Hands-on-Approach)”, 1stEdition, VPT, 2014.</w:t>
      </w:r>
    </w:p>
    <w:p w:rsidR="00000000" w:rsidDel="00000000" w:rsidP="00000000" w:rsidRDefault="00000000" w:rsidRPr="00000000" w14:paraId="000000A1">
      <w:pPr>
        <w:spacing w:after="0" w:before="0" w:line="276" w:lineRule="auto"/>
        <w:ind w:right="0"/>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3. Dr. Ovidiu Vermesan, Dr. Peter Friess, “Internet of Things - From Research and Innovation to Market Deployment”, River Publisher, 2014</w:t>
      </w:r>
    </w:p>
    <w:p w:rsidR="00000000" w:rsidDel="00000000" w:rsidP="00000000" w:rsidRDefault="00000000" w:rsidRPr="00000000" w14:paraId="000000A2">
      <w:pPr>
        <w:pBdr>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pacing w:after="0" w:before="0" w:line="276" w:lineRule="auto"/>
        <w:ind w:right="0"/>
        <w:jc w:val="both"/>
        <w:rPr>
          <w:rFonts w:ascii="Times New Roman" w:cs="Times New Roman" w:eastAsia="Times New Roman" w:hAnsi="Times New Roman"/>
          <w:sz w:val="24"/>
          <w:szCs w:val="24"/>
        </w:rPr>
      </w:pPr>
      <w:bookmarkStart w:colFirst="0" w:colLast="0" w:name="_heading=h.v31ragqgqlsf" w:id="1"/>
      <w:bookmarkEnd w:id="1"/>
      <w:r w:rsidDel="00000000" w:rsidR="00000000" w:rsidRPr="00000000">
        <w:rPr>
          <w:rtl w:val="0"/>
        </w:rPr>
      </w:r>
    </w:p>
    <w:p w:rsidR="00000000" w:rsidDel="00000000" w:rsidP="00000000" w:rsidRDefault="00000000" w:rsidRPr="00000000" w14:paraId="000000A4">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sectPr>
      <w:headerReference r:id="rId19" w:type="default"/>
      <w:headerReference r:id="rId20" w:type="first"/>
      <w:headerReference r:id="rId21" w:type="even"/>
      <w:foot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0" w:line="240" w:lineRule="auto"/>
      <w:ind w:left="0" w:right="0" w:firstLine="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 Constituent College of Somaiya Vidyavihar University)</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pict>
        <v:shape id="WordPictureWatermark1" style="position:absolute;width:225.0pt;height:225.0pt;rotation:0;z-index:-503316481;mso-position-horizontal-relative:margin;mso-position-horizontal:center;mso-position-vertical-relative:margin;mso-position-vertical:center;" alt="" type="#_x0000_t75">
          <v:imagedata blacklevel="22938f" cropbottom="0f" cropleft="0f" cropright="0f" croptop="0f" gain="19661f" r:id="rId1" o:title="image1.png"/>
        </v:shape>
      </w:pic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000250" cy="2762250"/>
          <wp:effectExtent b="0" l="0" r="0" t="0"/>
          <wp:wrapSquare wrapText="bothSides" distB="0" distT="0" distL="114300" distR="114300"/>
          <wp:docPr id="9" name="image2.jpg"/>
          <a:graphic>
            <a:graphicData uri="http://schemas.openxmlformats.org/drawingml/2006/picture">
              <pic:pic>
                <pic:nvPicPr>
                  <pic:cNvPr id="0" name="image2.jpg"/>
                  <pic:cNvPicPr preferRelativeResize="0"/>
                </pic:nvPicPr>
                <pic:blipFill>
                  <a:blip r:embed="rId2"/>
                  <a:srcRect b="0" l="0" r="0" t="0"/>
                  <a:stretch>
                    <a:fillRect/>
                  </a:stretch>
                </pic:blipFill>
                <pic:spPr>
                  <a:xfrm>
                    <a:off x="0" y="0"/>
                    <a:ext cx="2000250" cy="2762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color w:val="000000"/>
        <w:sz w:val="24"/>
        <w:szCs w:val="24"/>
      </w:rPr>
      <w:pict>
        <v:shape id="WordPictureWatermark3" style="position:absolute;width:225.0pt;height:225.0pt;rotation:0;z-index:-503316481;mso-position-horizontal-relative:margin;mso-position-horizontal:center;mso-position-vertical-relative:margin;mso-position-vertical:center;" alt="" type="#_x0000_t75">
          <v:imagedata blacklevel="22938f" cropbottom="0f" cropleft="0f" cropright="0f" croptop="0f" gain="19661f" r:id="rId1" o:title="image1.png"/>
        </v:shape>
      </w:pict>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KJSCE/IT/B.Tech/SEMVI/IoT/2024-25</w:t>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pict>
        <v:shape id="WordPictureWatermark2" style="position:absolute;width:225.0pt;height:225.0pt;rotation:0;z-index:-503316481;mso-position-horizontal-relative:margin;mso-position-horizontal:center;mso-position-vertical-relative:margin;mso-position-vertical:center;" alt="" type="#_x0000_t75">
          <v:imagedata blacklevel="22938f" cropbottom="0f" cropleft="0f" cropright="0f" croptop="0f" gain="19661f" r:id="rId1" o:title="image1.png"/>
        </v:shape>
      </w:pic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000250" cy="2762250"/>
          <wp:effectExtent b="0" l="0" r="0" t="0"/>
          <wp:wrapSquare wrapText="bothSides" distB="0" distT="0" distL="114300" distR="114300"/>
          <wp:docPr id="5" name="image2.jpg"/>
          <a:graphic>
            <a:graphicData uri="http://schemas.openxmlformats.org/drawingml/2006/picture">
              <pic:pic>
                <pic:nvPicPr>
                  <pic:cNvPr id="0" name="image2.jpg"/>
                  <pic:cNvPicPr preferRelativeResize="0"/>
                </pic:nvPicPr>
                <pic:blipFill>
                  <a:blip r:embed="rId2"/>
                  <a:srcRect b="0" l="0" r="0" t="0"/>
                  <a:stretch>
                    <a:fillRect/>
                  </a:stretch>
                </pic:blipFill>
                <pic:spPr>
                  <a:xfrm>
                    <a:off x="0" y="0"/>
                    <a:ext cx="2000250" cy="2762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mbria" w:cs="Cambria" w:eastAsia="Cambria" w:hAnsi="Cambria"/>
      <w:color w:val="366091"/>
      <w:sz w:val="40"/>
      <w:szCs w:val="40"/>
    </w:rPr>
  </w:style>
  <w:style w:type="paragraph" w:styleId="Heading2">
    <w:name w:val="heading 2"/>
    <w:basedOn w:val="Normal"/>
    <w:next w:val="Normal"/>
    <w:pPr>
      <w:keepNext w:val="1"/>
      <w:keepLines w:val="1"/>
      <w:spacing w:after="80" w:before="160" w:lineRule="auto"/>
    </w:pPr>
    <w:rPr>
      <w:rFonts w:ascii="Cambria" w:cs="Cambria" w:eastAsia="Cambria" w:hAnsi="Cambria"/>
      <w:color w:val="366091"/>
      <w:sz w:val="32"/>
      <w:szCs w:val="32"/>
    </w:rPr>
  </w:style>
  <w:style w:type="paragraph" w:styleId="Heading3">
    <w:name w:val="heading 3"/>
    <w:basedOn w:val="Normal"/>
    <w:next w:val="Normal"/>
    <w:pPr>
      <w:keepNext w:val="1"/>
      <w:keepLines w:val="1"/>
      <w:spacing w:after="80" w:before="160" w:lineRule="auto"/>
    </w:pPr>
    <w:rPr>
      <w:color w:val="366091"/>
      <w:sz w:val="28"/>
      <w:szCs w:val="28"/>
    </w:rPr>
  </w:style>
  <w:style w:type="paragraph" w:styleId="Heading4">
    <w:name w:val="heading 4"/>
    <w:basedOn w:val="Normal"/>
    <w:next w:val="Normal"/>
    <w:pPr>
      <w:keepNext w:val="1"/>
      <w:keepLines w:val="1"/>
      <w:spacing w:after="40" w:before="80" w:lineRule="auto"/>
    </w:pPr>
    <w:rPr>
      <w:i w:val="1"/>
      <w:color w:val="366091"/>
    </w:rPr>
  </w:style>
  <w:style w:type="paragraph" w:styleId="Heading5">
    <w:name w:val="heading 5"/>
    <w:basedOn w:val="Normal"/>
    <w:next w:val="Normal"/>
    <w:pPr>
      <w:keepNext w:val="1"/>
      <w:keepLines w:val="1"/>
      <w:spacing w:after="40" w:before="80" w:lineRule="auto"/>
    </w:pPr>
    <w:rPr>
      <w:color w:val="36609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mbria" w:cs="Cambria" w:eastAsia="Cambria" w:hAnsi="Cambria"/>
      <w:sz w:val="56"/>
      <w:szCs w:val="56"/>
    </w:rPr>
  </w:style>
  <w:style w:type="paragraph" w:styleId="Normal" w:default="1">
    <w:name w:val="Normal"/>
    <w:rsid w:val="00CE1B83"/>
    <w:rPr>
      <w:rFonts w:ascii="Calibri" w:cs="Calibri" w:eastAsia="Calibri" w:hAnsi="Calibri"/>
      <w:kern w:val="0"/>
      <w:lang w:eastAsia="en-IN"/>
    </w:rPr>
  </w:style>
  <w:style w:type="paragraph" w:styleId="Heading1">
    <w:name w:val="heading 1"/>
    <w:basedOn w:val="Normal"/>
    <w:next w:val="Normal"/>
    <w:link w:val="Heading1Char"/>
    <w:uiPriority w:val="9"/>
    <w:qFormat w:val="1"/>
    <w:rsid w:val="00CE1B83"/>
    <w:pPr>
      <w:keepNext w:val="1"/>
      <w:keepLines w:val="1"/>
      <w:spacing w:after="80" w:before="360"/>
      <w:outlineLvl w:val="0"/>
    </w:pPr>
    <w:rPr>
      <w:rFonts w:asciiTheme="majorHAnsi" w:cstheme="majorBidi" w:eastAsiaTheme="majorEastAsia" w:hAnsiTheme="majorHAnsi"/>
      <w:color w:val="365f91" w:themeColor="accent1" w:themeShade="0000BF"/>
      <w:sz w:val="40"/>
      <w:szCs w:val="40"/>
    </w:rPr>
  </w:style>
  <w:style w:type="paragraph" w:styleId="Heading2">
    <w:name w:val="heading 2"/>
    <w:basedOn w:val="Normal"/>
    <w:next w:val="Normal"/>
    <w:link w:val="Heading2Char"/>
    <w:uiPriority w:val="9"/>
    <w:semiHidden w:val="1"/>
    <w:unhideWhenUsed w:val="1"/>
    <w:qFormat w:val="1"/>
    <w:rsid w:val="00CE1B83"/>
    <w:pPr>
      <w:keepNext w:val="1"/>
      <w:keepLines w:val="1"/>
      <w:spacing w:after="80" w:before="160"/>
      <w:outlineLvl w:val="1"/>
    </w:pPr>
    <w:rPr>
      <w:rFonts w:asciiTheme="majorHAnsi" w:cstheme="majorBidi" w:eastAsiaTheme="majorEastAsia" w:hAnsiTheme="majorHAnsi"/>
      <w:color w:val="365f91" w:themeColor="accent1" w:themeShade="0000BF"/>
      <w:sz w:val="32"/>
      <w:szCs w:val="32"/>
    </w:rPr>
  </w:style>
  <w:style w:type="paragraph" w:styleId="Heading3">
    <w:name w:val="heading 3"/>
    <w:basedOn w:val="Normal"/>
    <w:next w:val="Normal"/>
    <w:link w:val="Heading3Char"/>
    <w:uiPriority w:val="9"/>
    <w:semiHidden w:val="1"/>
    <w:unhideWhenUsed w:val="1"/>
    <w:qFormat w:val="1"/>
    <w:rsid w:val="00CE1B83"/>
    <w:pPr>
      <w:keepNext w:val="1"/>
      <w:keepLines w:val="1"/>
      <w:spacing w:after="80" w:before="160"/>
      <w:outlineLvl w:val="2"/>
    </w:pPr>
    <w:rPr>
      <w:rFonts w:cstheme="majorBidi" w:eastAsiaTheme="majorEastAsia"/>
      <w:color w:val="365f91" w:themeColor="accent1" w:themeShade="0000BF"/>
      <w:sz w:val="28"/>
      <w:szCs w:val="28"/>
    </w:rPr>
  </w:style>
  <w:style w:type="paragraph" w:styleId="Heading4">
    <w:name w:val="heading 4"/>
    <w:basedOn w:val="Normal"/>
    <w:next w:val="Normal"/>
    <w:link w:val="Heading4Char"/>
    <w:uiPriority w:val="9"/>
    <w:semiHidden w:val="1"/>
    <w:unhideWhenUsed w:val="1"/>
    <w:qFormat w:val="1"/>
    <w:rsid w:val="00CE1B83"/>
    <w:pPr>
      <w:keepNext w:val="1"/>
      <w:keepLines w:val="1"/>
      <w:spacing w:after="40" w:before="80"/>
      <w:outlineLvl w:val="3"/>
    </w:pPr>
    <w:rPr>
      <w:rFonts w:cstheme="majorBidi" w:eastAsiaTheme="majorEastAsia"/>
      <w:i w:val="1"/>
      <w:iCs w:val="1"/>
      <w:color w:val="365f91" w:themeColor="accent1" w:themeShade="0000BF"/>
    </w:rPr>
  </w:style>
  <w:style w:type="paragraph" w:styleId="Heading5">
    <w:name w:val="heading 5"/>
    <w:basedOn w:val="Normal"/>
    <w:next w:val="Normal"/>
    <w:link w:val="Heading5Char"/>
    <w:uiPriority w:val="9"/>
    <w:semiHidden w:val="1"/>
    <w:unhideWhenUsed w:val="1"/>
    <w:qFormat w:val="1"/>
    <w:rsid w:val="00CE1B83"/>
    <w:pPr>
      <w:keepNext w:val="1"/>
      <w:keepLines w:val="1"/>
      <w:spacing w:after="40" w:before="80"/>
      <w:outlineLvl w:val="4"/>
    </w:pPr>
    <w:rPr>
      <w:rFonts w:cstheme="majorBidi" w:eastAsiaTheme="majorEastAsia"/>
      <w:color w:val="365f91" w:themeColor="accent1" w:themeShade="0000BF"/>
    </w:rPr>
  </w:style>
  <w:style w:type="paragraph" w:styleId="Heading6">
    <w:name w:val="heading 6"/>
    <w:basedOn w:val="Normal"/>
    <w:next w:val="Normal"/>
    <w:link w:val="Heading6Char"/>
    <w:uiPriority w:val="9"/>
    <w:semiHidden w:val="1"/>
    <w:unhideWhenUsed w:val="1"/>
    <w:qFormat w:val="1"/>
    <w:rsid w:val="00CE1B83"/>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CE1B83"/>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CE1B83"/>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CE1B83"/>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CE1B83"/>
    <w:rPr>
      <w:rFonts w:asciiTheme="majorHAnsi" w:cstheme="majorBidi" w:eastAsiaTheme="majorEastAsia" w:hAnsiTheme="majorHAnsi"/>
      <w:color w:val="365f91" w:themeColor="accent1" w:themeShade="0000BF"/>
      <w:sz w:val="40"/>
      <w:szCs w:val="40"/>
    </w:rPr>
  </w:style>
  <w:style w:type="character" w:styleId="Heading2Char" w:customStyle="1">
    <w:name w:val="Heading 2 Char"/>
    <w:basedOn w:val="DefaultParagraphFont"/>
    <w:link w:val="Heading2"/>
    <w:uiPriority w:val="9"/>
    <w:semiHidden w:val="1"/>
    <w:rsid w:val="00CE1B83"/>
    <w:rPr>
      <w:rFonts w:asciiTheme="majorHAnsi" w:cstheme="majorBidi" w:eastAsiaTheme="majorEastAsia" w:hAnsiTheme="majorHAnsi"/>
      <w:color w:val="365f91" w:themeColor="accent1" w:themeShade="0000BF"/>
      <w:sz w:val="32"/>
      <w:szCs w:val="32"/>
    </w:rPr>
  </w:style>
  <w:style w:type="character" w:styleId="Heading3Char" w:customStyle="1">
    <w:name w:val="Heading 3 Char"/>
    <w:basedOn w:val="DefaultParagraphFont"/>
    <w:link w:val="Heading3"/>
    <w:uiPriority w:val="9"/>
    <w:semiHidden w:val="1"/>
    <w:rsid w:val="00CE1B83"/>
    <w:rPr>
      <w:rFonts w:cstheme="majorBidi" w:eastAsiaTheme="majorEastAsia"/>
      <w:color w:val="365f91" w:themeColor="accent1" w:themeShade="0000BF"/>
      <w:sz w:val="28"/>
      <w:szCs w:val="28"/>
    </w:rPr>
  </w:style>
  <w:style w:type="character" w:styleId="Heading4Char" w:customStyle="1">
    <w:name w:val="Heading 4 Char"/>
    <w:basedOn w:val="DefaultParagraphFont"/>
    <w:link w:val="Heading4"/>
    <w:uiPriority w:val="9"/>
    <w:semiHidden w:val="1"/>
    <w:rsid w:val="00CE1B83"/>
    <w:rPr>
      <w:rFonts w:cstheme="majorBidi" w:eastAsiaTheme="majorEastAsia"/>
      <w:i w:val="1"/>
      <w:iCs w:val="1"/>
      <w:color w:val="365f91" w:themeColor="accent1" w:themeShade="0000BF"/>
    </w:rPr>
  </w:style>
  <w:style w:type="character" w:styleId="Heading5Char" w:customStyle="1">
    <w:name w:val="Heading 5 Char"/>
    <w:basedOn w:val="DefaultParagraphFont"/>
    <w:link w:val="Heading5"/>
    <w:uiPriority w:val="9"/>
    <w:semiHidden w:val="1"/>
    <w:rsid w:val="00CE1B83"/>
    <w:rPr>
      <w:rFonts w:cstheme="majorBidi" w:eastAsiaTheme="majorEastAsia"/>
      <w:color w:val="365f91" w:themeColor="accent1" w:themeShade="0000BF"/>
    </w:rPr>
  </w:style>
  <w:style w:type="character" w:styleId="Heading6Char" w:customStyle="1">
    <w:name w:val="Heading 6 Char"/>
    <w:basedOn w:val="DefaultParagraphFont"/>
    <w:link w:val="Heading6"/>
    <w:uiPriority w:val="9"/>
    <w:semiHidden w:val="1"/>
    <w:rsid w:val="00CE1B83"/>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CE1B83"/>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CE1B83"/>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CE1B83"/>
    <w:rPr>
      <w:rFonts w:cstheme="majorBidi" w:eastAsiaTheme="majorEastAsia"/>
      <w:color w:val="272727" w:themeColor="text1" w:themeTint="0000D8"/>
    </w:rPr>
  </w:style>
  <w:style w:type="paragraph" w:styleId="Title">
    <w:name w:val="Title"/>
    <w:basedOn w:val="Normal"/>
    <w:next w:val="Normal"/>
    <w:link w:val="TitleChar"/>
    <w:uiPriority w:val="10"/>
    <w:qFormat w:val="1"/>
    <w:rsid w:val="00CE1B83"/>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CE1B83"/>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CE1B83"/>
    <w:pPr>
      <w:numPr>
        <w:ilvl w:val="1"/>
      </w:numPr>
      <w:spacing w:after="160"/>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CE1B83"/>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CE1B83"/>
    <w:pPr>
      <w:spacing w:after="160" w:before="160"/>
      <w:jc w:val="center"/>
    </w:pPr>
    <w:rPr>
      <w:i w:val="1"/>
      <w:iCs w:val="1"/>
      <w:color w:val="404040" w:themeColor="text1" w:themeTint="0000BF"/>
    </w:rPr>
  </w:style>
  <w:style w:type="character" w:styleId="QuoteChar" w:customStyle="1">
    <w:name w:val="Quote Char"/>
    <w:basedOn w:val="DefaultParagraphFont"/>
    <w:link w:val="Quote"/>
    <w:uiPriority w:val="29"/>
    <w:rsid w:val="00CE1B83"/>
    <w:rPr>
      <w:i w:val="1"/>
      <w:iCs w:val="1"/>
      <w:color w:val="404040" w:themeColor="text1" w:themeTint="0000BF"/>
    </w:rPr>
  </w:style>
  <w:style w:type="paragraph" w:styleId="ListParagraph">
    <w:name w:val="List Paragraph"/>
    <w:basedOn w:val="Normal"/>
    <w:uiPriority w:val="34"/>
    <w:qFormat w:val="1"/>
    <w:rsid w:val="00CE1B83"/>
    <w:pPr>
      <w:ind w:left="720"/>
      <w:contextualSpacing w:val="1"/>
    </w:pPr>
  </w:style>
  <w:style w:type="character" w:styleId="IntenseEmphasis">
    <w:name w:val="Intense Emphasis"/>
    <w:basedOn w:val="DefaultParagraphFont"/>
    <w:uiPriority w:val="21"/>
    <w:qFormat w:val="1"/>
    <w:rsid w:val="00CE1B83"/>
    <w:rPr>
      <w:i w:val="1"/>
      <w:iCs w:val="1"/>
      <w:color w:val="365f91" w:themeColor="accent1" w:themeShade="0000BF"/>
    </w:rPr>
  </w:style>
  <w:style w:type="paragraph" w:styleId="IntenseQuote">
    <w:name w:val="Intense Quote"/>
    <w:basedOn w:val="Normal"/>
    <w:next w:val="Normal"/>
    <w:link w:val="IntenseQuoteChar"/>
    <w:uiPriority w:val="30"/>
    <w:qFormat w:val="1"/>
    <w:rsid w:val="00CE1B83"/>
    <w:pPr>
      <w:pBdr>
        <w:top w:color="365f91" w:space="10" w:sz="4" w:themeColor="accent1" w:themeShade="0000BF" w:val="single"/>
        <w:bottom w:color="365f91" w:space="10" w:sz="4" w:themeColor="accent1" w:themeShade="0000BF" w:val="single"/>
      </w:pBdr>
      <w:spacing w:after="360" w:before="360"/>
      <w:ind w:left="864" w:right="864"/>
      <w:jc w:val="center"/>
    </w:pPr>
    <w:rPr>
      <w:i w:val="1"/>
      <w:iCs w:val="1"/>
      <w:color w:val="365f91" w:themeColor="accent1" w:themeShade="0000BF"/>
    </w:rPr>
  </w:style>
  <w:style w:type="character" w:styleId="IntenseQuoteChar" w:customStyle="1">
    <w:name w:val="Intense Quote Char"/>
    <w:basedOn w:val="DefaultParagraphFont"/>
    <w:link w:val="IntenseQuote"/>
    <w:uiPriority w:val="30"/>
    <w:rsid w:val="00CE1B83"/>
    <w:rPr>
      <w:i w:val="1"/>
      <w:iCs w:val="1"/>
      <w:color w:val="365f91" w:themeColor="accent1" w:themeShade="0000BF"/>
    </w:rPr>
  </w:style>
  <w:style w:type="character" w:styleId="IntenseReference">
    <w:name w:val="Intense Reference"/>
    <w:basedOn w:val="DefaultParagraphFont"/>
    <w:uiPriority w:val="32"/>
    <w:qFormat w:val="1"/>
    <w:rsid w:val="00CE1B83"/>
    <w:rPr>
      <w:b w:val="1"/>
      <w:bCs w:val="1"/>
      <w:smallCaps w:val="1"/>
      <w:color w:val="365f91" w:themeColor="accent1" w:themeShade="0000BF"/>
      <w:spacing w:val="5"/>
    </w:rPr>
  </w:style>
  <w:style w:type="paragraph" w:styleId="Footer">
    <w:name w:val="footer"/>
    <w:basedOn w:val="Normal"/>
    <w:link w:val="FooterChar"/>
    <w:uiPriority w:val="99"/>
    <w:unhideWhenUsed w:val="1"/>
    <w:rsid w:val="00CE1B83"/>
    <w:pPr>
      <w:tabs>
        <w:tab w:val="center" w:pos="4513"/>
        <w:tab w:val="right" w:pos="9026"/>
      </w:tabs>
      <w:spacing w:after="0" w:line="240" w:lineRule="auto"/>
    </w:pPr>
  </w:style>
  <w:style w:type="character" w:styleId="FooterChar" w:customStyle="1">
    <w:name w:val="Footer Char"/>
    <w:basedOn w:val="DefaultParagraphFont"/>
    <w:link w:val="Footer"/>
    <w:uiPriority w:val="99"/>
    <w:rsid w:val="00CE1B83"/>
    <w:rPr>
      <w:rFonts w:ascii="Calibri" w:cs="Calibri" w:eastAsia="Calibri" w:hAnsi="Calibri"/>
      <w:kern w:val="0"/>
      <w:lang w:eastAsia="en-IN"/>
    </w:rPr>
  </w:style>
  <w:style w:type="character" w:styleId="Hyperlink">
    <w:name w:val="Hyperlink"/>
    <w:basedOn w:val="DefaultParagraphFont"/>
    <w:uiPriority w:val="99"/>
    <w:unhideWhenUsed w:val="1"/>
    <w:rsid w:val="00CE1B83"/>
    <w:rPr>
      <w:color w:val="0000ff" w:themeColor="hyperlink"/>
      <w:u w:val="single"/>
    </w:rPr>
  </w:style>
  <w:style w:type="paragraph" w:styleId="Subtitle">
    <w:name w:val="Subtitle"/>
    <w:basedOn w:val="Normal"/>
    <w:next w:val="Normal"/>
    <w:pPr>
      <w:spacing w:after="160" w:lineRule="auto"/>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image" Target="media/image6.png"/><Relationship Id="rId22" Type="http://schemas.openxmlformats.org/officeDocument/2006/relationships/footer" Target="footer1.xml"/><Relationship Id="rId10" Type="http://schemas.openxmlformats.org/officeDocument/2006/relationships/image" Target="media/image4.png"/><Relationship Id="rId21"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8.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hyperlink" Target="https://www.vlab.co.in/" TargetMode="External"/><Relationship Id="rId7" Type="http://schemas.openxmlformats.org/officeDocument/2006/relationships/hyperlink" Target="https://sl-coep.vlabs.ac.in/exp/temperature-sensor/simulation.html" TargetMode="External"/><Relationship Id="rId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vfx9DdaGTmzewGuXcK48Zq673A==">CgMxLjAyCGguZ2pkZ3hzMg5oLnYzMXJhZ3FncWxzZjgAciExUXhudUFXaDlFLXRfWU1XUk1NLWx5YXB2SDVudjFsUUU=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2025-02-08T07:02:00Z</dcterms:created>
  <dc:creator>Dr. V. Venkatramanan</dc:creator>
</cp:coreProperties>
</file>