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Superstore Sales – Summary Insights</w:t>
      </w:r>
    </w:p>
    <w:p>
      <w:pPr>
        <w:pStyle w:val="ListBullet"/>
      </w:pPr>
      <w:r>
        <w:t>Technology category is the highest contributor to total sales, making it the primary business-driving segment.</w:t>
      </w:r>
    </w:p>
    <w:p>
      <w:pPr>
        <w:pStyle w:val="ListBullet"/>
      </w:pPr>
      <w:r>
        <w:t>Furniture category generates significant sales but shows relatively lower profit margins compared to other categories.</w:t>
      </w:r>
    </w:p>
    <w:p>
      <w:pPr>
        <w:pStyle w:val="ListBullet"/>
      </w:pPr>
      <w:r>
        <w:t>Office Supplies maintains steady sales with more consistent and healthier profit margins.</w:t>
      </w:r>
    </w:p>
    <w:p>
      <w:pPr>
        <w:pStyle w:val="ListBullet"/>
      </w:pPr>
      <w:r>
        <w:t>The West region emerges as the top-performing region in overall sales across all segments.</w:t>
      </w:r>
    </w:p>
    <w:p>
      <w:pPr>
        <w:pStyle w:val="ListBullet"/>
      </w:pPr>
      <w:r>
        <w:t>The East region shows strong performance, especially within the Consumer segment.</w:t>
      </w:r>
    </w:p>
    <w:p>
      <w:pPr>
        <w:pStyle w:val="ListBullet"/>
      </w:pPr>
      <w:r>
        <w:t>The Central region records moderate sales but lower profitability, indicating cost or pricing challenges.</w:t>
      </w:r>
    </w:p>
    <w:p>
      <w:pPr>
        <w:pStyle w:val="ListBullet"/>
      </w:pPr>
      <w:r>
        <w:t>The South region contributes the least to total sales, highlighting potential growth opportunities.</w:t>
      </w:r>
    </w:p>
    <w:p>
      <w:pPr>
        <w:pStyle w:val="ListBullet"/>
      </w:pPr>
      <w:r>
        <w:t>The Consumer segment dominates sales across most regions, outperforming Corporate and Home Office segments.</w:t>
      </w:r>
    </w:p>
    <w:p>
      <w:pPr>
        <w:pStyle w:val="ListBullet"/>
      </w:pPr>
      <w:r>
        <w:t>Some regions achieve high sales volume but weaker profit margins, signaling operational inefficiencies.</w:t>
      </w:r>
    </w:p>
    <w:p>
      <w:pPr>
        <w:pStyle w:val="ListBullet"/>
      </w:pPr>
      <w:r>
        <w:t>Overall, category and regional analysis suggests focusing on high-margin products to improve profitability.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