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736F9" w14:textId="74EABCB7" w:rsidR="00DE5891" w:rsidRPr="008856CA" w:rsidRDefault="00DE5891" w:rsidP="006F7389">
      <w:pPr>
        <w:jc w:val="center"/>
        <w:rPr>
          <w:rFonts w:ascii="Arial" w:hAnsi="Arial" w:cs="Arial"/>
          <w:b/>
          <w:bCs/>
          <w:sz w:val="24"/>
          <w:szCs w:val="24"/>
        </w:rPr>
      </w:pPr>
      <w:r w:rsidRPr="008856CA">
        <w:rPr>
          <w:rFonts w:ascii="Arial" w:hAnsi="Arial" w:cs="Arial"/>
          <w:b/>
          <w:bCs/>
          <w:sz w:val="24"/>
          <w:szCs w:val="24"/>
        </w:rPr>
        <w:t>Evaluation of anti-lipase and anti-oxidant activities of selected medicinal plants</w:t>
      </w:r>
    </w:p>
    <w:p w14:paraId="49456CF3" w14:textId="562FCB08" w:rsidR="006F7389" w:rsidRPr="008856CA" w:rsidRDefault="006F7389" w:rsidP="006F7389">
      <w:pPr>
        <w:jc w:val="center"/>
        <w:rPr>
          <w:rFonts w:ascii="Arial" w:hAnsi="Arial" w:cs="Arial"/>
        </w:rPr>
      </w:pPr>
      <w:r w:rsidRPr="008856CA">
        <w:rPr>
          <w:rFonts w:ascii="Arial" w:hAnsi="Arial" w:cs="Arial"/>
        </w:rPr>
        <w:t>Smruti Ranjan Das</w:t>
      </w:r>
      <w:r w:rsidRPr="008856CA">
        <w:rPr>
          <w:rFonts w:ascii="Arial" w:hAnsi="Arial" w:cs="Arial"/>
          <w:vertAlign w:val="superscript"/>
        </w:rPr>
        <w:t>1</w:t>
      </w:r>
      <w:r w:rsidRPr="008856CA">
        <w:rPr>
          <w:rFonts w:ascii="Arial" w:hAnsi="Arial" w:cs="Arial"/>
        </w:rPr>
        <w:t>, Satyabrata Acharya</w:t>
      </w:r>
      <w:r w:rsidRPr="008856CA">
        <w:rPr>
          <w:rFonts w:ascii="Arial" w:hAnsi="Arial" w:cs="Arial"/>
          <w:vertAlign w:val="superscript"/>
        </w:rPr>
        <w:t>1</w:t>
      </w:r>
      <w:r w:rsidRPr="008856CA">
        <w:rPr>
          <w:rFonts w:ascii="Arial" w:hAnsi="Arial" w:cs="Arial"/>
        </w:rPr>
        <w:t>, Raghavendra AS</w:t>
      </w:r>
      <w:r w:rsidRPr="008856CA">
        <w:rPr>
          <w:rFonts w:ascii="Arial" w:hAnsi="Arial" w:cs="Arial"/>
          <w:vertAlign w:val="superscript"/>
        </w:rPr>
        <w:t>1</w:t>
      </w:r>
      <w:r w:rsidRPr="008856CA">
        <w:rPr>
          <w:rFonts w:ascii="Arial" w:hAnsi="Arial" w:cs="Arial"/>
        </w:rPr>
        <w:t>, Sarada D. Tetali</w:t>
      </w:r>
      <w:r w:rsidRPr="008856CA">
        <w:rPr>
          <w:rFonts w:ascii="Arial" w:hAnsi="Arial" w:cs="Arial"/>
          <w:vertAlign w:val="superscript"/>
        </w:rPr>
        <w:t>1*</w:t>
      </w:r>
    </w:p>
    <w:p w14:paraId="642C008B" w14:textId="7EE2EFF8" w:rsidR="006F1C20" w:rsidRPr="008856CA" w:rsidRDefault="006F7389" w:rsidP="006F7389">
      <w:pPr>
        <w:jc w:val="center"/>
        <w:rPr>
          <w:rFonts w:ascii="Arial" w:hAnsi="Arial" w:cs="Arial"/>
        </w:rPr>
      </w:pPr>
      <w:r w:rsidRPr="008856CA">
        <w:rPr>
          <w:rFonts w:ascii="Arial" w:hAnsi="Arial" w:cs="Arial"/>
          <w:vertAlign w:val="superscript"/>
        </w:rPr>
        <w:t>1</w:t>
      </w:r>
      <w:r w:rsidR="006F1C20" w:rsidRPr="008856CA">
        <w:rPr>
          <w:rFonts w:ascii="Arial" w:hAnsi="Arial" w:cs="Arial"/>
        </w:rPr>
        <w:t>Department of Plant Sciences, School of Life Sciences, University of Hyderabad</w:t>
      </w:r>
      <w:r w:rsidRPr="008856CA">
        <w:rPr>
          <w:rFonts w:ascii="Arial" w:hAnsi="Arial" w:cs="Arial"/>
        </w:rPr>
        <w:t>, Hyderabad, 5000</w:t>
      </w:r>
      <w:r w:rsidR="00236A94">
        <w:rPr>
          <w:rFonts w:ascii="Arial" w:hAnsi="Arial" w:cs="Arial"/>
        </w:rPr>
        <w:t>4</w:t>
      </w:r>
      <w:r w:rsidRPr="008856CA">
        <w:rPr>
          <w:rFonts w:ascii="Arial" w:hAnsi="Arial" w:cs="Arial"/>
        </w:rPr>
        <w:t>6, India</w:t>
      </w:r>
    </w:p>
    <w:p w14:paraId="616FF5F0" w14:textId="63282A31" w:rsidR="003A25E5" w:rsidRDefault="00DB46E6" w:rsidP="008856CA">
      <w:pPr>
        <w:jc w:val="center"/>
        <w:rPr>
          <w:rFonts w:ascii="Arial" w:hAnsi="Arial" w:cs="Arial"/>
        </w:rPr>
      </w:pPr>
      <w:hyperlink r:id="rId4" w:history="1">
        <w:r w:rsidRPr="00265557">
          <w:rPr>
            <w:rStyle w:val="Hyperlink"/>
            <w:rFonts w:ascii="Arial" w:hAnsi="Arial" w:cs="Arial"/>
            <w:vertAlign w:val="superscript"/>
          </w:rPr>
          <w:t>*</w:t>
        </w:r>
        <w:r w:rsidRPr="00265557">
          <w:rPr>
            <w:rStyle w:val="Hyperlink"/>
            <w:rFonts w:ascii="Arial" w:hAnsi="Arial" w:cs="Arial"/>
          </w:rPr>
          <w:t>stetali@uohyd.ac.in</w:t>
        </w:r>
      </w:hyperlink>
    </w:p>
    <w:p w14:paraId="1D2F99A9" w14:textId="64F878F6" w:rsidR="00DB46E6" w:rsidRPr="00DB46E6" w:rsidRDefault="00DB46E6" w:rsidP="00DB46E6">
      <w:pPr>
        <w:rPr>
          <w:rFonts w:ascii="Arial" w:hAnsi="Arial" w:cs="Arial"/>
          <w:b/>
          <w:bCs/>
        </w:rPr>
      </w:pPr>
      <w:r w:rsidRPr="00DB46E6">
        <w:rPr>
          <w:rFonts w:ascii="Arial" w:hAnsi="Arial" w:cs="Arial"/>
          <w:b/>
          <w:bCs/>
        </w:rPr>
        <w:t>Abstract:</w:t>
      </w:r>
    </w:p>
    <w:p w14:paraId="58C7E7D4" w14:textId="7315B0F5" w:rsidR="00413DAD" w:rsidRPr="00C66C00" w:rsidRDefault="00413DAD" w:rsidP="00EB66FF">
      <w:pPr>
        <w:jc w:val="both"/>
        <w:rPr>
          <w:rFonts w:ascii="Times New Roman" w:hAnsi="Times New Roman" w:cs="Times New Roman"/>
          <w:b/>
          <w:bCs/>
          <w:sz w:val="24"/>
          <w:szCs w:val="24"/>
        </w:rPr>
      </w:pPr>
      <w:r w:rsidRPr="00C66C00">
        <w:rPr>
          <w:rFonts w:ascii="Times New Roman" w:hAnsi="Times New Roman" w:cs="Times New Roman"/>
          <w:b/>
          <w:bCs/>
          <w:sz w:val="24"/>
          <w:szCs w:val="24"/>
        </w:rPr>
        <w:tab/>
      </w:r>
      <w:r w:rsidR="00EB66FF" w:rsidRPr="00C66C00">
        <w:rPr>
          <w:rFonts w:ascii="Times New Roman" w:hAnsi="Times New Roman" w:cs="Times New Roman"/>
          <w:sz w:val="24"/>
          <w:szCs w:val="24"/>
        </w:rPr>
        <w:t>The lipolysis by-products of dietary fat cause vasculitis, which is the precursor to atherosclerosis.</w:t>
      </w:r>
      <w:r w:rsidR="001D6126">
        <w:rPr>
          <w:rFonts w:ascii="Times New Roman" w:hAnsi="Times New Roman" w:cs="Times New Roman"/>
          <w:sz w:val="24"/>
          <w:szCs w:val="24"/>
        </w:rPr>
        <w:t xml:space="preserve"> </w:t>
      </w:r>
      <w:r w:rsidR="00EB66FF" w:rsidRPr="00C66C00">
        <w:rPr>
          <w:rFonts w:ascii="Times New Roman" w:hAnsi="Times New Roman" w:cs="Times New Roman"/>
          <w:sz w:val="24"/>
          <w:szCs w:val="24"/>
        </w:rPr>
        <w:t>Also, obesity is promoted by a high-fat diet, which is universally acknowledged as a serious public health issue. Treatment for obesity has included pharmacologic suppression of dietary fat breakdown and absorption. Obesity can cause major illnesses such type II diabetes, atherosclerosis, hypertension, and hyperlipidemia. Anti-obesity medications can be divided into two categories: those that limit the absorption of (i) lipids (lipase inhibitors) and (ii) carbohydrates (α-glucosidase inhibitors). Pancreatic lipase is essential for the small intestine's uptake of triglycerides because it converts lipids into free fatty acids and consequently, pancreatic lipase inhibition is regarded as a beneficial treatment approach for managing diet-induced obesity in people. Tetrahydrolipstatin is a strong inhibitor of pancreatic lipase that was derived from actinomycetes (</w:t>
      </w:r>
      <w:r w:rsidR="00EB66FF" w:rsidRPr="00C66C00">
        <w:rPr>
          <w:rFonts w:ascii="Times New Roman" w:hAnsi="Times New Roman" w:cs="Times New Roman"/>
          <w:i/>
          <w:iCs/>
          <w:sz w:val="24"/>
          <w:szCs w:val="24"/>
        </w:rPr>
        <w:t>Streptomyces toxytricini</w:t>
      </w:r>
      <w:r w:rsidR="00EB66FF" w:rsidRPr="00C66C00">
        <w:rPr>
          <w:rFonts w:ascii="Times New Roman" w:hAnsi="Times New Roman" w:cs="Times New Roman"/>
          <w:sz w:val="24"/>
          <w:szCs w:val="24"/>
        </w:rPr>
        <w:t xml:space="preserve">) and is used economically as the anti-obesity medication "Orlistat". However, orlistat causes malabsorption of fats therefore it is essential to identify alternate natural sources for lipase inhibitions. The overall objective of this study was to evaluate and identify with significant lipase inhibitory activity of the selected medicinal plants, which are known in Indian traditional medicine for their health benefits, and further characterize for their antioxidant and anti-inflammatory effects in activated human monocytic cells. </w:t>
      </w:r>
      <w:r w:rsidR="00DE5891" w:rsidRPr="004E70FC">
        <w:rPr>
          <w:rFonts w:ascii="Times New Roman" w:hAnsi="Times New Roman" w:cs="Times New Roman"/>
          <w:sz w:val="24"/>
          <w:szCs w:val="24"/>
        </w:rPr>
        <w:t xml:space="preserve">The selected medicinal plants for the present study were </w:t>
      </w:r>
      <w:r w:rsidR="00DE5891" w:rsidRPr="004E70FC">
        <w:rPr>
          <w:rFonts w:ascii="Times New Roman" w:hAnsi="Times New Roman" w:cs="Times New Roman"/>
          <w:i/>
          <w:iCs/>
          <w:sz w:val="24"/>
          <w:szCs w:val="24"/>
        </w:rPr>
        <w:t>Artemisia absinthium</w:t>
      </w:r>
      <w:r w:rsidR="00DE5891" w:rsidRPr="004E70FC">
        <w:rPr>
          <w:rFonts w:ascii="Times New Roman" w:hAnsi="Times New Roman" w:cs="Times New Roman"/>
          <w:sz w:val="24"/>
          <w:szCs w:val="24"/>
        </w:rPr>
        <w:t xml:space="preserve"> (Family- Asteraceae), </w:t>
      </w:r>
      <w:r w:rsidR="00DE5891" w:rsidRPr="004E70FC">
        <w:rPr>
          <w:rFonts w:ascii="Times New Roman" w:hAnsi="Times New Roman" w:cs="Times New Roman"/>
          <w:i/>
          <w:iCs/>
          <w:sz w:val="24"/>
          <w:szCs w:val="24"/>
        </w:rPr>
        <w:t xml:space="preserve">Artemisia vulgaris </w:t>
      </w:r>
      <w:r w:rsidR="00DE5891" w:rsidRPr="004E70FC">
        <w:rPr>
          <w:rFonts w:ascii="Times New Roman" w:hAnsi="Times New Roman" w:cs="Times New Roman"/>
          <w:sz w:val="24"/>
          <w:szCs w:val="24"/>
        </w:rPr>
        <w:t xml:space="preserve">(Family- Asteraceae), </w:t>
      </w:r>
      <w:r w:rsidR="00DE5891" w:rsidRPr="004E70FC">
        <w:rPr>
          <w:rFonts w:ascii="Times New Roman" w:hAnsi="Times New Roman" w:cs="Times New Roman"/>
          <w:i/>
          <w:iCs/>
          <w:sz w:val="24"/>
          <w:szCs w:val="24"/>
        </w:rPr>
        <w:t>Alternanthera sessilis</w:t>
      </w:r>
      <w:r w:rsidR="00DE5891" w:rsidRPr="004E70FC">
        <w:rPr>
          <w:rFonts w:ascii="Times New Roman" w:hAnsi="Times New Roman" w:cs="Times New Roman"/>
          <w:sz w:val="24"/>
          <w:szCs w:val="24"/>
        </w:rPr>
        <w:t xml:space="preserve"> (Family- Amaranthaceae), </w:t>
      </w:r>
      <w:r w:rsidR="00DE5891" w:rsidRPr="004E70FC">
        <w:rPr>
          <w:rFonts w:ascii="Times New Roman" w:hAnsi="Times New Roman" w:cs="Times New Roman"/>
          <w:i/>
          <w:iCs/>
          <w:sz w:val="24"/>
          <w:szCs w:val="24"/>
        </w:rPr>
        <w:t>Butea monosperma</w:t>
      </w:r>
      <w:r w:rsidR="00DE5891" w:rsidRPr="004E70FC">
        <w:rPr>
          <w:rFonts w:ascii="Times New Roman" w:hAnsi="Times New Roman" w:cs="Times New Roman"/>
          <w:sz w:val="24"/>
          <w:szCs w:val="24"/>
        </w:rPr>
        <w:t xml:space="preserve"> (Family- Fabaceae), </w:t>
      </w:r>
      <w:r w:rsidR="00DE5891" w:rsidRPr="004E70FC">
        <w:rPr>
          <w:rFonts w:ascii="Times New Roman" w:hAnsi="Times New Roman" w:cs="Times New Roman"/>
          <w:i/>
          <w:iCs/>
          <w:sz w:val="24"/>
          <w:szCs w:val="24"/>
        </w:rPr>
        <w:t>Bixa orellana</w:t>
      </w:r>
      <w:r w:rsidR="00DE5891" w:rsidRPr="004E70FC">
        <w:rPr>
          <w:rFonts w:ascii="Times New Roman" w:hAnsi="Times New Roman" w:cs="Times New Roman"/>
          <w:sz w:val="24"/>
          <w:szCs w:val="24"/>
        </w:rPr>
        <w:t xml:space="preserve"> (Family-Bixaceae), </w:t>
      </w:r>
      <w:r w:rsidR="00DE5891" w:rsidRPr="004E70FC">
        <w:rPr>
          <w:rFonts w:ascii="Times New Roman" w:hAnsi="Times New Roman" w:cs="Times New Roman"/>
          <w:i/>
          <w:iCs/>
          <w:sz w:val="24"/>
          <w:szCs w:val="24"/>
        </w:rPr>
        <w:t>Centratherum punctatum</w:t>
      </w:r>
      <w:r w:rsidR="00DE5891" w:rsidRPr="004E70FC">
        <w:rPr>
          <w:i/>
          <w:iCs/>
        </w:rPr>
        <w:t xml:space="preserve"> </w:t>
      </w:r>
      <w:r w:rsidR="00DE5891" w:rsidRPr="004E70FC">
        <w:rPr>
          <w:rFonts w:ascii="Times New Roman" w:hAnsi="Times New Roman" w:cs="Times New Roman"/>
        </w:rPr>
        <w:t>(</w:t>
      </w:r>
      <w:r w:rsidR="00DE5891" w:rsidRPr="004E70FC">
        <w:rPr>
          <w:rFonts w:ascii="Times New Roman" w:hAnsi="Times New Roman" w:cs="Times New Roman"/>
          <w:sz w:val="24"/>
          <w:szCs w:val="24"/>
        </w:rPr>
        <w:t>Family- Asteraceae</w:t>
      </w:r>
      <w:r w:rsidR="00DE5891" w:rsidRPr="004E70FC">
        <w:rPr>
          <w:rFonts w:ascii="Times New Roman" w:hAnsi="Times New Roman" w:cs="Times New Roman"/>
        </w:rPr>
        <w:t>),</w:t>
      </w:r>
      <w:r w:rsidR="00DE5891" w:rsidRPr="004E70FC">
        <w:rPr>
          <w:rFonts w:ascii="Times New Roman" w:hAnsi="Times New Roman" w:cs="Times New Roman"/>
          <w:sz w:val="24"/>
          <w:szCs w:val="24"/>
        </w:rPr>
        <w:t xml:space="preserve"> </w:t>
      </w:r>
      <w:r w:rsidR="00DE5891" w:rsidRPr="004E70FC">
        <w:rPr>
          <w:rFonts w:ascii="Times New Roman" w:hAnsi="Times New Roman" w:cs="Times New Roman"/>
          <w:i/>
          <w:iCs/>
          <w:sz w:val="24"/>
          <w:szCs w:val="24"/>
        </w:rPr>
        <w:t>Clitoria ternatea</w:t>
      </w:r>
      <w:r w:rsidR="00DE5891" w:rsidRPr="004E70FC">
        <w:rPr>
          <w:rFonts w:ascii="Times New Roman" w:hAnsi="Times New Roman" w:cs="Times New Roman"/>
          <w:sz w:val="24"/>
          <w:szCs w:val="24"/>
        </w:rPr>
        <w:t xml:space="preserve"> (Family- Fabaceae), </w:t>
      </w:r>
      <w:r w:rsidR="00DE5891" w:rsidRPr="004E70FC">
        <w:rPr>
          <w:rFonts w:ascii="Times New Roman" w:hAnsi="Times New Roman" w:cs="Times New Roman"/>
          <w:i/>
          <w:iCs/>
          <w:sz w:val="24"/>
          <w:szCs w:val="24"/>
        </w:rPr>
        <w:t>Kalanchoe diagramontiana</w:t>
      </w:r>
      <w:r w:rsidR="00DE5891" w:rsidRPr="004E70FC">
        <w:rPr>
          <w:rFonts w:ascii="Times New Roman" w:hAnsi="Times New Roman" w:cs="Times New Roman"/>
          <w:sz w:val="24"/>
          <w:szCs w:val="24"/>
        </w:rPr>
        <w:t xml:space="preserve"> (Family- Crassulaceae), </w:t>
      </w:r>
      <w:r w:rsidR="00DE5891" w:rsidRPr="004E70FC">
        <w:rPr>
          <w:rFonts w:ascii="Times New Roman" w:hAnsi="Times New Roman" w:cs="Times New Roman"/>
          <w:i/>
          <w:iCs/>
          <w:sz w:val="24"/>
          <w:szCs w:val="24"/>
        </w:rPr>
        <w:t>Melaleuca genistifolia</w:t>
      </w:r>
      <w:r w:rsidR="00DE5891" w:rsidRPr="004E70FC">
        <w:rPr>
          <w:rFonts w:ascii="Times New Roman" w:hAnsi="Times New Roman" w:cs="Times New Roman"/>
          <w:sz w:val="24"/>
          <w:szCs w:val="24"/>
        </w:rPr>
        <w:t xml:space="preserve"> (Family- Myrtaceae), </w:t>
      </w:r>
      <w:r w:rsidR="00DE5891" w:rsidRPr="004E70FC">
        <w:rPr>
          <w:rFonts w:ascii="Times New Roman" w:hAnsi="Times New Roman" w:cs="Times New Roman"/>
          <w:i/>
          <w:iCs/>
          <w:sz w:val="24"/>
          <w:szCs w:val="24"/>
        </w:rPr>
        <w:t>Notonia grandiflora</w:t>
      </w:r>
      <w:r w:rsidR="00DE5891" w:rsidRPr="004E70FC">
        <w:rPr>
          <w:rFonts w:ascii="Times New Roman" w:hAnsi="Times New Roman" w:cs="Times New Roman"/>
          <w:sz w:val="24"/>
          <w:szCs w:val="24"/>
        </w:rPr>
        <w:t xml:space="preserve"> (Family- Asteraceae), </w:t>
      </w:r>
      <w:r w:rsidR="00DE5891" w:rsidRPr="004E70FC">
        <w:rPr>
          <w:rFonts w:ascii="Times New Roman" w:hAnsi="Times New Roman" w:cs="Times New Roman"/>
          <w:i/>
          <w:iCs/>
          <w:sz w:val="24"/>
          <w:szCs w:val="24"/>
        </w:rPr>
        <w:t>Nelumbo nucifera</w:t>
      </w:r>
      <w:r w:rsidR="00DE5891" w:rsidRPr="004E70FC">
        <w:rPr>
          <w:rFonts w:ascii="Times New Roman" w:hAnsi="Times New Roman" w:cs="Times New Roman"/>
          <w:sz w:val="24"/>
          <w:szCs w:val="24"/>
        </w:rPr>
        <w:t xml:space="preserve"> (Family- Nelumbonaceae), </w:t>
      </w:r>
      <w:r w:rsidR="00DE5891" w:rsidRPr="004E70FC">
        <w:rPr>
          <w:rFonts w:ascii="Times New Roman" w:hAnsi="Times New Roman" w:cs="Times New Roman"/>
          <w:i/>
          <w:iCs/>
        </w:rPr>
        <w:t xml:space="preserve">Pogostemon cablin </w:t>
      </w:r>
      <w:r w:rsidR="00DE5891" w:rsidRPr="004E70FC">
        <w:rPr>
          <w:rFonts w:ascii="Times New Roman" w:hAnsi="Times New Roman" w:cs="Times New Roman"/>
        </w:rPr>
        <w:t>(Family- Lamiaceae).</w:t>
      </w:r>
      <w:r w:rsidR="00DE5891" w:rsidRPr="004E70FC">
        <w:rPr>
          <w:rFonts w:ascii="Times New Roman" w:hAnsi="Times New Roman" w:cs="Times New Roman"/>
          <w:sz w:val="24"/>
          <w:szCs w:val="24"/>
        </w:rPr>
        <w:t xml:space="preserve"> </w:t>
      </w:r>
      <w:r w:rsidR="00DE5891" w:rsidRPr="004E70FC">
        <w:rPr>
          <w:rFonts w:ascii="Times New Roman" w:hAnsi="Times New Roman" w:cs="Times New Roman"/>
          <w:i/>
          <w:iCs/>
          <w:sz w:val="24"/>
          <w:szCs w:val="24"/>
        </w:rPr>
        <w:t>Pterocarpus santalinus</w:t>
      </w:r>
      <w:r w:rsidR="00DE5891" w:rsidRPr="004E70FC">
        <w:rPr>
          <w:rFonts w:ascii="Times New Roman" w:hAnsi="Times New Roman" w:cs="Times New Roman"/>
          <w:sz w:val="24"/>
          <w:szCs w:val="24"/>
        </w:rPr>
        <w:t xml:space="preserve"> (Family- Fabaceae), </w:t>
      </w:r>
      <w:r w:rsidR="00DE5891" w:rsidRPr="004E70FC">
        <w:rPr>
          <w:rFonts w:ascii="Times New Roman" w:hAnsi="Times New Roman" w:cs="Times New Roman"/>
          <w:i/>
          <w:iCs/>
          <w:sz w:val="24"/>
          <w:szCs w:val="24"/>
        </w:rPr>
        <w:t xml:space="preserve">Syzygium aromaticum </w:t>
      </w:r>
      <w:r w:rsidR="00DE5891" w:rsidRPr="004E70FC">
        <w:rPr>
          <w:rFonts w:ascii="Times New Roman" w:hAnsi="Times New Roman" w:cs="Times New Roman"/>
          <w:sz w:val="24"/>
          <w:szCs w:val="24"/>
        </w:rPr>
        <w:t xml:space="preserve">(Family- Myrtaceae), and </w:t>
      </w:r>
      <w:r w:rsidR="00DE5891" w:rsidRPr="004E70FC">
        <w:rPr>
          <w:rFonts w:ascii="Times New Roman" w:hAnsi="Times New Roman" w:cs="Times New Roman"/>
          <w:i/>
          <w:iCs/>
          <w:sz w:val="24"/>
          <w:szCs w:val="24"/>
        </w:rPr>
        <w:t>Shorea tumbuggaia</w:t>
      </w:r>
      <w:r w:rsidR="00DE5891" w:rsidRPr="004E70FC">
        <w:rPr>
          <w:rFonts w:ascii="Times New Roman" w:hAnsi="Times New Roman" w:cs="Times New Roman"/>
          <w:sz w:val="24"/>
          <w:szCs w:val="24"/>
        </w:rPr>
        <w:t xml:space="preserve"> (Family- Dipterocarpaceae), </w:t>
      </w:r>
      <w:r w:rsidR="00DE5891" w:rsidRPr="00BD1E0E">
        <w:rPr>
          <w:rFonts w:ascii="Times New Roman" w:hAnsi="Times New Roman" w:cs="Times New Roman"/>
          <w:i/>
          <w:iCs/>
          <w:sz w:val="24"/>
          <w:szCs w:val="24"/>
        </w:rPr>
        <w:t>Tinospora</w:t>
      </w:r>
      <w:r w:rsidR="00DE5891" w:rsidRPr="004E70FC">
        <w:rPr>
          <w:rFonts w:ascii="Times New Roman" w:hAnsi="Times New Roman" w:cs="Times New Roman"/>
          <w:i/>
          <w:iCs/>
        </w:rPr>
        <w:t xml:space="preserve"> </w:t>
      </w:r>
      <w:r w:rsidR="00DE5891" w:rsidRPr="00BD1E0E">
        <w:rPr>
          <w:rFonts w:ascii="Times New Roman" w:hAnsi="Times New Roman" w:cs="Times New Roman"/>
          <w:i/>
          <w:iCs/>
          <w:sz w:val="24"/>
          <w:szCs w:val="24"/>
        </w:rPr>
        <w:t>cordifolia</w:t>
      </w:r>
      <w:r w:rsidR="00DE5891" w:rsidRPr="004E70FC">
        <w:rPr>
          <w:rFonts w:ascii="Times New Roman" w:hAnsi="Times New Roman" w:cs="Times New Roman"/>
          <w:i/>
          <w:iCs/>
        </w:rPr>
        <w:t xml:space="preserve"> </w:t>
      </w:r>
      <w:r w:rsidR="00DE5891" w:rsidRPr="004E70FC">
        <w:rPr>
          <w:rFonts w:ascii="Times New Roman" w:hAnsi="Times New Roman" w:cs="Times New Roman"/>
        </w:rPr>
        <w:t xml:space="preserve">(Family- </w:t>
      </w:r>
      <w:r w:rsidR="00DE5891" w:rsidRPr="004E70FC">
        <w:rPr>
          <w:rFonts w:ascii="Times New Roman" w:hAnsi="Times New Roman" w:cs="Times New Roman"/>
          <w:sz w:val="24"/>
          <w:szCs w:val="24"/>
        </w:rPr>
        <w:t>Menispermaceae).</w:t>
      </w:r>
      <w:r w:rsidR="00DE5891">
        <w:rPr>
          <w:rFonts w:ascii="Times New Roman" w:hAnsi="Times New Roman" w:cs="Times New Roman"/>
          <w:sz w:val="24"/>
          <w:szCs w:val="24"/>
        </w:rPr>
        <w:t xml:space="preserve"> The result of the present study revealed that the hot ethanolic extract of the dry leaf of the </w:t>
      </w:r>
      <w:r w:rsidR="00DE5891" w:rsidRPr="00DE5891">
        <w:rPr>
          <w:rFonts w:ascii="Times New Roman" w:hAnsi="Times New Roman" w:cs="Times New Roman"/>
          <w:i/>
          <w:iCs/>
          <w:sz w:val="24"/>
          <w:szCs w:val="24"/>
        </w:rPr>
        <w:t>A. vulgaris</w:t>
      </w:r>
      <w:r w:rsidR="00DE5891">
        <w:rPr>
          <w:rFonts w:ascii="Times New Roman" w:hAnsi="Times New Roman" w:cs="Times New Roman"/>
          <w:i/>
          <w:iCs/>
          <w:sz w:val="24"/>
          <w:szCs w:val="24"/>
        </w:rPr>
        <w:t xml:space="preserve"> </w:t>
      </w:r>
      <w:r w:rsidR="00DE5891" w:rsidRPr="004E70FC">
        <w:rPr>
          <w:rFonts w:ascii="Times New Roman" w:hAnsi="Times New Roman" w:cs="Times New Roman"/>
          <w:sz w:val="24"/>
          <w:szCs w:val="24"/>
        </w:rPr>
        <w:t>shown significant highest inhibitory activity among all the tested medicinal plants on lipase enzyme</w:t>
      </w:r>
      <w:r w:rsidR="00DE5891">
        <w:rPr>
          <w:rFonts w:ascii="Times New Roman" w:hAnsi="Times New Roman" w:cs="Times New Roman"/>
          <w:sz w:val="24"/>
          <w:szCs w:val="24"/>
        </w:rPr>
        <w:t xml:space="preserve">. </w:t>
      </w:r>
      <w:r w:rsidR="00404C03" w:rsidRPr="004E70FC">
        <w:rPr>
          <w:rFonts w:ascii="Times New Roman" w:hAnsi="Times New Roman" w:cs="Times New Roman"/>
          <w:sz w:val="24"/>
          <w:szCs w:val="24"/>
        </w:rPr>
        <w:t xml:space="preserve">Both hydro-alcoholic and aqueous extracts of </w:t>
      </w:r>
      <w:r w:rsidR="00DE5891" w:rsidRPr="00DE5891">
        <w:rPr>
          <w:rFonts w:ascii="Times New Roman" w:hAnsi="Times New Roman" w:cs="Times New Roman"/>
          <w:i/>
          <w:iCs/>
          <w:sz w:val="24"/>
          <w:szCs w:val="24"/>
        </w:rPr>
        <w:t>A. vulgaris</w:t>
      </w:r>
      <w:r w:rsidR="00DE5891">
        <w:rPr>
          <w:rFonts w:ascii="Times New Roman" w:hAnsi="Times New Roman" w:cs="Times New Roman"/>
          <w:i/>
          <w:iCs/>
          <w:sz w:val="24"/>
          <w:szCs w:val="24"/>
        </w:rPr>
        <w:t xml:space="preserve"> </w:t>
      </w:r>
      <w:r w:rsidR="00DE5891" w:rsidRPr="00DE5891">
        <w:rPr>
          <w:rFonts w:ascii="Times New Roman" w:hAnsi="Times New Roman" w:cs="Times New Roman"/>
          <w:sz w:val="24"/>
          <w:szCs w:val="24"/>
        </w:rPr>
        <w:t>(AVHEE and AVHWE</w:t>
      </w:r>
      <w:r w:rsidR="00DE5891">
        <w:rPr>
          <w:rFonts w:ascii="Times New Roman" w:hAnsi="Times New Roman" w:cs="Times New Roman"/>
          <w:sz w:val="24"/>
          <w:szCs w:val="24"/>
        </w:rPr>
        <w:t xml:space="preserve"> respectively</w:t>
      </w:r>
      <w:r w:rsidR="00DE5891" w:rsidRPr="00DE5891">
        <w:rPr>
          <w:rFonts w:ascii="Times New Roman" w:hAnsi="Times New Roman" w:cs="Times New Roman"/>
          <w:sz w:val="24"/>
          <w:szCs w:val="24"/>
        </w:rPr>
        <w:t>)</w:t>
      </w:r>
      <w:r w:rsidR="00DE5891" w:rsidRPr="00DE5891">
        <w:rPr>
          <w:rFonts w:ascii="Times New Roman" w:hAnsi="Times New Roman" w:cs="Times New Roman"/>
          <w:i/>
          <w:iCs/>
          <w:sz w:val="24"/>
          <w:szCs w:val="24"/>
        </w:rPr>
        <w:t xml:space="preserve"> </w:t>
      </w:r>
      <w:r w:rsidR="00404C03" w:rsidRPr="004E70FC">
        <w:rPr>
          <w:rFonts w:ascii="Times New Roman" w:hAnsi="Times New Roman" w:cs="Times New Roman"/>
          <w:sz w:val="24"/>
          <w:szCs w:val="24"/>
        </w:rPr>
        <w:t xml:space="preserve">inhibited </w:t>
      </w:r>
      <w:r w:rsidR="00404C03">
        <w:rPr>
          <w:rFonts w:ascii="Times New Roman" w:hAnsi="Times New Roman" w:cs="Times New Roman"/>
          <w:sz w:val="24"/>
          <w:szCs w:val="24"/>
        </w:rPr>
        <w:t>arachidonic acid (</w:t>
      </w:r>
      <w:r w:rsidR="00404C03" w:rsidRPr="004E70FC">
        <w:rPr>
          <w:rFonts w:ascii="Times New Roman" w:hAnsi="Times New Roman" w:cs="Times New Roman"/>
          <w:sz w:val="24"/>
          <w:szCs w:val="24"/>
        </w:rPr>
        <w:t>AA</w:t>
      </w:r>
      <w:r w:rsidR="00404C03">
        <w:rPr>
          <w:rFonts w:ascii="Times New Roman" w:hAnsi="Times New Roman" w:cs="Times New Roman"/>
          <w:sz w:val="24"/>
          <w:szCs w:val="24"/>
        </w:rPr>
        <w:t>)</w:t>
      </w:r>
      <w:r w:rsidR="00404C03" w:rsidRPr="004E70FC">
        <w:rPr>
          <w:rFonts w:ascii="Times New Roman" w:hAnsi="Times New Roman" w:cs="Times New Roman"/>
          <w:sz w:val="24"/>
          <w:szCs w:val="24"/>
        </w:rPr>
        <w:t xml:space="preserve"> induced intracellular ROS generation in THP-1 cells</w:t>
      </w:r>
      <w:r w:rsidR="00404C03">
        <w:rPr>
          <w:rFonts w:ascii="Times New Roman" w:hAnsi="Times New Roman" w:cs="Times New Roman"/>
          <w:sz w:val="24"/>
          <w:szCs w:val="24"/>
        </w:rPr>
        <w:t xml:space="preserve"> at the concentrations which did not show cytotoxicity.</w:t>
      </w:r>
    </w:p>
    <w:sectPr w:rsidR="00413DAD" w:rsidRPr="00C66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AD"/>
    <w:rsid w:val="0018392A"/>
    <w:rsid w:val="001D6126"/>
    <w:rsid w:val="00236A94"/>
    <w:rsid w:val="00252B99"/>
    <w:rsid w:val="00257A78"/>
    <w:rsid w:val="00381112"/>
    <w:rsid w:val="003A25E5"/>
    <w:rsid w:val="00404C03"/>
    <w:rsid w:val="00413DAD"/>
    <w:rsid w:val="00440B0D"/>
    <w:rsid w:val="006F1C20"/>
    <w:rsid w:val="006F7389"/>
    <w:rsid w:val="0072517B"/>
    <w:rsid w:val="007D039B"/>
    <w:rsid w:val="008856CA"/>
    <w:rsid w:val="009D477A"/>
    <w:rsid w:val="00A47080"/>
    <w:rsid w:val="00BD1E0E"/>
    <w:rsid w:val="00C66C00"/>
    <w:rsid w:val="00D32D55"/>
    <w:rsid w:val="00DB46E6"/>
    <w:rsid w:val="00DE5891"/>
    <w:rsid w:val="00EB66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BC81"/>
  <w15:chartTrackingRefBased/>
  <w15:docId w15:val="{FC03682A-A564-4C13-9A92-54F8AF7D8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46E6"/>
    <w:rPr>
      <w:color w:val="0563C1" w:themeColor="hyperlink"/>
      <w:u w:val="single"/>
    </w:rPr>
  </w:style>
  <w:style w:type="character" w:styleId="UnresolvedMention">
    <w:name w:val="Unresolved Mention"/>
    <w:basedOn w:val="DefaultParagraphFont"/>
    <w:uiPriority w:val="99"/>
    <w:semiHidden/>
    <w:unhideWhenUsed/>
    <w:rsid w:val="00DB4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tetali@uohyd.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Smruti Ranjan Das</dc:creator>
  <cp:keywords/>
  <dc:description/>
  <cp:lastModifiedBy>Smruti Ranjan Das</cp:lastModifiedBy>
  <cp:revision>25</cp:revision>
  <cp:lastPrinted>2023-01-18T07:17:00Z</cp:lastPrinted>
  <dcterms:created xsi:type="dcterms:W3CDTF">2023-01-12T16:15:00Z</dcterms:created>
  <dcterms:modified xsi:type="dcterms:W3CDTF">2023-01-18T07:19:00Z</dcterms:modified>
</cp:coreProperties>
</file>