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4C02DF" w14:textId="1C2CC701" w:rsidR="009F187D" w:rsidRDefault="004846A9" w:rsidP="00C01A57">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Detecting </w:t>
      </w:r>
      <w:r w:rsidR="00143428" w:rsidRPr="00143428">
        <w:rPr>
          <w:rFonts w:ascii="Times New Roman" w:eastAsia="Calibri" w:hAnsi="Times New Roman" w:cs="Times New Roman"/>
          <w:b/>
          <w:bCs/>
          <w:sz w:val="24"/>
          <w:szCs w:val="24"/>
        </w:rPr>
        <w:t xml:space="preserve">putative </w:t>
      </w:r>
      <w:r w:rsidR="00B16ECC">
        <w:rPr>
          <w:rFonts w:ascii="Times New Roman" w:eastAsia="Calibri" w:hAnsi="Times New Roman" w:cs="Times New Roman"/>
          <w:b/>
          <w:bCs/>
          <w:sz w:val="24"/>
          <w:szCs w:val="24"/>
        </w:rPr>
        <w:t>virulence-responsive targets</w:t>
      </w:r>
      <w:r w:rsidR="00E115D5">
        <w:rPr>
          <w:rFonts w:ascii="Times New Roman" w:eastAsia="Calibri" w:hAnsi="Times New Roman" w:cs="Times New Roman"/>
          <w:b/>
          <w:bCs/>
          <w:sz w:val="24"/>
          <w:szCs w:val="24"/>
        </w:rPr>
        <w:t xml:space="preserve"> </w:t>
      </w:r>
      <w:r w:rsidR="00B16ECC">
        <w:rPr>
          <w:rFonts w:ascii="Times New Roman" w:eastAsia="Calibri" w:hAnsi="Times New Roman" w:cs="Times New Roman"/>
          <w:b/>
          <w:bCs/>
          <w:sz w:val="24"/>
          <w:szCs w:val="24"/>
        </w:rPr>
        <w:t xml:space="preserve">contributing to </w:t>
      </w:r>
      <w:r>
        <w:rPr>
          <w:rFonts w:ascii="Times New Roman" w:eastAsia="Calibri" w:hAnsi="Times New Roman" w:cs="Times New Roman"/>
          <w:b/>
          <w:bCs/>
          <w:sz w:val="24"/>
          <w:szCs w:val="24"/>
        </w:rPr>
        <w:t xml:space="preserve">Fusarium head blight </w:t>
      </w:r>
      <w:r w:rsidR="00B16ECC">
        <w:rPr>
          <w:rFonts w:ascii="Times New Roman" w:eastAsia="Calibri" w:hAnsi="Times New Roman" w:cs="Times New Roman"/>
          <w:b/>
          <w:bCs/>
          <w:sz w:val="24"/>
          <w:szCs w:val="24"/>
        </w:rPr>
        <w:t xml:space="preserve">(FHB) </w:t>
      </w:r>
      <w:r w:rsidR="00143428" w:rsidRPr="00143428">
        <w:rPr>
          <w:rFonts w:ascii="Times New Roman" w:eastAsia="Calibri" w:hAnsi="Times New Roman" w:cs="Times New Roman"/>
          <w:b/>
          <w:bCs/>
          <w:sz w:val="24"/>
          <w:szCs w:val="24"/>
        </w:rPr>
        <w:t xml:space="preserve">susceptibility </w:t>
      </w:r>
      <w:r>
        <w:rPr>
          <w:rFonts w:ascii="Times New Roman" w:eastAsia="Calibri" w:hAnsi="Times New Roman" w:cs="Times New Roman"/>
          <w:b/>
          <w:bCs/>
          <w:sz w:val="24"/>
          <w:szCs w:val="24"/>
        </w:rPr>
        <w:t>in wheat</w:t>
      </w:r>
      <w:r w:rsidR="00B16ECC">
        <w:rPr>
          <w:rFonts w:ascii="Times New Roman" w:eastAsia="Calibri" w:hAnsi="Times New Roman" w:cs="Times New Roman"/>
          <w:b/>
          <w:bCs/>
          <w:sz w:val="24"/>
          <w:szCs w:val="24"/>
        </w:rPr>
        <w:t xml:space="preserve"> and Arabidopsis</w:t>
      </w:r>
    </w:p>
    <w:p w14:paraId="6416E5D3" w14:textId="77777777" w:rsidR="00C01A57" w:rsidRDefault="00C01A57" w:rsidP="00C01A57">
      <w:pPr>
        <w:jc w:val="center"/>
      </w:pPr>
    </w:p>
    <w:p w14:paraId="5D7BAE0F" w14:textId="4D3013CB" w:rsidR="00143428" w:rsidRPr="00143428" w:rsidRDefault="00143428" w:rsidP="00143428">
      <w:pPr>
        <w:jc w:val="center"/>
        <w:rPr>
          <w:rFonts w:ascii="Calibri" w:eastAsia="Calibri" w:hAnsi="Calibri" w:cs="Times New Roman"/>
        </w:rPr>
      </w:pPr>
      <w:proofErr w:type="spellStart"/>
      <w:r w:rsidRPr="00143428">
        <w:rPr>
          <w:rFonts w:ascii="Times New Roman" w:eastAsia="Calibri" w:hAnsi="Times New Roman" w:cs="Times New Roman"/>
          <w:bCs/>
          <w:u w:val="single"/>
        </w:rPr>
        <w:t>Hanan</w:t>
      </w:r>
      <w:proofErr w:type="spellEnd"/>
      <w:r w:rsidRPr="00143428">
        <w:rPr>
          <w:rFonts w:ascii="Times New Roman" w:eastAsia="Calibri" w:hAnsi="Times New Roman" w:cs="Times New Roman"/>
          <w:bCs/>
          <w:u w:val="single"/>
        </w:rPr>
        <w:t xml:space="preserve"> </w:t>
      </w:r>
      <w:proofErr w:type="spellStart"/>
      <w:r w:rsidRPr="00143428">
        <w:rPr>
          <w:rFonts w:ascii="Times New Roman" w:eastAsia="Calibri" w:hAnsi="Times New Roman" w:cs="Times New Roman"/>
          <w:bCs/>
          <w:u w:val="single"/>
        </w:rPr>
        <w:t>Anjum</w:t>
      </w:r>
      <w:proofErr w:type="spellEnd"/>
      <w:r w:rsidRPr="00143428">
        <w:rPr>
          <w:rFonts w:ascii="Times New Roman" w:eastAsia="Calibri" w:hAnsi="Times New Roman" w:cs="Times New Roman"/>
          <w:bCs/>
          <w:u w:val="single"/>
        </w:rPr>
        <w:t xml:space="preserve"> Bhat</w:t>
      </w:r>
      <w:r w:rsidRPr="00143428">
        <w:rPr>
          <w:rFonts w:ascii="Times New Roman" w:eastAsia="Calibri" w:hAnsi="Times New Roman" w:cs="Times New Roman"/>
          <w:u w:val="single"/>
          <w:vertAlign w:val="superscript"/>
        </w:rPr>
        <w:t>1</w:t>
      </w:r>
      <w:r w:rsidR="003C20AD">
        <w:rPr>
          <w:rFonts w:ascii="Times New Roman" w:eastAsia="Calibri" w:hAnsi="Times New Roman" w:cs="Times New Roman"/>
        </w:rPr>
        <w:t xml:space="preserve">, </w:t>
      </w:r>
      <w:proofErr w:type="spellStart"/>
      <w:r w:rsidR="003C20AD">
        <w:rPr>
          <w:rFonts w:ascii="Times New Roman" w:eastAsia="Calibri" w:hAnsi="Times New Roman" w:cs="Times New Roman"/>
        </w:rPr>
        <w:t>Katkuri</w:t>
      </w:r>
      <w:proofErr w:type="spellEnd"/>
      <w:r w:rsidR="003C20AD">
        <w:rPr>
          <w:rFonts w:ascii="Times New Roman" w:eastAsia="Calibri" w:hAnsi="Times New Roman" w:cs="Times New Roman"/>
        </w:rPr>
        <w:t xml:space="preserve"> Balakrishna</w:t>
      </w:r>
      <w:r w:rsidR="003C20AD" w:rsidRPr="003C20AD">
        <w:rPr>
          <w:rFonts w:ascii="Times New Roman" w:eastAsia="Calibri" w:hAnsi="Times New Roman" w:cs="Times New Roman"/>
          <w:vertAlign w:val="superscript"/>
        </w:rPr>
        <w:t>1</w:t>
      </w:r>
      <w:r w:rsidR="003C20AD">
        <w:rPr>
          <w:rFonts w:ascii="Times New Roman" w:eastAsia="Calibri" w:hAnsi="Times New Roman" w:cs="Times New Roman"/>
        </w:rPr>
        <w:t xml:space="preserve"> </w:t>
      </w:r>
      <w:r w:rsidRPr="00143428">
        <w:rPr>
          <w:rFonts w:ascii="Times New Roman" w:eastAsia="Calibri" w:hAnsi="Times New Roman" w:cs="Times New Roman"/>
        </w:rPr>
        <w:t>and Ragiba Makandar</w:t>
      </w:r>
      <w:r w:rsidRPr="00143428">
        <w:rPr>
          <w:rFonts w:ascii="Times New Roman" w:eastAsia="Calibri" w:hAnsi="Times New Roman" w:cs="Times New Roman"/>
          <w:vertAlign w:val="superscript"/>
        </w:rPr>
        <w:t>1</w:t>
      </w:r>
      <w:r w:rsidR="000625B8">
        <w:rPr>
          <w:rFonts w:ascii="Times New Roman" w:eastAsia="Calibri" w:hAnsi="Times New Roman" w:cs="Times New Roman"/>
          <w:vertAlign w:val="superscript"/>
        </w:rPr>
        <w:t>,</w:t>
      </w:r>
      <w:r w:rsidR="00A10BB9" w:rsidRPr="00A10BB9">
        <w:rPr>
          <w:rFonts w:ascii="Times New Roman" w:eastAsia="Calibri" w:hAnsi="Times New Roman" w:cs="Times New Roman"/>
          <w:color w:val="000000"/>
          <w:sz w:val="24"/>
          <w:szCs w:val="24"/>
        </w:rPr>
        <w:t>*</w:t>
      </w:r>
    </w:p>
    <w:p w14:paraId="6CD1708E" w14:textId="77777777" w:rsidR="00143428" w:rsidRDefault="00143428"/>
    <w:p w14:paraId="39D7E222" w14:textId="77777777" w:rsidR="00143428" w:rsidRPr="00143428" w:rsidRDefault="00143428" w:rsidP="00143428">
      <w:pPr>
        <w:ind w:left="90"/>
        <w:contextualSpacing/>
        <w:jc w:val="both"/>
        <w:rPr>
          <w:rFonts w:ascii="Times New Roman" w:eastAsia="Calibri" w:hAnsi="Times New Roman" w:cs="Times New Roman"/>
          <w:color w:val="000000"/>
          <w:sz w:val="24"/>
          <w:szCs w:val="24"/>
        </w:rPr>
      </w:pPr>
      <w:r w:rsidRPr="00143428">
        <w:rPr>
          <w:rFonts w:ascii="Times New Roman" w:eastAsia="Calibri" w:hAnsi="Times New Roman" w:cs="Times New Roman"/>
          <w:vertAlign w:val="superscript"/>
        </w:rPr>
        <w:t>1</w:t>
      </w:r>
      <w:r w:rsidRPr="00143428">
        <w:rPr>
          <w:rFonts w:ascii="Times New Roman" w:eastAsia="Calibri" w:hAnsi="Times New Roman" w:cs="Times New Roman"/>
          <w:color w:val="000000"/>
          <w:sz w:val="24"/>
          <w:szCs w:val="24"/>
        </w:rPr>
        <w:t>Department of Plant Sciences, School of Life Sciences, University of Hyderabad,</w:t>
      </w:r>
    </w:p>
    <w:p w14:paraId="2A0B1795" w14:textId="77777777" w:rsidR="00143428" w:rsidRPr="00143428" w:rsidRDefault="00143428" w:rsidP="00143428">
      <w:pPr>
        <w:ind w:left="90"/>
        <w:contextualSpacing/>
        <w:jc w:val="both"/>
        <w:rPr>
          <w:rFonts w:ascii="Times New Roman" w:eastAsia="Calibri" w:hAnsi="Times New Roman" w:cs="Times New Roman"/>
          <w:color w:val="000000"/>
          <w:sz w:val="24"/>
          <w:szCs w:val="24"/>
        </w:rPr>
      </w:pPr>
      <w:r w:rsidRPr="00143428">
        <w:rPr>
          <w:rFonts w:ascii="Times New Roman" w:eastAsia="Calibri" w:hAnsi="Times New Roman" w:cs="Times New Roman"/>
          <w:color w:val="000000"/>
          <w:sz w:val="24"/>
          <w:szCs w:val="24"/>
        </w:rPr>
        <w:t>Gachibowli, Hyderabad, Telangana-500046</w:t>
      </w:r>
    </w:p>
    <w:p w14:paraId="069471D2" w14:textId="77777777" w:rsidR="00143428" w:rsidRPr="00143428" w:rsidRDefault="00143428" w:rsidP="00143428">
      <w:pPr>
        <w:numPr>
          <w:ilvl w:val="0"/>
          <w:numId w:val="1"/>
        </w:numPr>
        <w:contextualSpacing/>
        <w:jc w:val="both"/>
        <w:rPr>
          <w:rFonts w:ascii="Times New Roman" w:eastAsia="Calibri" w:hAnsi="Times New Roman" w:cs="Times New Roman"/>
          <w:color w:val="000000"/>
          <w:sz w:val="10"/>
          <w:szCs w:val="10"/>
        </w:rPr>
      </w:pPr>
    </w:p>
    <w:p w14:paraId="179D5F61" w14:textId="1400D93D" w:rsidR="00143428" w:rsidRDefault="00A10BB9" w:rsidP="00143428">
      <w:pPr>
        <w:ind w:left="90"/>
        <w:contextualSpacing/>
        <w:jc w:val="both"/>
        <w:rPr>
          <w:rFonts w:ascii="Times New Roman" w:eastAsia="Calibri" w:hAnsi="Times New Roman" w:cs="Times New Roman"/>
          <w:color w:val="000000"/>
          <w:sz w:val="24"/>
          <w:szCs w:val="24"/>
        </w:rPr>
      </w:pPr>
      <w:r w:rsidRPr="00A10BB9">
        <w:rPr>
          <w:rFonts w:ascii="Times New Roman" w:eastAsia="Calibri" w:hAnsi="Times New Roman" w:cs="Times New Roman"/>
          <w:color w:val="000000"/>
          <w:sz w:val="24"/>
          <w:szCs w:val="24"/>
        </w:rPr>
        <w:t xml:space="preserve">*Corresponding author’s E-mail: mragiba@uohyd.ac.in  </w:t>
      </w:r>
    </w:p>
    <w:p w14:paraId="5A69B5AC" w14:textId="77777777" w:rsidR="008C7F0D" w:rsidRDefault="008C7F0D" w:rsidP="00143428">
      <w:pPr>
        <w:ind w:left="90"/>
        <w:contextualSpacing/>
        <w:jc w:val="both"/>
        <w:rPr>
          <w:rFonts w:ascii="Times New Roman" w:eastAsia="Calibri" w:hAnsi="Times New Roman" w:cs="Times New Roman"/>
          <w:color w:val="000000"/>
          <w:sz w:val="24"/>
          <w:szCs w:val="24"/>
        </w:rPr>
      </w:pPr>
    </w:p>
    <w:p w14:paraId="7F9AC06A" w14:textId="77777777" w:rsidR="00A10BB9" w:rsidRDefault="00A10BB9" w:rsidP="00143428">
      <w:pPr>
        <w:ind w:left="90"/>
        <w:contextualSpacing/>
        <w:jc w:val="both"/>
        <w:rPr>
          <w:rFonts w:ascii="Times New Roman" w:eastAsia="Calibri" w:hAnsi="Times New Roman" w:cs="Times New Roman"/>
          <w:color w:val="0563C1"/>
          <w:sz w:val="24"/>
          <w:szCs w:val="24"/>
          <w:u w:val="single"/>
        </w:rPr>
      </w:pPr>
    </w:p>
    <w:p w14:paraId="0B60D9CB" w14:textId="7CDB3B77" w:rsidR="00143428" w:rsidRPr="00143428" w:rsidRDefault="00143428" w:rsidP="008C7F0D">
      <w:pPr>
        <w:autoSpaceDE w:val="0"/>
        <w:autoSpaceDN w:val="0"/>
        <w:adjustRightInd w:val="0"/>
        <w:spacing w:after="0" w:line="360" w:lineRule="auto"/>
        <w:jc w:val="both"/>
        <w:rPr>
          <w:rFonts w:ascii="Times New Roman" w:eastAsia="Calibri" w:hAnsi="Times New Roman" w:cs="Times New Roman"/>
          <w:b/>
          <w:bCs/>
          <w:sz w:val="24"/>
          <w:szCs w:val="24"/>
        </w:rPr>
      </w:pPr>
      <w:r w:rsidRPr="00143428">
        <w:rPr>
          <w:rFonts w:ascii="Times New Roman" w:eastAsia="Calibri" w:hAnsi="Times New Roman" w:cs="Times New Roman"/>
          <w:sz w:val="24"/>
          <w:szCs w:val="24"/>
        </w:rPr>
        <w:t xml:space="preserve">Fusarium Head Blight (FHB) caused by the </w:t>
      </w:r>
      <w:proofErr w:type="spellStart"/>
      <w:r w:rsidRPr="00143428">
        <w:rPr>
          <w:rFonts w:ascii="Times New Roman" w:eastAsia="Calibri" w:hAnsi="Times New Roman" w:cs="Times New Roman"/>
          <w:sz w:val="24"/>
          <w:szCs w:val="24"/>
        </w:rPr>
        <w:t>mycotoxin</w:t>
      </w:r>
      <w:proofErr w:type="spellEnd"/>
      <w:r w:rsidRPr="00143428">
        <w:rPr>
          <w:rFonts w:ascii="Times New Roman" w:eastAsia="Calibri" w:hAnsi="Times New Roman" w:cs="Times New Roman"/>
          <w:sz w:val="24"/>
          <w:szCs w:val="24"/>
        </w:rPr>
        <w:t xml:space="preserve">-producing </w:t>
      </w:r>
      <w:proofErr w:type="spellStart"/>
      <w:r w:rsidRPr="00143428">
        <w:rPr>
          <w:rFonts w:ascii="Times New Roman" w:eastAsia="Calibri" w:hAnsi="Times New Roman" w:cs="Times New Roman"/>
          <w:sz w:val="24"/>
          <w:szCs w:val="24"/>
        </w:rPr>
        <w:t>ascomycotic</w:t>
      </w:r>
      <w:proofErr w:type="spellEnd"/>
      <w:r w:rsidRPr="00143428">
        <w:rPr>
          <w:rFonts w:ascii="Times New Roman" w:eastAsia="Calibri" w:hAnsi="Times New Roman" w:cs="Times New Roman"/>
          <w:sz w:val="24"/>
          <w:szCs w:val="24"/>
        </w:rPr>
        <w:t xml:space="preserve"> fungus, </w:t>
      </w:r>
      <w:proofErr w:type="spellStart"/>
      <w:r w:rsidRPr="00143428">
        <w:rPr>
          <w:rFonts w:ascii="Times New Roman" w:eastAsia="Calibri" w:hAnsi="Times New Roman" w:cs="Times New Roman"/>
          <w:i/>
          <w:iCs/>
          <w:sz w:val="24"/>
          <w:szCs w:val="24"/>
        </w:rPr>
        <w:t>Fusarium</w:t>
      </w:r>
      <w:proofErr w:type="spellEnd"/>
      <w:r w:rsidRPr="00143428">
        <w:rPr>
          <w:rFonts w:ascii="Times New Roman" w:eastAsia="Calibri" w:hAnsi="Times New Roman" w:cs="Times New Roman"/>
          <w:i/>
          <w:iCs/>
          <w:sz w:val="24"/>
          <w:szCs w:val="24"/>
        </w:rPr>
        <w:t xml:space="preserve"> </w:t>
      </w:r>
      <w:proofErr w:type="spellStart"/>
      <w:r w:rsidRPr="00143428">
        <w:rPr>
          <w:rFonts w:ascii="Times New Roman" w:eastAsia="Calibri" w:hAnsi="Times New Roman" w:cs="Times New Roman"/>
          <w:i/>
          <w:iCs/>
          <w:sz w:val="24"/>
          <w:szCs w:val="24"/>
        </w:rPr>
        <w:t>graminearum</w:t>
      </w:r>
      <w:proofErr w:type="spellEnd"/>
      <w:r w:rsidRPr="00143428">
        <w:rPr>
          <w:rFonts w:ascii="Times New Roman" w:eastAsia="Calibri" w:hAnsi="Times New Roman" w:cs="Times New Roman"/>
          <w:sz w:val="24"/>
          <w:szCs w:val="24"/>
        </w:rPr>
        <w:t xml:space="preserve"> (</w:t>
      </w:r>
      <w:proofErr w:type="spellStart"/>
      <w:proofErr w:type="gramStart"/>
      <w:r w:rsidRPr="00143428">
        <w:rPr>
          <w:rFonts w:ascii="Times New Roman" w:eastAsia="Calibri" w:hAnsi="Times New Roman" w:cs="Times New Roman"/>
          <w:sz w:val="24"/>
          <w:szCs w:val="24"/>
        </w:rPr>
        <w:t>Fg</w:t>
      </w:r>
      <w:proofErr w:type="spellEnd"/>
      <w:proofErr w:type="gramEnd"/>
      <w:r w:rsidRPr="00143428">
        <w:rPr>
          <w:rFonts w:ascii="Times New Roman" w:eastAsia="Calibri" w:hAnsi="Times New Roman" w:cs="Times New Roman"/>
          <w:sz w:val="24"/>
          <w:szCs w:val="24"/>
        </w:rPr>
        <w:t xml:space="preserve">), is a major catastrophic disease of wheat and other small grain cereals. Till date, the research work carried, has been focussed at identifying resistance (R) genes to develop more resistant genotypes. Studies analyzing host factors involved in susceptibility mechanism though carried in other fungal pathogens, have been limited against </w:t>
      </w:r>
      <w:proofErr w:type="spellStart"/>
      <w:r w:rsidRPr="00143428">
        <w:rPr>
          <w:rFonts w:ascii="Times New Roman" w:eastAsia="Calibri" w:hAnsi="Times New Roman" w:cs="Times New Roman"/>
          <w:i/>
          <w:iCs/>
          <w:sz w:val="24"/>
          <w:szCs w:val="24"/>
        </w:rPr>
        <w:t>Fusarium</w:t>
      </w:r>
      <w:proofErr w:type="spellEnd"/>
      <w:r w:rsidRPr="00143428">
        <w:rPr>
          <w:rFonts w:ascii="Times New Roman" w:eastAsia="Calibri" w:hAnsi="Times New Roman" w:cs="Times New Roman"/>
          <w:i/>
          <w:iCs/>
          <w:sz w:val="24"/>
          <w:szCs w:val="24"/>
        </w:rPr>
        <w:t xml:space="preserve"> </w:t>
      </w:r>
      <w:proofErr w:type="spellStart"/>
      <w:r w:rsidRPr="00143428">
        <w:rPr>
          <w:rFonts w:ascii="Times New Roman" w:eastAsia="Calibri" w:hAnsi="Times New Roman" w:cs="Times New Roman"/>
          <w:i/>
          <w:iCs/>
          <w:sz w:val="24"/>
          <w:szCs w:val="24"/>
        </w:rPr>
        <w:t>graminearum</w:t>
      </w:r>
      <w:proofErr w:type="spellEnd"/>
      <w:r w:rsidRPr="00143428">
        <w:rPr>
          <w:rFonts w:ascii="Times New Roman" w:eastAsia="Calibri" w:hAnsi="Times New Roman" w:cs="Times New Roman"/>
          <w:sz w:val="24"/>
          <w:szCs w:val="24"/>
        </w:rPr>
        <w:t xml:space="preserve"> in wheat. To bridge the gap in the research, the studies are carried based on the hypothesis that host factors which may function as negative </w:t>
      </w:r>
      <w:proofErr w:type="spellStart"/>
      <w:r w:rsidRPr="00143428">
        <w:rPr>
          <w:rFonts w:ascii="Times New Roman" w:eastAsia="Calibri" w:hAnsi="Times New Roman" w:cs="Times New Roman"/>
          <w:sz w:val="24"/>
          <w:szCs w:val="24"/>
        </w:rPr>
        <w:t>defense</w:t>
      </w:r>
      <w:proofErr w:type="spellEnd"/>
      <w:r w:rsidRPr="00143428">
        <w:rPr>
          <w:rFonts w:ascii="Times New Roman" w:eastAsia="Calibri" w:hAnsi="Times New Roman" w:cs="Times New Roman"/>
          <w:sz w:val="24"/>
          <w:szCs w:val="24"/>
        </w:rPr>
        <w:t xml:space="preserve"> regulators might be contributing to susceptibility towards FHB in wheat. </w:t>
      </w:r>
      <w:r w:rsidR="003C20AD" w:rsidRPr="00143428">
        <w:rPr>
          <w:rFonts w:ascii="Times New Roman" w:eastAsia="Calibri" w:hAnsi="Times New Roman" w:cs="Times New Roman"/>
          <w:color w:val="000000"/>
          <w:sz w:val="24"/>
          <w:szCs w:val="24"/>
        </w:rPr>
        <w:t xml:space="preserve">Analyzing the next generation sequencing data from wheat and </w:t>
      </w:r>
      <w:proofErr w:type="spellStart"/>
      <w:r w:rsidR="003C20AD" w:rsidRPr="00143428">
        <w:rPr>
          <w:rFonts w:ascii="Times New Roman" w:eastAsia="Calibri" w:hAnsi="Times New Roman" w:cs="Times New Roman"/>
          <w:i/>
          <w:iCs/>
          <w:color w:val="000000"/>
          <w:sz w:val="24"/>
          <w:szCs w:val="24"/>
        </w:rPr>
        <w:t>Fusarium</w:t>
      </w:r>
      <w:proofErr w:type="spellEnd"/>
      <w:r w:rsidR="003C20AD" w:rsidRPr="00143428">
        <w:rPr>
          <w:rFonts w:ascii="Times New Roman" w:eastAsia="Calibri" w:hAnsi="Times New Roman" w:cs="Times New Roman"/>
          <w:i/>
          <w:iCs/>
          <w:color w:val="000000"/>
          <w:sz w:val="24"/>
          <w:szCs w:val="24"/>
        </w:rPr>
        <w:t xml:space="preserve"> </w:t>
      </w:r>
      <w:proofErr w:type="spellStart"/>
      <w:r w:rsidR="003C20AD" w:rsidRPr="00143428">
        <w:rPr>
          <w:rFonts w:ascii="Times New Roman" w:eastAsia="Calibri" w:hAnsi="Times New Roman" w:cs="Times New Roman"/>
          <w:i/>
          <w:iCs/>
          <w:color w:val="000000"/>
          <w:sz w:val="24"/>
          <w:szCs w:val="24"/>
        </w:rPr>
        <w:t>graminearum</w:t>
      </w:r>
      <w:proofErr w:type="spellEnd"/>
      <w:r w:rsidR="003C20AD" w:rsidRPr="00143428">
        <w:rPr>
          <w:rFonts w:ascii="Times New Roman" w:eastAsia="Calibri" w:hAnsi="Times New Roman" w:cs="Times New Roman"/>
          <w:color w:val="000000"/>
          <w:sz w:val="24"/>
          <w:szCs w:val="24"/>
        </w:rPr>
        <w:t xml:space="preserve"> interaction available in public domain led to the detection of putative transcription factors related to JA, GA, ABA signalling. </w:t>
      </w:r>
      <w:r w:rsidR="003C20AD">
        <w:rPr>
          <w:rFonts w:ascii="Times New Roman" w:eastAsia="Calibri" w:hAnsi="Times New Roman" w:cs="Times New Roman"/>
          <w:color w:val="000000"/>
          <w:sz w:val="24"/>
          <w:szCs w:val="24"/>
        </w:rPr>
        <w:t xml:space="preserve">In addition, </w:t>
      </w:r>
      <w:r w:rsidRPr="00143428">
        <w:rPr>
          <w:rFonts w:ascii="Times New Roman" w:eastAsia="Calibri" w:hAnsi="Times New Roman" w:cs="Times New Roman"/>
          <w:sz w:val="24"/>
          <w:szCs w:val="24"/>
        </w:rPr>
        <w:t xml:space="preserve">study is </w:t>
      </w:r>
      <w:r w:rsidR="003C20AD">
        <w:rPr>
          <w:rFonts w:ascii="Times New Roman" w:eastAsia="Calibri" w:hAnsi="Times New Roman" w:cs="Times New Roman"/>
          <w:sz w:val="24"/>
          <w:szCs w:val="24"/>
        </w:rPr>
        <w:t xml:space="preserve">also </w:t>
      </w:r>
      <w:r w:rsidRPr="00143428">
        <w:rPr>
          <w:rFonts w:ascii="Times New Roman" w:eastAsia="Calibri" w:hAnsi="Times New Roman" w:cs="Times New Roman"/>
          <w:sz w:val="24"/>
          <w:szCs w:val="24"/>
        </w:rPr>
        <w:t xml:space="preserve">aimed at analysing such putative host factors contributing to FHB susceptibility </w:t>
      </w:r>
      <w:bookmarkStart w:id="0" w:name="_Hlk124519381"/>
      <w:r w:rsidRPr="00143428">
        <w:rPr>
          <w:rFonts w:ascii="Times New Roman" w:eastAsia="Calibri" w:hAnsi="Times New Roman" w:cs="Times New Roman"/>
          <w:sz w:val="24"/>
          <w:szCs w:val="24"/>
        </w:rPr>
        <w:t>through</w:t>
      </w:r>
      <w:r w:rsidRPr="00143428">
        <w:rPr>
          <w:rFonts w:ascii="Times New Roman" w:eastAsia="Calibri" w:hAnsi="Times New Roman" w:cs="Times New Roman"/>
          <w:color w:val="000000"/>
          <w:sz w:val="24"/>
          <w:szCs w:val="24"/>
        </w:rPr>
        <w:t xml:space="preserve"> functional genom</w:t>
      </w:r>
      <w:r w:rsidR="003C20AD">
        <w:rPr>
          <w:rFonts w:ascii="Times New Roman" w:eastAsia="Calibri" w:hAnsi="Times New Roman" w:cs="Times New Roman"/>
          <w:color w:val="000000"/>
          <w:sz w:val="24"/>
          <w:szCs w:val="24"/>
        </w:rPr>
        <w:t>ic</w:t>
      </w:r>
      <w:r w:rsidRPr="00143428">
        <w:rPr>
          <w:rFonts w:ascii="Times New Roman" w:eastAsia="Calibri" w:hAnsi="Times New Roman" w:cs="Times New Roman"/>
          <w:color w:val="000000"/>
          <w:sz w:val="24"/>
          <w:szCs w:val="24"/>
        </w:rPr>
        <w:t xml:space="preserve"> studies </w:t>
      </w:r>
      <w:r w:rsidR="00A22CB5">
        <w:rPr>
          <w:rFonts w:ascii="Times New Roman" w:eastAsia="Calibri" w:hAnsi="Times New Roman" w:cs="Times New Roman"/>
          <w:color w:val="000000"/>
          <w:sz w:val="24"/>
          <w:szCs w:val="24"/>
        </w:rPr>
        <w:t>involving gene expression and metabolite profiling</w:t>
      </w:r>
      <w:bookmarkEnd w:id="0"/>
      <w:r w:rsidR="00A22CB5">
        <w:rPr>
          <w:rFonts w:ascii="Times New Roman" w:eastAsia="Calibri" w:hAnsi="Times New Roman" w:cs="Times New Roman"/>
          <w:color w:val="000000"/>
          <w:sz w:val="24"/>
          <w:szCs w:val="24"/>
        </w:rPr>
        <w:t xml:space="preserve"> </w:t>
      </w:r>
      <w:r w:rsidRPr="00143428">
        <w:rPr>
          <w:rFonts w:ascii="Times New Roman" w:eastAsia="Calibri" w:hAnsi="Times New Roman" w:cs="Times New Roman"/>
          <w:color w:val="000000"/>
          <w:sz w:val="24"/>
          <w:szCs w:val="24"/>
        </w:rPr>
        <w:t xml:space="preserve">in </w:t>
      </w:r>
      <w:r w:rsidR="00A22CB5">
        <w:rPr>
          <w:rFonts w:ascii="Times New Roman" w:eastAsia="Calibri" w:hAnsi="Times New Roman" w:cs="Times New Roman"/>
          <w:color w:val="000000"/>
          <w:sz w:val="24"/>
          <w:szCs w:val="24"/>
        </w:rPr>
        <w:t xml:space="preserve">the </w:t>
      </w:r>
      <w:proofErr w:type="spellStart"/>
      <w:r w:rsidR="00A22CB5" w:rsidRPr="00A22CB5">
        <w:rPr>
          <w:rFonts w:ascii="Times New Roman" w:eastAsia="Calibri" w:hAnsi="Times New Roman" w:cs="Times New Roman"/>
          <w:i/>
          <w:color w:val="000000"/>
          <w:sz w:val="24"/>
          <w:szCs w:val="24"/>
        </w:rPr>
        <w:t>Fusarium</w:t>
      </w:r>
      <w:proofErr w:type="spellEnd"/>
      <w:r w:rsidR="00A22CB5" w:rsidRPr="00A22CB5">
        <w:rPr>
          <w:rFonts w:ascii="Times New Roman" w:eastAsia="Calibri" w:hAnsi="Times New Roman" w:cs="Times New Roman"/>
          <w:i/>
          <w:color w:val="000000"/>
          <w:sz w:val="24"/>
          <w:szCs w:val="24"/>
        </w:rPr>
        <w:t xml:space="preserve"> </w:t>
      </w:r>
      <w:proofErr w:type="spellStart"/>
      <w:r w:rsidR="00A22CB5" w:rsidRPr="00A22CB5">
        <w:rPr>
          <w:rFonts w:ascii="Times New Roman" w:eastAsia="Calibri" w:hAnsi="Times New Roman" w:cs="Times New Roman"/>
          <w:i/>
          <w:color w:val="000000"/>
          <w:sz w:val="24"/>
          <w:szCs w:val="24"/>
        </w:rPr>
        <w:t>graminearum</w:t>
      </w:r>
      <w:proofErr w:type="spellEnd"/>
      <w:r w:rsidR="00876908">
        <w:rPr>
          <w:rFonts w:ascii="Times New Roman" w:eastAsia="Calibri" w:hAnsi="Times New Roman" w:cs="Times New Roman"/>
          <w:color w:val="000000"/>
          <w:sz w:val="24"/>
          <w:szCs w:val="24"/>
        </w:rPr>
        <w:t xml:space="preserve"> </w:t>
      </w:r>
      <w:r w:rsidR="00A22CB5">
        <w:rPr>
          <w:rFonts w:ascii="Times New Roman" w:eastAsia="Calibri" w:hAnsi="Times New Roman" w:cs="Times New Roman"/>
          <w:color w:val="000000"/>
          <w:sz w:val="24"/>
          <w:szCs w:val="24"/>
        </w:rPr>
        <w:t>–</w:t>
      </w:r>
      <w:r w:rsidR="00876908">
        <w:rPr>
          <w:rFonts w:ascii="Times New Roman" w:eastAsia="Calibri" w:hAnsi="Times New Roman" w:cs="Times New Roman"/>
          <w:color w:val="000000"/>
          <w:sz w:val="24"/>
          <w:szCs w:val="24"/>
        </w:rPr>
        <w:t xml:space="preserve"> </w:t>
      </w:r>
      <w:r w:rsidR="00A22CB5">
        <w:rPr>
          <w:rFonts w:ascii="Times New Roman" w:eastAsia="Calibri" w:hAnsi="Times New Roman" w:cs="Times New Roman"/>
          <w:color w:val="000000"/>
          <w:sz w:val="24"/>
          <w:szCs w:val="24"/>
        </w:rPr>
        <w:t xml:space="preserve">Arabidopsis </w:t>
      </w:r>
      <w:proofErr w:type="spellStart"/>
      <w:r w:rsidR="00A22CB5">
        <w:rPr>
          <w:rFonts w:ascii="Times New Roman" w:eastAsia="Calibri" w:hAnsi="Times New Roman" w:cs="Times New Roman"/>
          <w:color w:val="000000"/>
          <w:sz w:val="24"/>
          <w:szCs w:val="24"/>
        </w:rPr>
        <w:t>pathosystem</w:t>
      </w:r>
      <w:proofErr w:type="spellEnd"/>
      <w:r w:rsidR="00A22CB5">
        <w:rPr>
          <w:rFonts w:ascii="Times New Roman" w:eastAsia="Calibri" w:hAnsi="Times New Roman" w:cs="Times New Roman"/>
          <w:color w:val="000000"/>
          <w:sz w:val="24"/>
          <w:szCs w:val="24"/>
        </w:rPr>
        <w:t xml:space="preserve">. </w:t>
      </w:r>
      <w:bookmarkStart w:id="1" w:name="_Hlk124520809"/>
      <w:r w:rsidR="00A22CB5">
        <w:rPr>
          <w:rFonts w:ascii="Times New Roman" w:eastAsia="Calibri" w:hAnsi="Times New Roman" w:cs="Times New Roman"/>
          <w:color w:val="000000"/>
          <w:sz w:val="24"/>
          <w:szCs w:val="24"/>
        </w:rPr>
        <w:t>Th</w:t>
      </w:r>
      <w:r w:rsidR="003C20AD">
        <w:rPr>
          <w:rFonts w:ascii="Times New Roman" w:eastAsia="Calibri" w:hAnsi="Times New Roman" w:cs="Times New Roman"/>
          <w:color w:val="000000"/>
          <w:sz w:val="24"/>
          <w:szCs w:val="24"/>
        </w:rPr>
        <w:t>e</w:t>
      </w:r>
      <w:r w:rsidR="00876908">
        <w:rPr>
          <w:rFonts w:ascii="Times New Roman" w:eastAsia="Calibri" w:hAnsi="Times New Roman" w:cs="Times New Roman"/>
          <w:color w:val="000000"/>
          <w:sz w:val="24"/>
          <w:szCs w:val="24"/>
        </w:rPr>
        <w:t>s</w:t>
      </w:r>
      <w:r w:rsidR="00A22CB5">
        <w:rPr>
          <w:rFonts w:ascii="Times New Roman" w:eastAsia="Calibri" w:hAnsi="Times New Roman" w:cs="Times New Roman"/>
          <w:color w:val="000000"/>
          <w:sz w:val="24"/>
          <w:szCs w:val="24"/>
        </w:rPr>
        <w:t>e studies will be confirmed further using highly</w:t>
      </w:r>
      <w:r w:rsidRPr="00143428">
        <w:rPr>
          <w:rFonts w:ascii="Times New Roman" w:eastAsia="Calibri" w:hAnsi="Times New Roman" w:cs="Times New Roman"/>
          <w:color w:val="000000"/>
          <w:sz w:val="24"/>
          <w:szCs w:val="24"/>
        </w:rPr>
        <w:t xml:space="preserve"> resistant and</w:t>
      </w:r>
      <w:r w:rsidR="00A22CB5">
        <w:rPr>
          <w:rFonts w:ascii="Times New Roman" w:eastAsia="Calibri" w:hAnsi="Times New Roman" w:cs="Times New Roman"/>
          <w:color w:val="000000"/>
          <w:sz w:val="24"/>
          <w:szCs w:val="24"/>
        </w:rPr>
        <w:t xml:space="preserve"> susceptible cultivars of wheat.</w:t>
      </w:r>
      <w:r w:rsidRPr="00143428">
        <w:rPr>
          <w:rFonts w:ascii="Times New Roman" w:eastAsia="Calibri" w:hAnsi="Times New Roman" w:cs="Times New Roman"/>
          <w:color w:val="000000"/>
          <w:sz w:val="24"/>
          <w:szCs w:val="24"/>
        </w:rPr>
        <w:t xml:space="preserve"> </w:t>
      </w:r>
      <w:bookmarkEnd w:id="1"/>
    </w:p>
    <w:p w14:paraId="1D8FF426" w14:textId="77777777" w:rsidR="00143428" w:rsidRPr="00143428" w:rsidRDefault="00143428" w:rsidP="008C7F0D">
      <w:pPr>
        <w:spacing w:line="360" w:lineRule="auto"/>
        <w:ind w:left="90"/>
        <w:contextualSpacing/>
        <w:jc w:val="both"/>
        <w:rPr>
          <w:rFonts w:ascii="Times New Roman" w:eastAsia="Calibri" w:hAnsi="Times New Roman" w:cs="Times New Roman"/>
          <w:color w:val="000000"/>
          <w:sz w:val="24"/>
          <w:szCs w:val="24"/>
        </w:rPr>
      </w:pPr>
    </w:p>
    <w:p w14:paraId="24F0AB29" w14:textId="77777777" w:rsidR="004A77C7" w:rsidRPr="004A77C7" w:rsidRDefault="004A77C7" w:rsidP="004A77C7">
      <w:pPr>
        <w:rPr>
          <w:rFonts w:ascii="Times New Roman" w:eastAsia="Calibri" w:hAnsi="Times New Roman" w:cs="Times New Roman"/>
          <w:bCs/>
          <w:sz w:val="24"/>
          <w:szCs w:val="24"/>
        </w:rPr>
      </w:pPr>
      <w:r w:rsidRPr="004A77C7">
        <w:rPr>
          <w:rFonts w:ascii="Times New Roman" w:eastAsia="Calibri" w:hAnsi="Times New Roman" w:cs="Times New Roman"/>
          <w:b/>
          <w:bCs/>
          <w:sz w:val="24"/>
          <w:szCs w:val="24"/>
        </w:rPr>
        <w:t xml:space="preserve">Key words: </w:t>
      </w:r>
      <w:proofErr w:type="spellStart"/>
      <w:r w:rsidRPr="004A77C7">
        <w:rPr>
          <w:rFonts w:ascii="Times New Roman" w:eastAsia="Calibri" w:hAnsi="Times New Roman" w:cs="Times New Roman"/>
          <w:bCs/>
          <w:i/>
          <w:sz w:val="24"/>
          <w:szCs w:val="24"/>
        </w:rPr>
        <w:t>Fusarium</w:t>
      </w:r>
      <w:proofErr w:type="spellEnd"/>
      <w:r w:rsidRPr="004A77C7">
        <w:rPr>
          <w:rFonts w:ascii="Times New Roman" w:eastAsia="Calibri" w:hAnsi="Times New Roman" w:cs="Times New Roman"/>
          <w:bCs/>
          <w:i/>
          <w:sz w:val="24"/>
          <w:szCs w:val="24"/>
        </w:rPr>
        <w:t xml:space="preserve"> </w:t>
      </w:r>
      <w:proofErr w:type="spellStart"/>
      <w:r w:rsidRPr="004A77C7">
        <w:rPr>
          <w:rFonts w:ascii="Times New Roman" w:eastAsia="Calibri" w:hAnsi="Times New Roman" w:cs="Times New Roman"/>
          <w:bCs/>
          <w:i/>
          <w:sz w:val="24"/>
          <w:szCs w:val="24"/>
        </w:rPr>
        <w:t>graminearum</w:t>
      </w:r>
      <w:proofErr w:type="spellEnd"/>
      <w:r w:rsidRPr="004A77C7">
        <w:rPr>
          <w:rFonts w:ascii="Times New Roman" w:eastAsia="Calibri" w:hAnsi="Times New Roman" w:cs="Times New Roman"/>
          <w:bCs/>
          <w:sz w:val="24"/>
          <w:szCs w:val="24"/>
        </w:rPr>
        <w:t>, wheat, Arabidopsis, Host contributing factors, susceptibility, virulence</w:t>
      </w:r>
    </w:p>
    <w:p w14:paraId="36962082" w14:textId="77777777" w:rsidR="00143428" w:rsidRDefault="00143428" w:rsidP="008C7F0D">
      <w:pPr>
        <w:spacing w:line="360" w:lineRule="auto"/>
      </w:pPr>
      <w:bookmarkStart w:id="2" w:name="_GoBack"/>
      <w:bookmarkEnd w:id="2"/>
    </w:p>
    <w:sectPr w:rsidR="00143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0456AE"/>
    <w:multiLevelType w:val="hybridMultilevel"/>
    <w:tmpl w:val="EA4286D2"/>
    <w:lvl w:ilvl="0" w:tplc="4098825E">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428"/>
    <w:rsid w:val="000625B8"/>
    <w:rsid w:val="00143428"/>
    <w:rsid w:val="003C20AD"/>
    <w:rsid w:val="004846A9"/>
    <w:rsid w:val="004A77C7"/>
    <w:rsid w:val="00754F1B"/>
    <w:rsid w:val="00876908"/>
    <w:rsid w:val="008C7F0D"/>
    <w:rsid w:val="009F187D"/>
    <w:rsid w:val="00A10BB9"/>
    <w:rsid w:val="00A22CB5"/>
    <w:rsid w:val="00B16ECC"/>
    <w:rsid w:val="00C01A57"/>
    <w:rsid w:val="00DE44E3"/>
    <w:rsid w:val="00E11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3882"/>
  <w15:chartTrackingRefBased/>
  <w15:docId w15:val="{9FB2D889-6896-484B-8B6F-97F1F7DAC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4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2023-01-14T20:53:00Z</dcterms:created>
  <dcterms:modified xsi:type="dcterms:W3CDTF">2023-01-14T20:57:00Z</dcterms:modified>
</cp:coreProperties>
</file>