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93ACD" w14:textId="77777777" w:rsidR="00157935" w:rsidRDefault="00157935" w:rsidP="00157935">
      <w:pPr>
        <w:spacing w:line="240" w:lineRule="auto"/>
        <w:jc w:val="both"/>
        <w:rPr>
          <w:rFonts w:ascii="Arial" w:eastAsia="Arial Unicode MS" w:hAnsi="Arial" w:cs="Arial"/>
        </w:rPr>
      </w:pPr>
    </w:p>
    <w:p w14:paraId="7A74F3B6" w14:textId="62BA43CF" w:rsidR="006854CF" w:rsidRDefault="00157935" w:rsidP="00E05C04">
      <w:pPr>
        <w:spacing w:line="276" w:lineRule="auto"/>
        <w:jc w:val="center"/>
        <w:rPr>
          <w:rFonts w:ascii="Arial" w:hAnsi="Arial" w:cs="Arial"/>
          <w:b/>
          <w:bCs/>
          <w:i/>
          <w:iCs/>
          <w:color w:val="222222"/>
          <w:sz w:val="24"/>
          <w:szCs w:val="24"/>
          <w:shd w:val="clear" w:color="auto" w:fill="FFFFFF"/>
        </w:rPr>
      </w:pPr>
      <w:r w:rsidRPr="00491F8E">
        <w:rPr>
          <w:rFonts w:ascii="Arial" w:hAnsi="Arial" w:cs="Arial"/>
          <w:b/>
          <w:bCs/>
          <w:color w:val="222222"/>
          <w:sz w:val="24"/>
          <w:szCs w:val="24"/>
          <w:shd w:val="clear" w:color="auto" w:fill="FFFFFF"/>
        </w:rPr>
        <w:t>The potential role of </w:t>
      </w:r>
      <w:r w:rsidRPr="00491F8E">
        <w:rPr>
          <w:rFonts w:ascii="Arial" w:hAnsi="Arial" w:cs="Arial"/>
          <w:b/>
          <w:bCs/>
          <w:i/>
          <w:iCs/>
          <w:color w:val="222222"/>
          <w:sz w:val="24"/>
          <w:szCs w:val="24"/>
          <w:shd w:val="clear" w:color="auto" w:fill="FFFFFF"/>
        </w:rPr>
        <w:t>Piper nigrum</w:t>
      </w:r>
      <w:r w:rsidRPr="00491F8E">
        <w:rPr>
          <w:rFonts w:ascii="Arial" w:hAnsi="Arial" w:cs="Arial"/>
          <w:b/>
          <w:bCs/>
          <w:color w:val="222222"/>
          <w:sz w:val="24"/>
          <w:szCs w:val="24"/>
          <w:shd w:val="clear" w:color="auto" w:fill="FFFFFF"/>
        </w:rPr>
        <w:t> </w:t>
      </w:r>
      <w:r w:rsidR="007B2C31">
        <w:rPr>
          <w:rFonts w:ascii="Arial" w:hAnsi="Arial" w:cs="Arial"/>
          <w:b/>
          <w:bCs/>
          <w:color w:val="222222"/>
          <w:sz w:val="24"/>
          <w:szCs w:val="24"/>
          <w:shd w:val="clear" w:color="auto" w:fill="FFFFFF"/>
        </w:rPr>
        <w:t xml:space="preserve">L. </w:t>
      </w:r>
      <w:r w:rsidRPr="00491F8E">
        <w:rPr>
          <w:rFonts w:ascii="Arial" w:hAnsi="Arial" w:cs="Arial"/>
          <w:b/>
          <w:bCs/>
          <w:color w:val="222222"/>
          <w:sz w:val="24"/>
          <w:szCs w:val="24"/>
          <w:shd w:val="clear" w:color="auto" w:fill="FFFFFF"/>
        </w:rPr>
        <w:t>Receptor-Like Kinases</w:t>
      </w:r>
      <w:r w:rsidR="007B0D84">
        <w:rPr>
          <w:rFonts w:ascii="Arial" w:hAnsi="Arial" w:cs="Arial"/>
          <w:b/>
          <w:bCs/>
          <w:color w:val="222222"/>
          <w:sz w:val="24"/>
          <w:szCs w:val="24"/>
          <w:shd w:val="clear" w:color="auto" w:fill="FFFFFF"/>
        </w:rPr>
        <w:t xml:space="preserve"> </w:t>
      </w:r>
      <w:r w:rsidRPr="00491F8E">
        <w:rPr>
          <w:rFonts w:ascii="Arial" w:hAnsi="Arial" w:cs="Arial"/>
          <w:b/>
          <w:bCs/>
          <w:color w:val="222222"/>
          <w:sz w:val="24"/>
          <w:szCs w:val="24"/>
          <w:shd w:val="clear" w:color="auto" w:fill="FFFFFF"/>
        </w:rPr>
        <w:t>(RLKs) proteins in</w:t>
      </w:r>
      <w:r w:rsidRPr="00491F8E">
        <w:rPr>
          <w:rFonts w:ascii="Arial" w:hAnsi="Arial" w:cs="Arial"/>
          <w:b/>
          <w:bCs/>
          <w:color w:val="222222"/>
          <w:sz w:val="24"/>
          <w:szCs w:val="24"/>
          <w:shd w:val="clear" w:color="auto" w:fill="FFFFFF"/>
          <w:lang w:val="en-US"/>
        </w:rPr>
        <w:t xml:space="preserve"> fine-tuning host immunity </w:t>
      </w:r>
      <w:r w:rsidRPr="00491F8E">
        <w:rPr>
          <w:rFonts w:ascii="Arial" w:hAnsi="Arial" w:cs="Arial"/>
          <w:b/>
          <w:bCs/>
          <w:color w:val="222222"/>
          <w:sz w:val="24"/>
          <w:szCs w:val="24"/>
          <w:shd w:val="clear" w:color="auto" w:fill="FFFFFF"/>
        </w:rPr>
        <w:t>to the ‘foot-rot’ causing oomycete pathogen </w:t>
      </w:r>
      <w:r w:rsidRPr="00491F8E">
        <w:rPr>
          <w:rFonts w:ascii="Arial" w:hAnsi="Arial" w:cs="Arial"/>
          <w:b/>
          <w:bCs/>
          <w:i/>
          <w:iCs/>
          <w:color w:val="222222"/>
          <w:sz w:val="24"/>
          <w:szCs w:val="24"/>
          <w:shd w:val="clear" w:color="auto" w:fill="FFFFFF"/>
        </w:rPr>
        <w:t>Phytophthora capsici'</w:t>
      </w:r>
    </w:p>
    <w:p w14:paraId="1EC842EE" w14:textId="77777777" w:rsidR="006854CF" w:rsidRPr="006854CF" w:rsidRDefault="006854CF" w:rsidP="006854CF">
      <w:pPr>
        <w:spacing w:line="240" w:lineRule="auto"/>
        <w:jc w:val="center"/>
        <w:rPr>
          <w:rFonts w:ascii="Arial" w:hAnsi="Arial" w:cs="Arial"/>
          <w:b/>
          <w:bCs/>
          <w:i/>
          <w:iCs/>
          <w:color w:val="222222"/>
          <w:sz w:val="12"/>
          <w:szCs w:val="12"/>
          <w:shd w:val="clear" w:color="auto" w:fill="FFFFFF"/>
        </w:rPr>
      </w:pPr>
    </w:p>
    <w:p w14:paraId="6E7B05DF" w14:textId="057B6D52" w:rsidR="007B2C31" w:rsidRPr="006854CF" w:rsidRDefault="006854CF" w:rsidP="006854CF">
      <w:pPr>
        <w:tabs>
          <w:tab w:val="left" w:pos="2145"/>
        </w:tabs>
        <w:spacing w:line="240" w:lineRule="auto"/>
        <w:jc w:val="center"/>
        <w:rPr>
          <w:rFonts w:ascii="Arial" w:eastAsia="Arial Unicode MS" w:hAnsi="Arial" w:cs="Arial"/>
          <w:vertAlign w:val="superscript"/>
        </w:rPr>
      </w:pPr>
      <w:r w:rsidRPr="006854CF">
        <w:rPr>
          <w:rFonts w:ascii="Arial" w:eastAsia="Arial Unicode MS" w:hAnsi="Arial" w:cs="Arial"/>
          <w:u w:val="single"/>
        </w:rPr>
        <w:t>Liya Kurian</w:t>
      </w:r>
      <w:r w:rsidR="00E05C04" w:rsidRPr="006854CF">
        <w:rPr>
          <w:rFonts w:ascii="Arial" w:eastAsia="Arial Unicode MS" w:hAnsi="Arial" w:cs="Arial"/>
          <w:vertAlign w:val="superscript"/>
        </w:rPr>
        <w:t xml:space="preserve">1, </w:t>
      </w:r>
      <w:r w:rsidR="00E05C04">
        <w:rPr>
          <w:rFonts w:ascii="Arial" w:eastAsia="Arial Unicode MS" w:hAnsi="Arial" w:cs="Arial"/>
          <w:vertAlign w:val="superscript"/>
        </w:rPr>
        <w:t>*</w:t>
      </w:r>
      <w:r w:rsidRPr="006854CF">
        <w:rPr>
          <w:rFonts w:ascii="Arial" w:eastAsia="Arial Unicode MS" w:hAnsi="Arial" w:cs="Arial"/>
        </w:rPr>
        <w:t>, Gayathri G S</w:t>
      </w:r>
      <w:r w:rsidRPr="006854CF">
        <w:rPr>
          <w:rFonts w:ascii="Arial" w:eastAsia="Arial Unicode MS" w:hAnsi="Arial" w:cs="Arial"/>
          <w:vertAlign w:val="superscript"/>
        </w:rPr>
        <w:t>1</w:t>
      </w:r>
      <w:r w:rsidRPr="006854CF">
        <w:rPr>
          <w:rFonts w:ascii="Arial" w:eastAsia="Arial Unicode MS" w:hAnsi="Arial" w:cs="Arial"/>
        </w:rPr>
        <w:t>, S Manjula</w:t>
      </w:r>
      <w:r w:rsidRPr="006854CF">
        <w:rPr>
          <w:rFonts w:ascii="Arial" w:eastAsia="Arial Unicode MS" w:hAnsi="Arial" w:cs="Arial"/>
          <w:vertAlign w:val="superscript"/>
        </w:rPr>
        <w:t>1</w:t>
      </w:r>
    </w:p>
    <w:p w14:paraId="1CB8E13D" w14:textId="396DED37" w:rsidR="007B0D84" w:rsidRDefault="007B0D84" w:rsidP="007B0D84">
      <w:pPr>
        <w:tabs>
          <w:tab w:val="left" w:pos="2145"/>
        </w:tabs>
        <w:spacing w:line="240" w:lineRule="auto"/>
        <w:jc w:val="center"/>
        <w:rPr>
          <w:rFonts w:ascii="Arial" w:eastAsia="Arial Unicode MS" w:hAnsi="Arial" w:cs="Arial"/>
          <w:i/>
          <w:iCs/>
        </w:rPr>
      </w:pPr>
      <w:r>
        <w:rPr>
          <w:rFonts w:ascii="Arial" w:eastAsia="Arial Unicode MS" w:hAnsi="Arial" w:cs="Arial"/>
          <w:vertAlign w:val="superscript"/>
        </w:rPr>
        <w:t>1</w:t>
      </w:r>
      <w:r w:rsidRPr="007B0D84">
        <w:rPr>
          <w:rFonts w:ascii="Arial" w:eastAsia="Arial Unicode MS" w:hAnsi="Arial" w:cs="Arial"/>
          <w:i/>
          <w:iCs/>
        </w:rPr>
        <w:t>Plant Disease Biology Laboratory, Rajiv Gandhi Centre for Biotechnology, Thiruvananthapuram, India, PIN-695014</w:t>
      </w:r>
    </w:p>
    <w:p w14:paraId="49322907" w14:textId="4A92BD10" w:rsidR="007B0D84" w:rsidRPr="007B0D84" w:rsidRDefault="007B0D84" w:rsidP="007B0D84">
      <w:pPr>
        <w:tabs>
          <w:tab w:val="left" w:pos="2145"/>
        </w:tabs>
        <w:spacing w:line="240" w:lineRule="auto"/>
        <w:jc w:val="center"/>
        <w:rPr>
          <w:rFonts w:ascii="Arial" w:eastAsia="Arial Unicode MS" w:hAnsi="Arial" w:cs="Arial"/>
        </w:rPr>
      </w:pPr>
      <w:r w:rsidRPr="007B0D84">
        <w:rPr>
          <w:rFonts w:ascii="Arial" w:eastAsia="Arial Unicode MS" w:hAnsi="Arial" w:cs="Arial"/>
        </w:rPr>
        <w:t>*Email:</w:t>
      </w:r>
      <w:r>
        <w:rPr>
          <w:rFonts w:ascii="Arial" w:eastAsia="Arial Unicode MS" w:hAnsi="Arial" w:cs="Arial"/>
        </w:rPr>
        <w:t xml:space="preserve"> </w:t>
      </w:r>
      <w:r w:rsidR="006854CF">
        <w:rPr>
          <w:rFonts w:ascii="Arial" w:eastAsia="Arial Unicode MS" w:hAnsi="Arial" w:cs="Arial"/>
        </w:rPr>
        <w:t>liyakurian@rgcb.res.in</w:t>
      </w:r>
    </w:p>
    <w:p w14:paraId="2983AE18" w14:textId="717F3DAC" w:rsidR="007B2C31" w:rsidRPr="007B2C31" w:rsidRDefault="007B2C31" w:rsidP="00157935">
      <w:pPr>
        <w:spacing w:line="240" w:lineRule="auto"/>
        <w:jc w:val="both"/>
        <w:rPr>
          <w:rFonts w:ascii="Arial" w:eastAsia="Arial Unicode MS" w:hAnsi="Arial" w:cs="Arial"/>
          <w:b/>
          <w:bCs/>
        </w:rPr>
      </w:pPr>
      <w:r w:rsidRPr="007B2C31">
        <w:rPr>
          <w:rFonts w:ascii="Arial" w:eastAsia="Arial Unicode MS" w:hAnsi="Arial" w:cs="Arial"/>
          <w:b/>
          <w:bCs/>
        </w:rPr>
        <w:t>Abstract</w:t>
      </w:r>
    </w:p>
    <w:p w14:paraId="05D9A618" w14:textId="0A45CDA6" w:rsidR="00157935" w:rsidRPr="006854CF" w:rsidRDefault="00157935" w:rsidP="00E05C04">
      <w:pPr>
        <w:spacing w:line="360" w:lineRule="auto"/>
        <w:jc w:val="both"/>
        <w:rPr>
          <w:rFonts w:ascii="Arial" w:eastAsia="Arial Unicode MS" w:hAnsi="Arial" w:cs="Arial"/>
        </w:rPr>
      </w:pPr>
      <w:r>
        <w:rPr>
          <w:rFonts w:ascii="Arial" w:eastAsia="Arial Unicode MS" w:hAnsi="Arial" w:cs="Arial"/>
        </w:rPr>
        <w:t xml:space="preserve">Plant </w:t>
      </w:r>
      <w:r w:rsidRPr="00B14381">
        <w:rPr>
          <w:rFonts w:ascii="Arial" w:eastAsia="Arial Unicode MS" w:hAnsi="Arial" w:cs="Arial"/>
        </w:rPr>
        <w:t xml:space="preserve">Receptor-like Kinases (RLKs) perform the first line of communication to any external signal during different stages of plant growth and </w:t>
      </w:r>
      <w:r>
        <w:rPr>
          <w:rFonts w:ascii="Arial" w:eastAsia="Arial Unicode MS" w:hAnsi="Arial" w:cs="Arial"/>
        </w:rPr>
        <w:t>early stress signal perception.</w:t>
      </w:r>
      <w:r w:rsidRPr="00B14381">
        <w:rPr>
          <w:rFonts w:ascii="Arial" w:eastAsia="Arial Unicode MS" w:hAnsi="Arial" w:cs="Arial"/>
        </w:rPr>
        <w:t xml:space="preserve"> The role of these proteins in both the basal developmental and immune responses of the plant hold paramount importance. Being one of the first proteins to interact with biotic and abiotic signals, they regulate the downstream defense responses of the plant immune system. </w:t>
      </w:r>
      <w:r w:rsidRPr="00B14381">
        <w:rPr>
          <w:rFonts w:ascii="Arial" w:eastAsia="Arial Unicode MS" w:hAnsi="Arial" w:cs="Arial"/>
          <w:i/>
          <w:iCs/>
        </w:rPr>
        <w:t>Piper nigrum</w:t>
      </w:r>
      <w:r w:rsidRPr="00B14381">
        <w:rPr>
          <w:rFonts w:ascii="Arial" w:eastAsia="Arial Unicode MS" w:hAnsi="Arial" w:cs="Arial"/>
        </w:rPr>
        <w:t xml:space="preserve"> L., a major non-model spice crop, shows high susceptibility to </w:t>
      </w:r>
      <w:r w:rsidRPr="00B14381">
        <w:rPr>
          <w:rFonts w:ascii="Arial" w:eastAsia="Arial Unicode MS" w:hAnsi="Arial" w:cs="Arial"/>
          <w:i/>
          <w:iCs/>
        </w:rPr>
        <w:t>Phytophthora capsici</w:t>
      </w:r>
      <w:r w:rsidRPr="00B14381">
        <w:rPr>
          <w:rFonts w:ascii="Arial" w:eastAsia="Arial Unicode MS" w:hAnsi="Arial" w:cs="Arial"/>
        </w:rPr>
        <w:t>, an oomycete hemibiotrophic pathogen. Contrarily, distant</w:t>
      </w:r>
      <w:r>
        <w:rPr>
          <w:rFonts w:ascii="Arial" w:eastAsia="Arial Unicode MS" w:hAnsi="Arial" w:cs="Arial"/>
        </w:rPr>
        <w:t xml:space="preserve"> wild relative </w:t>
      </w:r>
      <w:r w:rsidRPr="00D30D35">
        <w:rPr>
          <w:rFonts w:ascii="Arial" w:eastAsia="Arial Unicode MS" w:hAnsi="Arial" w:cs="Arial"/>
          <w:i/>
          <w:iCs/>
        </w:rPr>
        <w:t>P</w:t>
      </w:r>
      <w:r w:rsidRPr="00B14381">
        <w:rPr>
          <w:rFonts w:ascii="Arial" w:eastAsia="Arial Unicode MS" w:hAnsi="Arial" w:cs="Arial"/>
          <w:i/>
          <w:iCs/>
        </w:rPr>
        <w:t>iper colubrinum</w:t>
      </w:r>
      <w:r w:rsidRPr="00B14381">
        <w:rPr>
          <w:rFonts w:ascii="Arial" w:eastAsia="Arial Unicode MS" w:hAnsi="Arial" w:cs="Arial"/>
        </w:rPr>
        <w:t xml:space="preserve"> Lin</w:t>
      </w:r>
      <w:r>
        <w:rPr>
          <w:rFonts w:ascii="Arial" w:eastAsia="Arial Unicode MS" w:hAnsi="Arial" w:cs="Arial"/>
        </w:rPr>
        <w:t>k</w:t>
      </w:r>
      <w:r w:rsidRPr="00B14381">
        <w:rPr>
          <w:rFonts w:ascii="Arial" w:eastAsia="Arial Unicode MS" w:hAnsi="Arial" w:cs="Arial"/>
        </w:rPr>
        <w:t xml:space="preserve">. exhibits </w:t>
      </w:r>
      <w:r>
        <w:rPr>
          <w:rFonts w:ascii="Arial" w:eastAsia="Arial Unicode MS" w:hAnsi="Arial" w:cs="Arial"/>
        </w:rPr>
        <w:t xml:space="preserve">complete </w:t>
      </w:r>
      <w:r w:rsidRPr="00B14381">
        <w:rPr>
          <w:rFonts w:ascii="Arial" w:eastAsia="Arial Unicode MS" w:hAnsi="Arial" w:cs="Arial"/>
        </w:rPr>
        <w:t xml:space="preserve">resistance </w:t>
      </w:r>
      <w:r>
        <w:rPr>
          <w:rFonts w:ascii="Arial" w:eastAsia="Arial Unicode MS" w:hAnsi="Arial" w:cs="Arial"/>
        </w:rPr>
        <w:t xml:space="preserve">to </w:t>
      </w:r>
      <w:r w:rsidRPr="00D30D35">
        <w:rPr>
          <w:rFonts w:ascii="Arial" w:eastAsia="Arial Unicode MS" w:hAnsi="Arial" w:cs="Arial"/>
          <w:i/>
          <w:iCs/>
        </w:rPr>
        <w:t>Phytophthora capsici</w:t>
      </w:r>
      <w:r>
        <w:rPr>
          <w:rFonts w:ascii="Arial" w:eastAsia="Arial Unicode MS" w:hAnsi="Arial" w:cs="Arial"/>
          <w:i/>
          <w:iCs/>
        </w:rPr>
        <w:t>.</w:t>
      </w:r>
      <w:r w:rsidR="007B2C31">
        <w:rPr>
          <w:rFonts w:ascii="Arial" w:eastAsia="Arial Unicode MS" w:hAnsi="Arial" w:cs="Arial"/>
          <w:i/>
          <w:iCs/>
        </w:rPr>
        <w:t xml:space="preserve"> </w:t>
      </w:r>
      <w:r>
        <w:rPr>
          <w:rFonts w:ascii="Arial" w:eastAsia="Arial Unicode MS" w:hAnsi="Arial" w:cs="Arial"/>
        </w:rPr>
        <w:t xml:space="preserve">Receptor like Kinases (RLKs) or Pattern Recognition receptors (PRRs) have established roles in plant pathogen defense as inducers of local and systemic immunity. They have potential application in enhancing broad spectrum disease resistance in crops. We have identified for the first time </w:t>
      </w:r>
      <w:r>
        <w:rPr>
          <w:rFonts w:ascii="Arial" w:hAnsi="Arial" w:cs="Arial"/>
          <w:color w:val="0D0D0D"/>
        </w:rPr>
        <w:t>n</w:t>
      </w:r>
      <w:r w:rsidRPr="00B14381">
        <w:rPr>
          <w:rFonts w:ascii="Arial" w:hAnsi="Arial" w:cs="Arial"/>
          <w:color w:val="0D0D0D"/>
        </w:rPr>
        <w:t xml:space="preserve">ovel RLK (PRRs-Pattern Recognition Receptors) proteins specifically regulated during </w:t>
      </w:r>
      <w:r w:rsidRPr="00B14381">
        <w:rPr>
          <w:rFonts w:ascii="Arial" w:hAnsi="Arial" w:cs="Arial"/>
          <w:i/>
          <w:iCs/>
          <w:color w:val="0D0D0D"/>
        </w:rPr>
        <w:t>Phytophthora capsici</w:t>
      </w:r>
      <w:r w:rsidRPr="00B14381">
        <w:rPr>
          <w:rFonts w:ascii="Arial" w:hAnsi="Arial" w:cs="Arial"/>
          <w:color w:val="0D0D0D"/>
        </w:rPr>
        <w:t xml:space="preserve"> infection</w:t>
      </w:r>
      <w:r>
        <w:rPr>
          <w:rFonts w:ascii="Arial" w:hAnsi="Arial" w:cs="Arial"/>
          <w:color w:val="0D0D0D"/>
        </w:rPr>
        <w:t xml:space="preserve"> </w:t>
      </w:r>
      <w:r w:rsidRPr="00B14381">
        <w:rPr>
          <w:rFonts w:ascii="Arial" w:hAnsi="Arial" w:cs="Arial"/>
          <w:color w:val="0D0D0D"/>
        </w:rPr>
        <w:t xml:space="preserve">by an integrated transcriptome-assisted label-free quantitative proteomics pipeline. </w:t>
      </w:r>
      <w:r w:rsidRPr="00B14381">
        <w:rPr>
          <w:rFonts w:ascii="Arial" w:eastAsia="Arial Unicode MS" w:hAnsi="Arial" w:cs="Arial"/>
        </w:rPr>
        <w:t xml:space="preserve">The </w:t>
      </w:r>
      <w:r>
        <w:rPr>
          <w:rFonts w:ascii="Arial" w:eastAsia="Arial Unicode MS" w:hAnsi="Arial" w:cs="Arial"/>
        </w:rPr>
        <w:t xml:space="preserve">present </w:t>
      </w:r>
      <w:r w:rsidRPr="00B14381">
        <w:rPr>
          <w:rFonts w:ascii="Arial" w:eastAsia="Arial Unicode MS" w:hAnsi="Arial" w:cs="Arial"/>
        </w:rPr>
        <w:t>study focuse</w:t>
      </w:r>
      <w:r>
        <w:rPr>
          <w:rFonts w:ascii="Arial" w:eastAsia="Arial Unicode MS" w:hAnsi="Arial" w:cs="Arial"/>
        </w:rPr>
        <w:t>s</w:t>
      </w:r>
      <w:r w:rsidRPr="00B14381">
        <w:rPr>
          <w:rFonts w:ascii="Arial" w:eastAsia="Arial Unicode MS" w:hAnsi="Arial" w:cs="Arial"/>
        </w:rPr>
        <w:t xml:space="preserve"> on the </w:t>
      </w:r>
      <w:r>
        <w:rPr>
          <w:rFonts w:ascii="Arial" w:eastAsia="Arial Unicode MS" w:hAnsi="Arial" w:cs="Arial"/>
        </w:rPr>
        <w:t xml:space="preserve">modulation of expression of selected </w:t>
      </w:r>
      <w:r w:rsidRPr="00DC4E93">
        <w:rPr>
          <w:rFonts w:ascii="Arial" w:eastAsia="Arial Unicode MS" w:hAnsi="Arial" w:cs="Arial"/>
          <w:i/>
          <w:iCs/>
        </w:rPr>
        <w:t>P. nigrum</w:t>
      </w:r>
      <w:r>
        <w:rPr>
          <w:rFonts w:ascii="Arial" w:eastAsia="Arial Unicode MS" w:hAnsi="Arial" w:cs="Arial"/>
        </w:rPr>
        <w:t xml:space="preserve"> RLKs in response to </w:t>
      </w:r>
      <w:r w:rsidRPr="00DC4E93">
        <w:rPr>
          <w:rFonts w:ascii="Arial" w:eastAsia="Arial Unicode MS" w:hAnsi="Arial" w:cs="Arial"/>
          <w:i/>
          <w:iCs/>
        </w:rPr>
        <w:t>Phytophthora capsici</w:t>
      </w:r>
      <w:r>
        <w:rPr>
          <w:rFonts w:ascii="Arial" w:eastAsia="Arial Unicode MS" w:hAnsi="Arial" w:cs="Arial"/>
        </w:rPr>
        <w:t xml:space="preserve"> infection and classical plant defense elicitors Flagellin and </w:t>
      </w:r>
      <w:r w:rsidR="00A86C65">
        <w:rPr>
          <w:rFonts w:ascii="Arial" w:eastAsia="Arial Unicode MS" w:hAnsi="Arial" w:cs="Arial"/>
        </w:rPr>
        <w:t>G</w:t>
      </w:r>
      <w:r>
        <w:rPr>
          <w:rFonts w:ascii="Arial" w:eastAsia="Arial Unicode MS" w:hAnsi="Arial" w:cs="Arial"/>
        </w:rPr>
        <w:t xml:space="preserve">lycol chitosan. Flagellin treatment led to significant upregulation of selected PnRLKs, and pathogen infection followed by flagellin treatment led to significant downregulation when compared to control samples. </w:t>
      </w:r>
      <w:r w:rsidR="006854CF">
        <w:rPr>
          <w:rFonts w:ascii="Arial" w:eastAsia="Arial Unicode MS" w:hAnsi="Arial" w:cs="Arial"/>
        </w:rPr>
        <w:t xml:space="preserve">Essential oil from </w:t>
      </w:r>
      <w:r w:rsidR="006854CF" w:rsidRPr="00157935">
        <w:rPr>
          <w:rFonts w:ascii="Arial" w:eastAsia="Arial Unicode MS" w:hAnsi="Arial" w:cs="Arial"/>
          <w:i/>
          <w:iCs/>
        </w:rPr>
        <w:t>P. colubrinum</w:t>
      </w:r>
      <w:r w:rsidR="006854CF">
        <w:rPr>
          <w:rFonts w:ascii="Arial" w:eastAsia="Arial Unicode MS" w:hAnsi="Arial" w:cs="Arial"/>
        </w:rPr>
        <w:t xml:space="preserve"> was extracted using Clevenger distillation and was sprayed and infiltrated into </w:t>
      </w:r>
      <w:r w:rsidR="006854CF" w:rsidRPr="00157935">
        <w:rPr>
          <w:rFonts w:ascii="Arial" w:eastAsia="Arial Unicode MS" w:hAnsi="Arial" w:cs="Arial"/>
          <w:i/>
          <w:iCs/>
        </w:rPr>
        <w:t>P. nigrum</w:t>
      </w:r>
      <w:r w:rsidR="006854CF">
        <w:rPr>
          <w:rFonts w:ascii="Arial" w:eastAsia="Arial Unicode MS" w:hAnsi="Arial" w:cs="Arial"/>
        </w:rPr>
        <w:t xml:space="preserve"> leaves. </w:t>
      </w:r>
      <w:r>
        <w:rPr>
          <w:rFonts w:ascii="Arial" w:eastAsia="Arial Unicode MS" w:hAnsi="Arial" w:cs="Arial"/>
        </w:rPr>
        <w:t xml:space="preserve">Essential oil fraction from the wild Piper species- </w:t>
      </w:r>
      <w:r w:rsidRPr="00157935">
        <w:rPr>
          <w:rFonts w:ascii="Arial" w:eastAsia="Arial Unicode MS" w:hAnsi="Arial" w:cs="Arial"/>
          <w:i/>
          <w:iCs/>
        </w:rPr>
        <w:t>Piper colubrinum</w:t>
      </w:r>
      <w:r>
        <w:rPr>
          <w:rFonts w:ascii="Arial" w:eastAsia="Arial Unicode MS" w:hAnsi="Arial" w:cs="Arial"/>
        </w:rPr>
        <w:t xml:space="preserve"> Link</w:t>
      </w:r>
      <w:r w:rsidR="00D86624">
        <w:rPr>
          <w:rFonts w:ascii="Arial" w:eastAsia="Arial Unicode MS" w:hAnsi="Arial" w:cs="Arial"/>
        </w:rPr>
        <w:t>.</w:t>
      </w:r>
      <w:r>
        <w:rPr>
          <w:rFonts w:ascii="Arial" w:eastAsia="Arial Unicode MS" w:hAnsi="Arial" w:cs="Arial"/>
        </w:rPr>
        <w:t xml:space="preserve"> showed direct inhibitory activity against </w:t>
      </w:r>
      <w:r w:rsidRPr="00157935">
        <w:rPr>
          <w:rFonts w:ascii="Arial" w:eastAsia="Arial Unicode MS" w:hAnsi="Arial" w:cs="Arial"/>
          <w:i/>
          <w:iCs/>
        </w:rPr>
        <w:t>Phytophthora capsici</w:t>
      </w:r>
      <w:r>
        <w:rPr>
          <w:rFonts w:ascii="Arial" w:eastAsia="Arial Unicode MS" w:hAnsi="Arial" w:cs="Arial"/>
        </w:rPr>
        <w:t xml:space="preserve"> in-vivo </w:t>
      </w:r>
      <w:r w:rsidR="006854CF">
        <w:rPr>
          <w:rFonts w:ascii="Arial" w:eastAsia="Arial Unicode MS" w:hAnsi="Arial" w:cs="Arial"/>
        </w:rPr>
        <w:t xml:space="preserve">and this was confirmed by Sytox green staining, followed by Trypan Blue staining to see the lysis of hyphae and by quantification of pathogenic DNA </w:t>
      </w:r>
      <w:r>
        <w:rPr>
          <w:rFonts w:ascii="Arial" w:eastAsia="Arial Unicode MS" w:hAnsi="Arial" w:cs="Arial"/>
        </w:rPr>
        <w:t xml:space="preserve">along with a corresponding up-regulation of selected </w:t>
      </w:r>
      <w:r w:rsidRPr="00157935">
        <w:rPr>
          <w:rFonts w:ascii="Arial" w:eastAsia="Arial Unicode MS" w:hAnsi="Arial" w:cs="Arial"/>
          <w:i/>
          <w:iCs/>
        </w:rPr>
        <w:t>P. nigrum</w:t>
      </w:r>
      <w:r>
        <w:rPr>
          <w:rFonts w:ascii="Arial" w:eastAsia="Arial Unicode MS" w:hAnsi="Arial" w:cs="Arial"/>
        </w:rPr>
        <w:t xml:space="preserve"> RLKs. Th</w:t>
      </w:r>
      <w:r w:rsidR="00D86624">
        <w:rPr>
          <w:rFonts w:ascii="Arial" w:eastAsia="Arial Unicode MS" w:hAnsi="Arial" w:cs="Arial"/>
        </w:rPr>
        <w:t>is</w:t>
      </w:r>
      <w:r>
        <w:rPr>
          <w:rFonts w:ascii="Arial" w:eastAsia="Arial Unicode MS" w:hAnsi="Arial" w:cs="Arial"/>
        </w:rPr>
        <w:t xml:space="preserve"> data provides convincing evidence on the central role of PnRLKs in modulating host basal immunity. </w:t>
      </w:r>
    </w:p>
    <w:sectPr w:rsidR="00157935" w:rsidRPr="00685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935"/>
    <w:rsid w:val="0005167B"/>
    <w:rsid w:val="00157935"/>
    <w:rsid w:val="001A248E"/>
    <w:rsid w:val="003F04E3"/>
    <w:rsid w:val="00621986"/>
    <w:rsid w:val="006829FB"/>
    <w:rsid w:val="006854CF"/>
    <w:rsid w:val="007B0D84"/>
    <w:rsid w:val="007B2C31"/>
    <w:rsid w:val="007F3FDF"/>
    <w:rsid w:val="008D51D8"/>
    <w:rsid w:val="00A86C65"/>
    <w:rsid w:val="00D86624"/>
    <w:rsid w:val="00E05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FD2E"/>
  <w15:chartTrackingRefBased/>
  <w15:docId w15:val="{7F42A767-AE2E-478C-9436-1090A69F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9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57935"/>
    <w:pPr>
      <w:autoSpaceDE w:val="0"/>
      <w:autoSpaceDN w:val="0"/>
      <w:adjustRightInd w:val="0"/>
      <w:spacing w:after="0" w:line="240" w:lineRule="auto"/>
    </w:pPr>
    <w:rPr>
      <w:rFonts w:ascii="Segoe UI Emoji" w:hAnsi="Segoe UI Emoji" w:cs="Segoe UI Emoji"/>
      <w:color w:val="000000"/>
      <w:sz w:val="24"/>
      <w:szCs w:val="24"/>
    </w:rPr>
  </w:style>
  <w:style w:type="character" w:styleId="CommentReference">
    <w:name w:val="annotation reference"/>
    <w:basedOn w:val="DefaultParagraphFont"/>
    <w:uiPriority w:val="99"/>
    <w:semiHidden/>
    <w:unhideWhenUsed/>
    <w:rsid w:val="00157935"/>
    <w:rPr>
      <w:sz w:val="16"/>
      <w:szCs w:val="16"/>
    </w:rPr>
  </w:style>
  <w:style w:type="paragraph" w:styleId="CommentText">
    <w:name w:val="annotation text"/>
    <w:basedOn w:val="Normal"/>
    <w:link w:val="CommentTextChar"/>
    <w:uiPriority w:val="99"/>
    <w:semiHidden/>
    <w:unhideWhenUsed/>
    <w:rsid w:val="00157935"/>
    <w:pPr>
      <w:spacing w:line="240" w:lineRule="auto"/>
    </w:pPr>
    <w:rPr>
      <w:sz w:val="20"/>
      <w:szCs w:val="20"/>
    </w:rPr>
  </w:style>
  <w:style w:type="character" w:customStyle="1" w:styleId="CommentTextChar">
    <w:name w:val="Comment Text Char"/>
    <w:basedOn w:val="DefaultParagraphFont"/>
    <w:link w:val="CommentText"/>
    <w:uiPriority w:val="99"/>
    <w:semiHidden/>
    <w:rsid w:val="0015793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 Kurian</dc:creator>
  <cp:keywords/>
  <dc:description/>
  <cp:lastModifiedBy>Liya Kurian</cp:lastModifiedBy>
  <cp:revision>9</cp:revision>
  <dcterms:created xsi:type="dcterms:W3CDTF">2023-01-25T13:19:00Z</dcterms:created>
  <dcterms:modified xsi:type="dcterms:W3CDTF">2023-01-27T06:06:00Z</dcterms:modified>
</cp:coreProperties>
</file>