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1D51D785" w:rsidR="00D368FA" w:rsidRDefault="00256D37" w:rsidP="00B2537D">
      <w:pPr>
        <w:ind w:left="0" w:hanging="2"/>
        <w:jc w:val="both"/>
        <w:rPr>
          <w:b/>
          <w:sz w:val="24"/>
          <w:szCs w:val="24"/>
        </w:rPr>
      </w:pPr>
      <w:r w:rsidRPr="00256D37">
        <w:rPr>
          <w:b/>
          <w:sz w:val="24"/>
          <w:szCs w:val="24"/>
        </w:rPr>
        <w:t>Bioactive compound</w:t>
      </w:r>
      <w:r w:rsidR="00B2537D" w:rsidRPr="00B2537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from</w:t>
      </w:r>
      <w:r w:rsidR="00B2537D" w:rsidRPr="00B2537D">
        <w:rPr>
          <w:b/>
          <w:sz w:val="24"/>
          <w:szCs w:val="24"/>
        </w:rPr>
        <w:t xml:space="preserve"> </w:t>
      </w:r>
      <w:r w:rsidR="00B2537D" w:rsidRPr="00B2537D">
        <w:rPr>
          <w:b/>
          <w:i/>
          <w:iCs/>
          <w:sz w:val="24"/>
          <w:szCs w:val="24"/>
        </w:rPr>
        <w:t>Colletotrichum gloeosporioides</w:t>
      </w:r>
      <w:r w:rsidR="00B2537D" w:rsidRPr="00B2537D">
        <w:rPr>
          <w:b/>
          <w:sz w:val="24"/>
          <w:szCs w:val="24"/>
        </w:rPr>
        <w:t xml:space="preserve"> associated with </w:t>
      </w:r>
      <w:r w:rsidR="00B2537D" w:rsidRPr="00B2537D">
        <w:rPr>
          <w:b/>
          <w:i/>
          <w:iCs/>
          <w:sz w:val="24"/>
          <w:szCs w:val="24"/>
        </w:rPr>
        <w:t>Oroxylum indicum</w:t>
      </w:r>
      <w:r w:rsidR="00B2537D" w:rsidRPr="00B2537D">
        <w:rPr>
          <w:b/>
          <w:sz w:val="24"/>
          <w:szCs w:val="24"/>
        </w:rPr>
        <w:t xml:space="preserve"> plant </w:t>
      </w:r>
      <w:r>
        <w:rPr>
          <w:b/>
          <w:sz w:val="24"/>
          <w:szCs w:val="24"/>
        </w:rPr>
        <w:t>regulates</w:t>
      </w:r>
      <w:r w:rsidR="00B2537D" w:rsidRPr="00B2537D">
        <w:rPr>
          <w:b/>
          <w:sz w:val="24"/>
          <w:szCs w:val="24"/>
        </w:rPr>
        <w:t xml:space="preserve"> apoptosis and </w:t>
      </w:r>
      <w:r w:rsidR="00B2537D">
        <w:rPr>
          <w:b/>
          <w:sz w:val="24"/>
          <w:szCs w:val="24"/>
        </w:rPr>
        <w:t>angiogenesis</w:t>
      </w:r>
    </w:p>
    <w:p w14:paraId="677B93C8" w14:textId="77777777" w:rsidR="00B2537D" w:rsidRDefault="00B2537D" w:rsidP="00B2537D">
      <w:pPr>
        <w:ind w:left="0" w:hanging="2"/>
        <w:jc w:val="both"/>
        <w:rPr>
          <w:sz w:val="24"/>
          <w:szCs w:val="24"/>
        </w:rPr>
      </w:pPr>
    </w:p>
    <w:p w14:paraId="00000004" w14:textId="5ED39F0F" w:rsidR="00D368FA" w:rsidRDefault="00B2537D">
      <w:pPr>
        <w:ind w:left="0" w:hanging="2"/>
      </w:pPr>
      <w:r w:rsidRPr="00B2537D">
        <w:t>Nilesh Rai, Vibhav Gautam*</w:t>
      </w:r>
    </w:p>
    <w:p w14:paraId="7789E008" w14:textId="77777777" w:rsidR="00B2537D" w:rsidRDefault="00B2537D">
      <w:pPr>
        <w:ind w:left="0" w:hanging="2"/>
      </w:pPr>
    </w:p>
    <w:p w14:paraId="00000007" w14:textId="3FB36177" w:rsidR="00D368FA" w:rsidRDefault="00B2537D">
      <w:pPr>
        <w:ind w:left="0" w:hanging="2"/>
        <w:rPr>
          <w:i/>
        </w:rPr>
      </w:pPr>
      <w:r w:rsidRPr="00E11E5B">
        <w:rPr>
          <w:i/>
        </w:rPr>
        <w:t>Centre of Experimental Medicine and Surgery, Institute of Medical Sciences, Banaras Hindu University, Varanasi-221005, India</w:t>
      </w:r>
    </w:p>
    <w:p w14:paraId="5FAEE686" w14:textId="77777777" w:rsidR="00E11E5B" w:rsidRPr="00E11E5B" w:rsidRDefault="00E11E5B">
      <w:pPr>
        <w:ind w:left="0" w:hanging="2"/>
      </w:pPr>
    </w:p>
    <w:p w14:paraId="00000008" w14:textId="76AF0261" w:rsidR="00D368FA" w:rsidRDefault="00000000">
      <w:pPr>
        <w:ind w:left="0" w:hanging="2"/>
      </w:pPr>
      <w:r>
        <w:t xml:space="preserve">*Email: </w:t>
      </w:r>
      <w:r w:rsidR="00B2537D">
        <w:t>Vibhav.gautam4@bhu.ac.in</w:t>
      </w:r>
    </w:p>
    <w:p w14:paraId="00000009" w14:textId="77777777" w:rsidR="00D368FA" w:rsidRDefault="00D368FA">
      <w:pPr>
        <w:ind w:left="0" w:hanging="2"/>
      </w:pPr>
    </w:p>
    <w:p w14:paraId="0000000A" w14:textId="77777777" w:rsidR="00D368FA" w:rsidRDefault="00000000">
      <w:pPr>
        <w:ind w:left="0" w:hanging="2"/>
      </w:pPr>
      <w:r>
        <w:rPr>
          <w:b/>
        </w:rPr>
        <w:t>Abstract</w:t>
      </w:r>
    </w:p>
    <w:p w14:paraId="0000000B" w14:textId="77777777" w:rsidR="00D368FA" w:rsidRDefault="00D368FA">
      <w:pPr>
        <w:ind w:left="0" w:hanging="2"/>
      </w:pPr>
    </w:p>
    <w:p w14:paraId="1F690F6E" w14:textId="57FBAF50" w:rsidR="00B2537D" w:rsidRDefault="00B2537D" w:rsidP="00B2537D">
      <w:pPr>
        <w:spacing w:line="276" w:lineRule="auto"/>
        <w:ind w:left="0" w:right="-109" w:hanging="2"/>
        <w:jc w:val="both"/>
        <w:rPr>
          <w:rFonts w:cs="Arial"/>
          <w:color w:val="000000"/>
        </w:rPr>
      </w:pPr>
      <w:r w:rsidRPr="00B2537D">
        <w:rPr>
          <w:rFonts w:cs="Arial"/>
          <w:i/>
          <w:iCs/>
          <w:color w:val="000000"/>
          <w:shd w:val="clear" w:color="auto" w:fill="FFFFFF"/>
        </w:rPr>
        <w:t>Oroxylum indicum</w:t>
      </w:r>
      <w:r w:rsidRPr="00B2537D">
        <w:rPr>
          <w:rFonts w:cs="Arial"/>
          <w:color w:val="000000"/>
          <w:shd w:val="clear" w:color="auto" w:fill="FFFFFF"/>
        </w:rPr>
        <w:t xml:space="preserve"> plant </w:t>
      </w:r>
      <w:r w:rsidR="002B1E45">
        <w:rPr>
          <w:rFonts w:cs="Arial"/>
          <w:color w:val="000000"/>
          <w:shd w:val="clear" w:color="auto" w:fill="FFFFFF"/>
        </w:rPr>
        <w:t xml:space="preserve">hold great significance to produce pharmacological compounds and </w:t>
      </w:r>
      <w:r w:rsidRPr="00B2537D">
        <w:rPr>
          <w:rFonts w:cs="Arial"/>
          <w:color w:val="000000"/>
          <w:shd w:val="clear" w:color="auto" w:fill="FFFFFF"/>
        </w:rPr>
        <w:t xml:space="preserve">serves as a </w:t>
      </w:r>
      <w:r w:rsidR="002B1E45">
        <w:rPr>
          <w:rFonts w:cs="Arial"/>
          <w:color w:val="000000"/>
          <w:shd w:val="clear" w:color="auto" w:fill="FFFFFF"/>
        </w:rPr>
        <w:t xml:space="preserve">potential </w:t>
      </w:r>
      <w:r w:rsidRPr="00B2537D">
        <w:rPr>
          <w:rFonts w:cs="Arial"/>
          <w:color w:val="000000"/>
          <w:shd w:val="clear" w:color="auto" w:fill="FFFFFF"/>
        </w:rPr>
        <w:t>ho</w:t>
      </w:r>
      <w:r w:rsidR="00256D37">
        <w:rPr>
          <w:rFonts w:cs="Arial"/>
          <w:color w:val="000000"/>
          <w:shd w:val="clear" w:color="auto" w:fill="FFFFFF"/>
        </w:rPr>
        <w:t>st</w:t>
      </w:r>
      <w:r w:rsidRPr="00B2537D">
        <w:rPr>
          <w:rFonts w:cs="Arial"/>
          <w:color w:val="000000"/>
          <w:shd w:val="clear" w:color="auto" w:fill="FFFFFF"/>
        </w:rPr>
        <w:t xml:space="preserve"> to various microbial species which have </w:t>
      </w:r>
      <w:r w:rsidRPr="00B2537D">
        <w:rPr>
          <w:rFonts w:eastAsia="Times New Roman" w:cs="Arial"/>
          <w:color w:val="000000"/>
          <w:shd w:val="clear" w:color="auto" w:fill="FFFFFF"/>
        </w:rPr>
        <w:t xml:space="preserve">ability to mimic the bioactive compounds </w:t>
      </w:r>
      <w:proofErr w:type="gramStart"/>
      <w:r w:rsidRPr="00B2537D">
        <w:rPr>
          <w:rFonts w:eastAsia="Times New Roman" w:cs="Arial"/>
          <w:color w:val="000000"/>
          <w:shd w:val="clear" w:color="auto" w:fill="FFFFFF"/>
        </w:rPr>
        <w:t>similar to</w:t>
      </w:r>
      <w:proofErr w:type="gramEnd"/>
      <w:r w:rsidRPr="00B2537D">
        <w:rPr>
          <w:rFonts w:eastAsia="Times New Roman" w:cs="Arial"/>
          <w:color w:val="000000"/>
          <w:shd w:val="clear" w:color="auto" w:fill="FFFFFF"/>
        </w:rPr>
        <w:t xml:space="preserve"> their host plant.</w:t>
      </w:r>
      <w:r w:rsidRPr="00B2537D">
        <w:rPr>
          <w:rFonts w:cs="Arial"/>
          <w:color w:val="000000"/>
          <w:shd w:val="clear" w:color="auto" w:fill="FFFFFF"/>
        </w:rPr>
        <w:t xml:space="preserve"> During co-evolution, endophytes and their respective host plant have adapted to the environmental extremities by building a host-endophyte relationship. Considering the ethnopharmacological significance of </w:t>
      </w:r>
      <w:r w:rsidRPr="00B2537D">
        <w:rPr>
          <w:rFonts w:cs="Arial"/>
          <w:i/>
          <w:iCs/>
          <w:color w:val="000000"/>
          <w:shd w:val="clear" w:color="auto" w:fill="FFFFFF"/>
        </w:rPr>
        <w:t>O</w:t>
      </w:r>
      <w:r>
        <w:rPr>
          <w:rFonts w:cs="Arial"/>
          <w:i/>
          <w:iCs/>
          <w:color w:val="000000"/>
          <w:shd w:val="clear" w:color="auto" w:fill="FFFFFF"/>
        </w:rPr>
        <w:t>.</w:t>
      </w:r>
      <w:r w:rsidRPr="00B2537D">
        <w:rPr>
          <w:rFonts w:cs="Arial"/>
          <w:i/>
          <w:iCs/>
          <w:color w:val="000000"/>
          <w:shd w:val="clear" w:color="auto" w:fill="FFFFFF"/>
        </w:rPr>
        <w:t xml:space="preserve"> indicum</w:t>
      </w:r>
      <w:r w:rsidRPr="00B2537D">
        <w:rPr>
          <w:rFonts w:cs="Arial"/>
          <w:color w:val="000000"/>
          <w:shd w:val="clear" w:color="auto" w:fill="FFFFFF"/>
        </w:rPr>
        <w:t xml:space="preserve"> plant, the present study aims to isolate and identify the bioactive compounds derived from associated fungal endophyte with anticancer activity. </w:t>
      </w:r>
      <w:r w:rsidRPr="00B2537D">
        <w:rPr>
          <w:rFonts w:cs="Arial"/>
        </w:rPr>
        <w:t>A total of eight fungal endophytes belonging to five different genera were identified using culture-dependent approach</w:t>
      </w:r>
      <w:r w:rsidR="00C9681C">
        <w:rPr>
          <w:rFonts w:cs="Arial"/>
        </w:rPr>
        <w:t>.</w:t>
      </w:r>
      <w:r w:rsidRPr="00B2537D">
        <w:rPr>
          <w:rFonts w:cs="Arial"/>
        </w:rPr>
        <w:t xml:space="preserve"> Among these, ethyl acetate (EA) extract of fungal endophyte </w:t>
      </w:r>
      <w:r w:rsidRPr="00B2537D">
        <w:rPr>
          <w:rFonts w:cs="Arial"/>
          <w:i/>
          <w:iCs/>
          <w:color w:val="000000"/>
        </w:rPr>
        <w:t>Colletotrichum</w:t>
      </w:r>
      <w:r w:rsidRPr="00B2537D">
        <w:rPr>
          <w:rFonts w:cs="Arial"/>
          <w:color w:val="000000"/>
        </w:rPr>
        <w:t xml:space="preserve"> </w:t>
      </w:r>
      <w:r w:rsidRPr="00B2537D">
        <w:rPr>
          <w:rFonts w:cs="Arial"/>
          <w:i/>
          <w:color w:val="000000"/>
        </w:rPr>
        <w:t xml:space="preserve">gloeosporioides </w:t>
      </w:r>
      <w:r w:rsidRPr="00B2537D">
        <w:rPr>
          <w:rFonts w:cs="Arial"/>
        </w:rPr>
        <w:t xml:space="preserve">showed significant antioxidant activity against synthetically generated </w:t>
      </w:r>
      <w:r w:rsidRPr="00B2537D">
        <w:rPr>
          <w:rFonts w:eastAsia="Calibri" w:cs="Arial"/>
          <w:lang w:val="en-IN"/>
        </w:rPr>
        <w:t>free radicals</w:t>
      </w:r>
      <w:r w:rsidRPr="00B2537D">
        <w:rPr>
          <w:rFonts w:cs="Arial"/>
          <w:bCs/>
        </w:rPr>
        <w:t xml:space="preserve">. </w:t>
      </w:r>
      <w:r w:rsidR="002B1E45" w:rsidRPr="00B2537D">
        <w:rPr>
          <w:rFonts w:cs="Arial"/>
          <w:bCs/>
        </w:rPr>
        <w:t xml:space="preserve">Further, </w:t>
      </w:r>
      <w:r w:rsidR="002B1E45">
        <w:rPr>
          <w:rFonts w:cs="Arial"/>
          <w:color w:val="000000"/>
        </w:rPr>
        <w:t>an</w:t>
      </w:r>
      <w:r w:rsidR="002B1E45" w:rsidRPr="00B2537D">
        <w:rPr>
          <w:rFonts w:cs="Arial"/>
          <w:color w:val="000000"/>
        </w:rPr>
        <w:t>tioxidant activity-guided fractionation</w:t>
      </w:r>
      <w:r w:rsidR="002B1E45">
        <w:rPr>
          <w:rFonts w:cs="Arial"/>
          <w:color w:val="000000"/>
        </w:rPr>
        <w:t xml:space="preserve"> of</w:t>
      </w:r>
      <w:r w:rsidR="002B1E45" w:rsidRPr="00B2537D">
        <w:rPr>
          <w:rFonts w:cs="Arial"/>
          <w:color w:val="000000"/>
        </w:rPr>
        <w:t xml:space="preserve"> </w:t>
      </w:r>
      <w:r w:rsidR="002B1E45" w:rsidRPr="00B2537D">
        <w:rPr>
          <w:rFonts w:cs="Arial"/>
        </w:rPr>
        <w:t xml:space="preserve">EA extract of </w:t>
      </w:r>
      <w:r w:rsidR="002B1E45" w:rsidRPr="00B2537D">
        <w:rPr>
          <w:rFonts w:cs="Arial"/>
          <w:i/>
          <w:iCs/>
          <w:color w:val="000000"/>
        </w:rPr>
        <w:t>C</w:t>
      </w:r>
      <w:r w:rsidR="002B1E45">
        <w:rPr>
          <w:rFonts w:cs="Arial"/>
          <w:i/>
          <w:iCs/>
          <w:color w:val="000000"/>
        </w:rPr>
        <w:t>.</w:t>
      </w:r>
      <w:r w:rsidR="002B1E45" w:rsidRPr="00B2537D">
        <w:rPr>
          <w:rFonts w:cs="Arial"/>
          <w:color w:val="000000"/>
        </w:rPr>
        <w:t xml:space="preserve"> </w:t>
      </w:r>
      <w:r w:rsidR="002B1E45" w:rsidRPr="00B2537D">
        <w:rPr>
          <w:rFonts w:cs="Arial"/>
          <w:i/>
          <w:color w:val="000000"/>
        </w:rPr>
        <w:t xml:space="preserve">gloeosporioides </w:t>
      </w:r>
      <w:r w:rsidR="002B1E45">
        <w:rPr>
          <w:rFonts w:cs="Arial"/>
          <w:iCs/>
          <w:color w:val="000000"/>
        </w:rPr>
        <w:t xml:space="preserve">revealed that bioactive fraction 1 possess potential antioxidant activity. The </w:t>
      </w:r>
      <w:r w:rsidR="002B1E45" w:rsidRPr="00B2537D">
        <w:rPr>
          <w:rFonts w:cs="Arial"/>
          <w:color w:val="000000"/>
        </w:rPr>
        <w:t>spectroscop</w:t>
      </w:r>
      <w:r w:rsidR="002B1E45">
        <w:rPr>
          <w:rFonts w:cs="Arial"/>
          <w:color w:val="000000"/>
        </w:rPr>
        <w:t>ic</w:t>
      </w:r>
      <w:r w:rsidR="002B1E45" w:rsidRPr="00B2537D">
        <w:rPr>
          <w:rFonts w:cs="Arial"/>
          <w:color w:val="000000"/>
        </w:rPr>
        <w:t xml:space="preserve"> techniques </w:t>
      </w:r>
      <w:r w:rsidR="002B1E45" w:rsidRPr="00B2537D">
        <w:rPr>
          <w:rFonts w:cs="Arial"/>
          <w:iCs/>
          <w:color w:val="000000"/>
        </w:rPr>
        <w:t>LC-MS-QTOF, FT-IR, time-of-flight MS and NMR</w:t>
      </w:r>
      <w:r w:rsidR="002B1E45" w:rsidRPr="00B2537D">
        <w:rPr>
          <w:rFonts w:cs="Arial"/>
          <w:color w:val="000000"/>
        </w:rPr>
        <w:t xml:space="preserve"> </w:t>
      </w:r>
      <w:r w:rsidR="002B1E45">
        <w:rPr>
          <w:rFonts w:cs="Arial"/>
          <w:color w:val="000000"/>
        </w:rPr>
        <w:t>identifie</w:t>
      </w:r>
      <w:r w:rsidR="00E214BF">
        <w:rPr>
          <w:rFonts w:cs="Arial"/>
          <w:color w:val="000000"/>
        </w:rPr>
        <w:t>s</w:t>
      </w:r>
      <w:r w:rsidR="002B1E45" w:rsidRPr="00B2537D">
        <w:rPr>
          <w:rFonts w:cs="Arial"/>
          <w:color w:val="000000"/>
        </w:rPr>
        <w:t xml:space="preserve"> bioactive fraction 1 as a </w:t>
      </w:r>
      <w:r w:rsidR="002B1E45" w:rsidRPr="00B2537D">
        <w:rPr>
          <w:rFonts w:cs="Arial"/>
          <w:iCs/>
          <w:color w:val="000000"/>
        </w:rPr>
        <w:t xml:space="preserve">fatty acid amide compound </w:t>
      </w:r>
      <w:r w:rsidR="002B1E45" w:rsidRPr="00B2537D">
        <w:rPr>
          <w:rFonts w:cs="Arial"/>
          <w:i/>
          <w:color w:val="000000"/>
        </w:rPr>
        <w:t>N</w:t>
      </w:r>
      <w:r w:rsidR="002B1E45" w:rsidRPr="00B2537D">
        <w:rPr>
          <w:rFonts w:cs="Arial"/>
          <w:iCs/>
          <w:color w:val="000000"/>
        </w:rPr>
        <w:t>-(2-Hydroxyethyl)hexadecanamide (Palmitoylethanolamide; PEA)</w:t>
      </w:r>
      <w:r w:rsidR="002B1E45">
        <w:rPr>
          <w:rFonts w:cs="Arial"/>
          <w:iCs/>
          <w:color w:val="000000"/>
        </w:rPr>
        <w:t>.</w:t>
      </w:r>
      <w:r w:rsidR="00E214BF">
        <w:rPr>
          <w:rFonts w:cs="Arial"/>
          <w:iCs/>
          <w:color w:val="000000"/>
        </w:rPr>
        <w:t xml:space="preserve"> </w:t>
      </w:r>
      <w:r w:rsidR="00E214BF" w:rsidRPr="00E214BF">
        <w:rPr>
          <w:rFonts w:cs="Arial"/>
          <w:i/>
          <w:iCs/>
          <w:color w:val="000000"/>
        </w:rPr>
        <w:t>I</w:t>
      </w:r>
      <w:r w:rsidRPr="00B2537D">
        <w:rPr>
          <w:rFonts w:cs="Arial"/>
          <w:i/>
          <w:iCs/>
          <w:color w:val="000000"/>
        </w:rPr>
        <w:t>n vitro</w:t>
      </w:r>
      <w:r w:rsidRPr="00B2537D">
        <w:rPr>
          <w:rFonts w:cs="Arial"/>
          <w:color w:val="000000"/>
        </w:rPr>
        <w:t xml:space="preserve"> study showed </w:t>
      </w:r>
      <w:r w:rsidR="00E214BF" w:rsidRPr="00B2537D">
        <w:rPr>
          <w:rFonts w:cs="Arial"/>
          <w:color w:val="000000"/>
        </w:rPr>
        <w:t xml:space="preserve">that </w:t>
      </w:r>
      <w:r w:rsidRPr="00B2537D">
        <w:rPr>
          <w:rFonts w:cs="Arial"/>
          <w:color w:val="000000"/>
        </w:rPr>
        <w:t>PEA potentiates cytotoxicity in MDA-MB-231 and MCF-7 cells. PEA potentially inhibits the wound closure ability of breast cancer cells. The attenuation of the nuclear morphology of MDA-MB-231 and MCF-7 cells suggests the apoptosis-inducing potential of PEA which was further validated by altered expression of apoptosis-related genes. PEA upregulates the cell-cycle arrest (</w:t>
      </w:r>
      <w:r w:rsidRPr="00B2537D">
        <w:rPr>
          <w:rFonts w:cs="Arial"/>
          <w:i/>
          <w:iCs/>
          <w:color w:val="000000"/>
        </w:rPr>
        <w:t>P21</w:t>
      </w:r>
      <w:r w:rsidRPr="00B2537D">
        <w:rPr>
          <w:rFonts w:cs="Arial"/>
          <w:color w:val="000000"/>
        </w:rPr>
        <w:t>), tumor suppression (</w:t>
      </w:r>
      <w:r w:rsidRPr="00B2537D">
        <w:rPr>
          <w:rFonts w:cs="Arial"/>
          <w:i/>
          <w:iCs/>
          <w:color w:val="000000"/>
        </w:rPr>
        <w:t>P53</w:t>
      </w:r>
      <w:r w:rsidRPr="00B2537D">
        <w:rPr>
          <w:rFonts w:cs="Arial"/>
          <w:color w:val="000000"/>
        </w:rPr>
        <w:t>), pro-apoptotic (</w:t>
      </w:r>
      <w:r w:rsidRPr="00B2537D">
        <w:rPr>
          <w:rFonts w:cs="Arial"/>
          <w:i/>
          <w:iCs/>
          <w:color w:val="000000"/>
        </w:rPr>
        <w:t>BAX</w:t>
      </w:r>
      <w:r w:rsidRPr="00B2537D">
        <w:rPr>
          <w:rFonts w:cs="Arial"/>
          <w:color w:val="000000"/>
        </w:rPr>
        <w:t xml:space="preserve">, </w:t>
      </w:r>
      <w:r w:rsidRPr="00B2537D">
        <w:rPr>
          <w:rFonts w:cs="Arial"/>
          <w:i/>
          <w:iCs/>
          <w:color w:val="000000"/>
        </w:rPr>
        <w:t>CASPASE-8,</w:t>
      </w:r>
      <w:r w:rsidRPr="00B2537D">
        <w:rPr>
          <w:rFonts w:cs="Arial"/>
          <w:color w:val="000000"/>
        </w:rPr>
        <w:t xml:space="preserve"> and </w:t>
      </w:r>
      <w:r w:rsidRPr="00B2537D">
        <w:rPr>
          <w:rFonts w:cs="Arial"/>
          <w:i/>
          <w:iCs/>
          <w:color w:val="000000"/>
        </w:rPr>
        <w:t>FADD</w:t>
      </w:r>
      <w:r w:rsidRPr="00B2537D">
        <w:rPr>
          <w:rFonts w:cs="Arial"/>
          <w:color w:val="000000"/>
        </w:rPr>
        <w:t xml:space="preserve">) genes, downregulates anti-apoptotic gene </w:t>
      </w:r>
      <w:r w:rsidRPr="00B2537D">
        <w:rPr>
          <w:rFonts w:cs="Arial"/>
          <w:i/>
          <w:iCs/>
          <w:color w:val="000000"/>
        </w:rPr>
        <w:t>BCL-2</w:t>
      </w:r>
      <w:r w:rsidRPr="00B2537D">
        <w:rPr>
          <w:rFonts w:cs="Arial"/>
          <w:color w:val="000000"/>
        </w:rPr>
        <w:t xml:space="preserve">, and enhances the activity of Caspase-3. Additionally, </w:t>
      </w:r>
      <w:r w:rsidRPr="00B2537D">
        <w:rPr>
          <w:rFonts w:cs="Arial"/>
          <w:i/>
          <w:iCs/>
          <w:color w:val="000000"/>
        </w:rPr>
        <w:t>in ovo</w:t>
      </w:r>
      <w:r w:rsidRPr="00B2537D">
        <w:rPr>
          <w:rFonts w:cs="Arial"/>
          <w:color w:val="000000"/>
        </w:rPr>
        <w:t xml:space="preserve"> study suggested that PEA potentially impede the growth reticence of blood vessels after 24 hours. This is the first-ever report showing the isolation of PEA from </w:t>
      </w:r>
      <w:r w:rsidRPr="00B2537D">
        <w:rPr>
          <w:rFonts w:cs="Arial"/>
          <w:i/>
          <w:iCs/>
          <w:color w:val="000000"/>
          <w:shd w:val="clear" w:color="auto" w:fill="FFFFFF"/>
        </w:rPr>
        <w:t>O</w:t>
      </w:r>
      <w:r>
        <w:rPr>
          <w:rFonts w:cs="Arial"/>
          <w:i/>
          <w:iCs/>
          <w:color w:val="000000"/>
          <w:shd w:val="clear" w:color="auto" w:fill="FFFFFF"/>
        </w:rPr>
        <w:t>.</w:t>
      </w:r>
      <w:r w:rsidRPr="00B2537D">
        <w:rPr>
          <w:rFonts w:cs="Arial"/>
          <w:i/>
          <w:iCs/>
          <w:color w:val="000000"/>
          <w:shd w:val="clear" w:color="auto" w:fill="FFFFFF"/>
        </w:rPr>
        <w:t xml:space="preserve"> indicum</w:t>
      </w:r>
      <w:r w:rsidRPr="00B2537D">
        <w:rPr>
          <w:rFonts w:cs="Arial"/>
          <w:color w:val="000000"/>
          <w:shd w:val="clear" w:color="auto" w:fill="FFFFFF"/>
        </w:rPr>
        <w:t xml:space="preserve"> plant</w:t>
      </w:r>
      <w:r>
        <w:rPr>
          <w:rFonts w:cs="Arial"/>
          <w:color w:val="000000"/>
          <w:shd w:val="clear" w:color="auto" w:fill="FFFFFF"/>
        </w:rPr>
        <w:t xml:space="preserve"> associated endophyte</w:t>
      </w:r>
      <w:r w:rsidRPr="00B2537D">
        <w:rPr>
          <w:rFonts w:cs="Arial"/>
          <w:i/>
          <w:color w:val="000000"/>
        </w:rPr>
        <w:t xml:space="preserve"> C. gloeosporioides</w:t>
      </w:r>
      <w:r w:rsidRPr="00B2537D">
        <w:rPr>
          <w:rFonts w:cs="Arial"/>
          <w:color w:val="000000"/>
        </w:rPr>
        <w:t xml:space="preserve"> which induces apoptosis in human breast cancer cells and attenuates </w:t>
      </w:r>
      <w:r w:rsidRPr="00B2537D">
        <w:rPr>
          <w:rFonts w:cs="Arial"/>
          <w:i/>
          <w:iCs/>
          <w:color w:val="000000"/>
        </w:rPr>
        <w:t>in ovo</w:t>
      </w:r>
      <w:r w:rsidRPr="00B2537D">
        <w:rPr>
          <w:rFonts w:cs="Arial"/>
          <w:color w:val="000000"/>
        </w:rPr>
        <w:t xml:space="preserve"> neovascularization, therefore, holds great potential for future therapeutics.</w:t>
      </w:r>
    </w:p>
    <w:p w14:paraId="3BA7898D" w14:textId="77777777" w:rsidR="00B2537D" w:rsidRPr="00B2537D" w:rsidRDefault="00B2537D" w:rsidP="00B2537D">
      <w:pPr>
        <w:spacing w:line="276" w:lineRule="auto"/>
        <w:ind w:left="0" w:right="-109" w:hanging="2"/>
        <w:jc w:val="both"/>
        <w:rPr>
          <w:rFonts w:cs="Arial"/>
          <w:i/>
          <w:color w:val="000000"/>
        </w:rPr>
      </w:pPr>
    </w:p>
    <w:p w14:paraId="1C81ABBC" w14:textId="2FA02F1F" w:rsidR="00B2537D" w:rsidRPr="00B2537D" w:rsidRDefault="00B2537D" w:rsidP="00B2537D">
      <w:pPr>
        <w:spacing w:line="360" w:lineRule="auto"/>
        <w:ind w:left="0" w:right="-109" w:hanging="2"/>
        <w:jc w:val="both"/>
        <w:rPr>
          <w:rFonts w:cs="Arial"/>
          <w:iCs/>
          <w:color w:val="000000"/>
        </w:rPr>
      </w:pPr>
      <w:r w:rsidRPr="00B2537D">
        <w:rPr>
          <w:rFonts w:cs="Arial"/>
          <w:b/>
          <w:bCs/>
          <w:color w:val="000000"/>
        </w:rPr>
        <w:t>Keywords:</w:t>
      </w:r>
      <w:r w:rsidRPr="00B2537D">
        <w:rPr>
          <w:rFonts w:cs="Arial"/>
          <w:color w:val="000000"/>
        </w:rPr>
        <w:t xml:space="preserve"> </w:t>
      </w:r>
      <w:r w:rsidR="00C62FD7">
        <w:rPr>
          <w:rFonts w:cs="Arial"/>
          <w:color w:val="000000"/>
        </w:rPr>
        <w:t xml:space="preserve">Medicinal Plant, </w:t>
      </w:r>
      <w:r w:rsidR="00C62FD7" w:rsidRPr="00C62FD7">
        <w:rPr>
          <w:rFonts w:cs="Arial"/>
          <w:i/>
          <w:iCs/>
          <w:color w:val="000000"/>
        </w:rPr>
        <w:t>Oroxylum indicum</w:t>
      </w:r>
      <w:r w:rsidR="00C62FD7">
        <w:rPr>
          <w:rFonts w:cs="Arial"/>
          <w:color w:val="000000"/>
        </w:rPr>
        <w:t xml:space="preserve">, </w:t>
      </w:r>
      <w:r w:rsidRPr="00B2537D">
        <w:rPr>
          <w:rFonts w:cs="Arial"/>
          <w:i/>
          <w:iCs/>
          <w:color w:val="000000"/>
        </w:rPr>
        <w:t>Colletotrichum</w:t>
      </w:r>
      <w:r w:rsidRPr="00B2537D">
        <w:rPr>
          <w:rFonts w:cs="Arial"/>
          <w:color w:val="000000"/>
        </w:rPr>
        <w:t xml:space="preserve"> </w:t>
      </w:r>
      <w:r w:rsidRPr="00B2537D">
        <w:rPr>
          <w:rFonts w:cs="Arial"/>
          <w:i/>
          <w:color w:val="000000"/>
        </w:rPr>
        <w:t>gloeosporioides</w:t>
      </w:r>
      <w:r w:rsidRPr="00B2537D">
        <w:rPr>
          <w:rFonts w:cs="Arial"/>
          <w:iCs/>
          <w:color w:val="000000"/>
        </w:rPr>
        <w:t>, Breast cancer, Bioactive compound</w:t>
      </w:r>
      <w:r w:rsidR="00C62FD7">
        <w:rPr>
          <w:rFonts w:cs="Arial"/>
          <w:iCs/>
          <w:color w:val="000000"/>
        </w:rPr>
        <w:t xml:space="preserve">, </w:t>
      </w:r>
      <w:r w:rsidRPr="00B2537D">
        <w:rPr>
          <w:rFonts w:cs="Arial"/>
          <w:iCs/>
          <w:color w:val="000000"/>
        </w:rPr>
        <w:t>Apoptosis</w:t>
      </w:r>
      <w:r w:rsidR="00C62FD7">
        <w:rPr>
          <w:rFonts w:cs="Arial"/>
          <w:iCs/>
          <w:color w:val="000000"/>
        </w:rPr>
        <w:t>, Angiogenesis</w:t>
      </w:r>
      <w:r w:rsidRPr="00B2537D">
        <w:rPr>
          <w:rFonts w:cs="Arial"/>
          <w:iCs/>
          <w:color w:val="000000"/>
        </w:rPr>
        <w:t>.</w:t>
      </w:r>
    </w:p>
    <w:p w14:paraId="0000000C" w14:textId="02841011" w:rsidR="00D368FA" w:rsidRDefault="00D368FA" w:rsidP="00B2537D">
      <w:pPr>
        <w:ind w:left="0" w:hanging="2"/>
      </w:pPr>
    </w:p>
    <w:sectPr w:rsidR="00D368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FA"/>
    <w:rsid w:val="00256D37"/>
    <w:rsid w:val="002B1E45"/>
    <w:rsid w:val="00846A65"/>
    <w:rsid w:val="00B2537D"/>
    <w:rsid w:val="00C62FD7"/>
    <w:rsid w:val="00C9681C"/>
    <w:rsid w:val="00D368FA"/>
    <w:rsid w:val="00E11E5B"/>
    <w:rsid w:val="00E2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732F"/>
  <w15:docId w15:val="{6EF46149-5E35-4D8B-8E55-8C76BF93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Bioactive compound from Colletotrichum gloeosporioides associated with Oroxylum </vt:lpstr>
      <vt:lpstr/>
      <vt:lpstr>Nilesh Rai, Vibhav Gautam*</vt:lpstr>
      <vt:lpstr/>
      <vt:lpstr>Centre of Experimental Medicine and Surgery, Institute of Medical Sciences, Bana</vt:lpstr>
      <vt:lpstr/>
      <vt:lpstr>*Email: Vibhav.gautam4@bhu.ac.in</vt:lpstr>
      <vt:lpstr/>
      <vt:lpstr>Abstract</vt:lpstr>
      <vt:lpstr/>
      <vt:lpstr>Oroxylum indicum plant hold great significance to produce pharmacological compou</vt:lpstr>
      <vt:lpstr/>
      <vt:lpstr>Further, antioxidant activity-guided fractionation of EA extract of C. gloeospor</vt:lpstr>
      <vt:lpstr/>
      <vt:lpstr/>
      <vt:lpstr>Further in vitro study that showed PEA potentiates cytotoxicity in MDA-MB-231 an</vt:lpstr>
      <vt:lpstr/>
      <vt:lpstr>Keywords: Medicinal Plant, Oroxylum indicum, Colletotrichum gloeosporioides, Bre</vt:lpstr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Nilesh Rai</cp:lastModifiedBy>
  <cp:revision>7</cp:revision>
  <dcterms:created xsi:type="dcterms:W3CDTF">2019-01-18T04:39:00Z</dcterms:created>
  <dcterms:modified xsi:type="dcterms:W3CDTF">2023-01-27T17:50:00Z</dcterms:modified>
</cp:coreProperties>
</file>