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FBD1" w14:textId="15FE7725" w:rsidR="00C2624D" w:rsidRPr="00C2624D" w:rsidRDefault="00C2624D" w:rsidP="00C11EF7">
      <w:pPr>
        <w:tabs>
          <w:tab w:val="left" w:pos="8190"/>
        </w:tabs>
        <w:spacing w:line="360" w:lineRule="auto"/>
        <w:jc w:val="both"/>
        <w:rPr>
          <w:rFonts w:ascii="Arial" w:hAnsi="Arial" w:cs="Arial"/>
          <w:b/>
          <w:bCs/>
          <w:i/>
        </w:rPr>
      </w:pPr>
      <w:r>
        <w:rPr>
          <w:rFonts w:ascii="Arial" w:hAnsi="Arial" w:cs="Arial"/>
          <w:b/>
          <w:bCs/>
        </w:rPr>
        <w:t xml:space="preserve">Biological potential of bioactive compounds isolated from the fungal endophyte associated with medicinal plant </w:t>
      </w:r>
      <w:r>
        <w:rPr>
          <w:rFonts w:ascii="Arial" w:hAnsi="Arial" w:cs="Arial"/>
          <w:b/>
          <w:bCs/>
          <w:i/>
        </w:rPr>
        <w:t>Amoora rohituka</w:t>
      </w:r>
    </w:p>
    <w:p w14:paraId="429D3F35" w14:textId="26C0A54E" w:rsidR="00C11EF7" w:rsidRPr="0015502C" w:rsidRDefault="00C11EF7" w:rsidP="00C11EF7">
      <w:pPr>
        <w:tabs>
          <w:tab w:val="left" w:pos="8190"/>
        </w:tabs>
        <w:spacing w:line="360" w:lineRule="auto"/>
        <w:jc w:val="both"/>
        <w:rPr>
          <w:rFonts w:ascii="Arial" w:hAnsi="Arial" w:cs="Arial"/>
          <w:color w:val="000000"/>
        </w:rPr>
      </w:pPr>
      <w:r w:rsidRPr="00990A0E">
        <w:rPr>
          <w:rFonts w:ascii="Arial" w:hAnsi="Arial" w:cs="Arial"/>
          <w:color w:val="000000"/>
          <w:u w:val="single"/>
        </w:rPr>
        <w:t>Ashish Verma</w:t>
      </w:r>
      <w:r w:rsidRPr="0015502C">
        <w:rPr>
          <w:rFonts w:ascii="Arial" w:hAnsi="Arial" w:cs="Arial"/>
          <w:color w:val="000000"/>
        </w:rPr>
        <w:t>, Vibhav Gautam</w:t>
      </w:r>
      <w:r w:rsidRPr="0015502C">
        <w:rPr>
          <w:rFonts w:ascii="Arial" w:hAnsi="Arial" w:cs="Arial"/>
          <w:color w:val="000000"/>
          <w:vertAlign w:val="superscript"/>
        </w:rPr>
        <w:t>*</w:t>
      </w:r>
    </w:p>
    <w:p w14:paraId="6E94168F" w14:textId="0C7C0DED" w:rsidR="00C11EF7" w:rsidRPr="0099195C" w:rsidRDefault="00C11EF7" w:rsidP="0015502C">
      <w:pPr>
        <w:spacing w:line="360" w:lineRule="auto"/>
        <w:jc w:val="both"/>
        <w:rPr>
          <w:rFonts w:ascii="Arial" w:hAnsi="Arial" w:cs="Arial"/>
          <w:i/>
          <w:color w:val="000000"/>
        </w:rPr>
      </w:pPr>
      <w:r w:rsidRPr="0099195C">
        <w:rPr>
          <w:rFonts w:ascii="Arial" w:hAnsi="Arial" w:cs="Arial"/>
          <w:i/>
          <w:color w:val="000000"/>
        </w:rPr>
        <w:t>Centre of Experimental Medicine and Surgery, Institute of Medical Sciences, Banaras Hindu University, Varanasi-221005, India</w:t>
      </w:r>
    </w:p>
    <w:p w14:paraId="34C07660" w14:textId="24C271BA" w:rsidR="00C11EF7" w:rsidRDefault="00990A0E" w:rsidP="00C11EF7">
      <w:pPr>
        <w:spacing w:after="0" w:line="360" w:lineRule="auto"/>
        <w:jc w:val="both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b/>
          <w:bCs/>
          <w:iCs/>
          <w:color w:val="000000"/>
        </w:rPr>
        <w:t>*</w:t>
      </w:r>
      <w:r w:rsidR="0015502C" w:rsidRPr="00990A0E">
        <w:rPr>
          <w:rFonts w:ascii="Arial" w:hAnsi="Arial" w:cs="Arial"/>
          <w:b/>
          <w:bCs/>
          <w:iCs/>
          <w:color w:val="000000"/>
        </w:rPr>
        <w:t>Email</w:t>
      </w:r>
      <w:r w:rsidR="0015502C" w:rsidRPr="0015502C">
        <w:rPr>
          <w:rFonts w:ascii="Arial" w:hAnsi="Arial" w:cs="Arial"/>
          <w:iCs/>
          <w:color w:val="000000"/>
        </w:rPr>
        <w:t xml:space="preserve">: </w:t>
      </w:r>
      <w:r w:rsidRPr="00990A0E">
        <w:rPr>
          <w:rFonts w:ascii="Arial" w:hAnsi="Arial" w:cs="Arial"/>
          <w:iCs/>
          <w:color w:val="000000"/>
        </w:rPr>
        <w:t>vibhav.gautam4@bhu.ac.in</w:t>
      </w:r>
    </w:p>
    <w:p w14:paraId="4568DC79" w14:textId="77777777" w:rsidR="0015502C" w:rsidRPr="0015502C" w:rsidRDefault="0015502C" w:rsidP="00C11EF7">
      <w:pPr>
        <w:spacing w:after="0" w:line="360" w:lineRule="auto"/>
        <w:jc w:val="both"/>
        <w:rPr>
          <w:rFonts w:ascii="Arial" w:hAnsi="Arial" w:cs="Arial"/>
          <w:iCs/>
          <w:color w:val="000000"/>
        </w:rPr>
      </w:pPr>
    </w:p>
    <w:p w14:paraId="42362223" w14:textId="77777777" w:rsidR="00462615" w:rsidRDefault="00C11EF7" w:rsidP="0046261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15502C">
        <w:rPr>
          <w:rFonts w:ascii="Arial" w:hAnsi="Arial" w:cs="Arial"/>
          <w:b/>
          <w:bCs/>
        </w:rPr>
        <w:t>Abstract</w:t>
      </w:r>
    </w:p>
    <w:p w14:paraId="10F4DFF1" w14:textId="61C4F13D" w:rsidR="0079516D" w:rsidRPr="008C6C1B" w:rsidRDefault="009944B3" w:rsidP="00462615">
      <w:pPr>
        <w:jc w:val="both"/>
        <w:rPr>
          <w:rFonts w:ascii="Arial" w:hAnsi="Arial" w:cs="Arial"/>
        </w:rPr>
      </w:pPr>
      <w:r w:rsidRPr="008C6C1B">
        <w:rPr>
          <w:rFonts w:ascii="Arial" w:hAnsi="Arial" w:cs="Arial"/>
        </w:rPr>
        <w:t xml:space="preserve">Modern pharmacology is built on the ethno-medical use of plants, and many medications are made from plant-based chemicals. The prospection of unusual sources and uncharted habitat is a useful strategy in the study of natural products, and endophytic fungi are of particular interest due to their capacity to produce novel and intriguing secondary metabolites that have a variety of biological uses. The endophytes form unique symbiotic associations with the plants, and the metabolic interactions may help in the production of some similar  bioactive molecules. </w:t>
      </w:r>
      <w:r w:rsidR="00990A0E" w:rsidRPr="008C6C1B">
        <w:rPr>
          <w:rFonts w:ascii="Arial" w:hAnsi="Arial" w:cs="Arial"/>
        </w:rPr>
        <w:t xml:space="preserve">The present </w:t>
      </w:r>
      <w:r w:rsidR="008C6C1B" w:rsidRPr="008C6C1B">
        <w:rPr>
          <w:rFonts w:ascii="Arial" w:hAnsi="Arial" w:cs="Arial"/>
        </w:rPr>
        <w:t xml:space="preserve">work addresses the role of bioactive compounds derived from  </w:t>
      </w:r>
      <w:r w:rsidR="00A20C71" w:rsidRPr="008C6C1B">
        <w:rPr>
          <w:rFonts w:ascii="Arial" w:hAnsi="Arial" w:cs="Arial"/>
        </w:rPr>
        <w:t xml:space="preserve"> </w:t>
      </w:r>
      <w:r w:rsidR="00816FD9" w:rsidRPr="008C6C1B">
        <w:rPr>
          <w:rFonts w:ascii="Arial" w:hAnsi="Arial" w:cs="Arial"/>
        </w:rPr>
        <w:t>fungal endophyte</w:t>
      </w:r>
      <w:r w:rsidR="008C6C1B" w:rsidRPr="008C6C1B">
        <w:rPr>
          <w:rFonts w:ascii="Arial" w:hAnsi="Arial" w:cs="Arial"/>
        </w:rPr>
        <w:t>s</w:t>
      </w:r>
      <w:r w:rsidR="00816FD9" w:rsidRPr="008C6C1B">
        <w:rPr>
          <w:rFonts w:ascii="Arial" w:hAnsi="Arial" w:cs="Arial"/>
        </w:rPr>
        <w:t xml:space="preserve"> </w:t>
      </w:r>
      <w:r w:rsidR="008C6C1B" w:rsidRPr="008C6C1B">
        <w:rPr>
          <w:rFonts w:ascii="Arial" w:hAnsi="Arial" w:cs="Arial"/>
        </w:rPr>
        <w:t>associated with</w:t>
      </w:r>
      <w:r w:rsidR="00816FD9" w:rsidRPr="008C6C1B">
        <w:rPr>
          <w:rFonts w:ascii="Arial" w:hAnsi="Arial" w:cs="Arial"/>
        </w:rPr>
        <w:t xml:space="preserve"> medicinal plant </w:t>
      </w:r>
      <w:r w:rsidR="00816FD9" w:rsidRPr="008C6C1B">
        <w:rPr>
          <w:rFonts w:ascii="Arial" w:hAnsi="Arial" w:cs="Arial"/>
          <w:i/>
          <w:iCs/>
        </w:rPr>
        <w:t>Amoora rohituka</w:t>
      </w:r>
      <w:r w:rsidR="00816FD9" w:rsidRPr="008C6C1B">
        <w:rPr>
          <w:rFonts w:ascii="Arial" w:hAnsi="Arial" w:cs="Arial"/>
        </w:rPr>
        <w:t>. A</w:t>
      </w:r>
      <w:r w:rsidR="0079516D" w:rsidRPr="008C6C1B">
        <w:rPr>
          <w:rFonts w:ascii="Arial" w:hAnsi="Arial" w:cs="Arial"/>
        </w:rPr>
        <w:t xml:space="preserve"> total of eight fungal endophytes were isolated from the leaf tissue of </w:t>
      </w:r>
      <w:r w:rsidR="0079516D" w:rsidRPr="008C6C1B">
        <w:rPr>
          <w:rFonts w:ascii="Arial" w:hAnsi="Arial" w:cs="Arial"/>
          <w:i/>
          <w:iCs/>
        </w:rPr>
        <w:t>Amoora rohituka</w:t>
      </w:r>
      <w:r w:rsidR="0079516D" w:rsidRPr="008C6C1B">
        <w:rPr>
          <w:rFonts w:ascii="Arial" w:hAnsi="Arial" w:cs="Arial"/>
        </w:rPr>
        <w:t xml:space="preserve"> and out of which</w:t>
      </w:r>
      <w:r w:rsidR="007F1ED2" w:rsidRPr="008C6C1B">
        <w:rPr>
          <w:rFonts w:ascii="Arial" w:hAnsi="Arial" w:cs="Arial"/>
        </w:rPr>
        <w:t>,</w:t>
      </w:r>
      <w:r w:rsidR="0079516D" w:rsidRPr="008C6C1B">
        <w:rPr>
          <w:rFonts w:ascii="Arial" w:hAnsi="Arial" w:cs="Arial"/>
        </w:rPr>
        <w:t xml:space="preserve"> </w:t>
      </w:r>
      <w:bookmarkStart w:id="0" w:name="_Hlk125795067"/>
      <w:r w:rsidR="0079516D" w:rsidRPr="008C6C1B">
        <w:rPr>
          <w:rFonts w:ascii="Arial" w:hAnsi="Arial" w:cs="Arial"/>
        </w:rPr>
        <w:t xml:space="preserve">ethyl acetate </w:t>
      </w:r>
      <w:bookmarkEnd w:id="0"/>
      <w:r w:rsidR="0079516D" w:rsidRPr="008C6C1B">
        <w:rPr>
          <w:rFonts w:ascii="Arial" w:hAnsi="Arial" w:cs="Arial"/>
        </w:rPr>
        <w:t xml:space="preserve">extract of </w:t>
      </w:r>
      <w:r w:rsidR="0079516D" w:rsidRPr="008C6C1B">
        <w:rPr>
          <w:rFonts w:ascii="Arial" w:hAnsi="Arial" w:cs="Arial"/>
          <w:i/>
          <w:iCs/>
        </w:rPr>
        <w:t xml:space="preserve">Penicillium oxalicum </w:t>
      </w:r>
      <w:r w:rsidR="0079516D" w:rsidRPr="008C6C1B">
        <w:rPr>
          <w:rFonts w:ascii="Arial" w:hAnsi="Arial" w:cs="Arial"/>
        </w:rPr>
        <w:t xml:space="preserve">was found to exhibit potential antioxidant activity against DPPH, nitric oxide, superoxide anion and hydroxyl free radicals. The significant antioxidant activity of </w:t>
      </w:r>
      <w:r w:rsidR="006A026C" w:rsidRPr="008C6C1B">
        <w:rPr>
          <w:rFonts w:ascii="Arial" w:hAnsi="Arial" w:cs="Arial"/>
        </w:rPr>
        <w:t>ethyl acetate</w:t>
      </w:r>
      <w:r w:rsidR="0079516D" w:rsidRPr="008C6C1B">
        <w:rPr>
          <w:rFonts w:ascii="Arial" w:hAnsi="Arial" w:cs="Arial"/>
        </w:rPr>
        <w:t xml:space="preserve"> extract of </w:t>
      </w:r>
      <w:r w:rsidR="0079516D" w:rsidRPr="008C6C1B">
        <w:rPr>
          <w:rFonts w:ascii="Arial" w:hAnsi="Arial" w:cs="Arial"/>
          <w:i/>
          <w:iCs/>
        </w:rPr>
        <w:t>P. oxalicum</w:t>
      </w:r>
      <w:r w:rsidR="0079516D" w:rsidRPr="008C6C1B">
        <w:rPr>
          <w:rFonts w:ascii="Arial" w:hAnsi="Arial" w:cs="Arial"/>
        </w:rPr>
        <w:t xml:space="preserve"> is validated through highest phenolic and flavonoid content and the presence of unique bioactive components observed through high-performance thin layer chromatography fingerprinting. Moreover, </w:t>
      </w:r>
      <w:r w:rsidR="00990A0E" w:rsidRPr="008C6C1B">
        <w:rPr>
          <w:rFonts w:ascii="Arial" w:hAnsi="Arial" w:cs="Arial"/>
        </w:rPr>
        <w:t>ethyl acetate</w:t>
      </w:r>
      <w:r w:rsidR="0079516D" w:rsidRPr="008C6C1B">
        <w:rPr>
          <w:rFonts w:ascii="Arial" w:hAnsi="Arial" w:cs="Arial"/>
        </w:rPr>
        <w:t xml:space="preserve"> extract of </w:t>
      </w:r>
      <w:r w:rsidR="0079516D" w:rsidRPr="008C6C1B">
        <w:rPr>
          <w:rFonts w:ascii="Arial" w:hAnsi="Arial" w:cs="Arial"/>
          <w:i/>
          <w:iCs/>
        </w:rPr>
        <w:t>P. oxalicum</w:t>
      </w:r>
      <w:r w:rsidR="0079516D" w:rsidRPr="008C6C1B">
        <w:rPr>
          <w:rFonts w:ascii="Arial" w:hAnsi="Arial" w:cs="Arial"/>
        </w:rPr>
        <w:t xml:space="preserve"> also showed substantial </w:t>
      </w:r>
      <w:r w:rsidRPr="008C6C1B">
        <w:rPr>
          <w:rFonts w:ascii="Arial" w:hAnsi="Arial" w:cs="Arial"/>
        </w:rPr>
        <w:t>cytotoxic</w:t>
      </w:r>
      <w:r w:rsidR="0079516D" w:rsidRPr="008C6C1B">
        <w:rPr>
          <w:rFonts w:ascii="Arial" w:hAnsi="Arial" w:cs="Arial"/>
        </w:rPr>
        <w:t xml:space="preserve"> activity against different breast cancer cells MDA-MB-231 and MCF-7.</w:t>
      </w:r>
      <w:r w:rsidRPr="008C6C1B">
        <w:rPr>
          <w:rFonts w:ascii="Arial" w:hAnsi="Arial" w:cs="Arial"/>
        </w:rPr>
        <w:t xml:space="preserve"> </w:t>
      </w:r>
      <w:r w:rsidR="00816FD9" w:rsidRPr="0088408F">
        <w:rPr>
          <w:rFonts w:ascii="Arial" w:hAnsi="Arial" w:cs="Arial"/>
          <w:shd w:val="clear" w:color="auto" w:fill="FFFFFF"/>
        </w:rPr>
        <w:t>With</w:t>
      </w:r>
      <w:r w:rsidR="008D5AF8" w:rsidRPr="0088408F">
        <w:rPr>
          <w:rFonts w:ascii="Arial" w:hAnsi="Arial" w:cs="Arial"/>
          <w:shd w:val="clear" w:color="auto" w:fill="FFFFFF"/>
        </w:rPr>
        <w:t xml:space="preserve"> the aid of this</w:t>
      </w:r>
      <w:r w:rsidR="005374BB" w:rsidRPr="0088408F">
        <w:rPr>
          <w:rFonts w:ascii="Arial" w:hAnsi="Arial" w:cs="Arial"/>
          <w:shd w:val="clear" w:color="auto" w:fill="FFFFFF"/>
        </w:rPr>
        <w:t>,</w:t>
      </w:r>
      <w:r w:rsidR="008D5AF8" w:rsidRPr="0088408F">
        <w:rPr>
          <w:rFonts w:ascii="Arial" w:hAnsi="Arial" w:cs="Arial"/>
          <w:shd w:val="clear" w:color="auto" w:fill="FFFFFF"/>
        </w:rPr>
        <w:t xml:space="preserve"> </w:t>
      </w:r>
      <w:r w:rsidR="0079516D" w:rsidRPr="0088408F">
        <w:rPr>
          <w:rFonts w:ascii="Arial" w:hAnsi="Arial" w:cs="Arial"/>
          <w:shd w:val="clear" w:color="auto" w:fill="FFFFFF"/>
        </w:rPr>
        <w:t xml:space="preserve">reduced glucose uptake and increased nitric oxide production suggest the antiproliferative activity of </w:t>
      </w:r>
      <w:r w:rsidR="00990A0E" w:rsidRPr="008C6C1B">
        <w:rPr>
          <w:rFonts w:ascii="Arial" w:hAnsi="Arial" w:cs="Arial"/>
        </w:rPr>
        <w:t>ethyl acetate</w:t>
      </w:r>
      <w:r w:rsidR="0079516D" w:rsidRPr="0088408F">
        <w:rPr>
          <w:rFonts w:ascii="Arial" w:hAnsi="Arial" w:cs="Arial"/>
          <w:shd w:val="clear" w:color="auto" w:fill="FFFFFF"/>
        </w:rPr>
        <w:t xml:space="preserve"> extract of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>P. oxalicum</w:t>
      </w:r>
      <w:r w:rsidR="0079516D" w:rsidRPr="0088408F">
        <w:rPr>
          <w:rFonts w:ascii="Arial" w:hAnsi="Arial" w:cs="Arial"/>
          <w:shd w:val="clear" w:color="auto" w:fill="FFFFFF"/>
        </w:rPr>
        <w:t xml:space="preserve">. Also, EA extract of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>P. oxalicum</w:t>
      </w:r>
      <w:r w:rsidR="0079516D" w:rsidRPr="0088408F">
        <w:rPr>
          <w:rFonts w:ascii="Arial" w:hAnsi="Arial" w:cs="Arial"/>
          <w:shd w:val="clear" w:color="auto" w:fill="FFFFFF"/>
        </w:rPr>
        <w:t xml:space="preserve"> attenuates the colony number, cell migration ability and alters nuclear morphology</w:t>
      </w:r>
      <w:r w:rsidR="00FD4D8E" w:rsidRPr="0088408F">
        <w:rPr>
          <w:rFonts w:ascii="Arial" w:hAnsi="Arial" w:cs="Arial"/>
          <w:shd w:val="clear" w:color="auto" w:fill="FFFFFF"/>
        </w:rPr>
        <w:t>.</w:t>
      </w:r>
      <w:r w:rsidR="00FD4D8E" w:rsidRPr="008C6C1B">
        <w:t xml:space="preserve"> </w:t>
      </w:r>
      <w:r w:rsidR="00FD4D8E" w:rsidRPr="0088408F">
        <w:rPr>
          <w:rFonts w:ascii="Arial" w:hAnsi="Arial" w:cs="Arial"/>
          <w:shd w:val="clear" w:color="auto" w:fill="FFFFFF"/>
        </w:rPr>
        <w:t xml:space="preserve">Annexin-V and PI based study suggest that MDA-MB-231 and MCF-7 cells enters to the early and late apoptotic phase, after 24 hours of treatment with </w:t>
      </w:r>
      <w:r w:rsidR="00990A0E" w:rsidRPr="008C6C1B">
        <w:rPr>
          <w:rFonts w:ascii="Arial" w:hAnsi="Arial" w:cs="Arial"/>
        </w:rPr>
        <w:t>ethyl acetate</w:t>
      </w:r>
      <w:r w:rsidR="00FD4D8E" w:rsidRPr="0088408F">
        <w:rPr>
          <w:rFonts w:ascii="Arial" w:hAnsi="Arial" w:cs="Arial"/>
          <w:shd w:val="clear" w:color="auto" w:fill="FFFFFF"/>
        </w:rPr>
        <w:t xml:space="preserve"> extract of</w:t>
      </w:r>
      <w:r w:rsidR="00FD4D8E" w:rsidRPr="0088408F">
        <w:rPr>
          <w:rFonts w:ascii="Arial" w:hAnsi="Arial" w:cs="Arial"/>
          <w:i/>
          <w:iCs/>
          <w:shd w:val="clear" w:color="auto" w:fill="FFFFFF"/>
        </w:rPr>
        <w:t xml:space="preserve"> P. oxalicum.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 Moreover, </w:t>
      </w:r>
      <w:r w:rsidR="00990A0E" w:rsidRPr="008C6C1B">
        <w:rPr>
          <w:rFonts w:ascii="Arial" w:hAnsi="Arial" w:cs="Arial"/>
        </w:rPr>
        <w:t>ethyl acetate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 extract of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>P. oxalicum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 alters the apoptosis-related genes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 xml:space="preserve">BAX, P21, FADD, </w:t>
      </w:r>
      <w:r w:rsidR="0079516D" w:rsidRPr="0088408F">
        <w:rPr>
          <w:rFonts w:ascii="Arial" w:hAnsi="Arial" w:cs="Arial"/>
          <w:shd w:val="clear" w:color="auto" w:fill="FFFFFF"/>
        </w:rPr>
        <w:t xml:space="preserve">and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>CASPASE-8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, and induces Caspase-3 activity, </w:t>
      </w:r>
      <w:r w:rsidR="0079516D" w:rsidRPr="0088408F">
        <w:rPr>
          <w:rFonts w:ascii="Arial" w:hAnsi="Arial" w:cs="Arial"/>
          <w:shd w:val="clear" w:color="auto" w:fill="FFFFFF"/>
        </w:rPr>
        <w:t xml:space="preserve">further validated apoptotic cell death. 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Overall, </w:t>
      </w:r>
      <w:r w:rsidR="008C6C1B">
        <w:rPr>
          <w:rFonts w:ascii="Arial" w:hAnsi="Arial" w:cs="Arial"/>
          <w:iCs/>
          <w:shd w:val="clear" w:color="auto" w:fill="FFFFFF"/>
        </w:rPr>
        <w:t>our</w:t>
      </w:r>
      <w:r w:rsidR="008C6C1B" w:rsidRPr="0088408F">
        <w:rPr>
          <w:rFonts w:ascii="Arial" w:hAnsi="Arial" w:cs="Arial"/>
          <w:iCs/>
          <w:shd w:val="clear" w:color="auto" w:fill="FFFFFF"/>
        </w:rPr>
        <w:t xml:space="preserve"> </w:t>
      </w:r>
      <w:r w:rsidR="0079516D" w:rsidRPr="0088408F">
        <w:rPr>
          <w:rFonts w:ascii="Arial" w:hAnsi="Arial" w:cs="Arial"/>
          <w:iCs/>
          <w:shd w:val="clear" w:color="auto" w:fill="FFFFFF"/>
        </w:rPr>
        <w:t xml:space="preserve">current findings suggest that </w:t>
      </w:r>
      <w:r w:rsidR="0079516D" w:rsidRPr="0088408F">
        <w:rPr>
          <w:rFonts w:ascii="Arial" w:hAnsi="Arial" w:cs="Arial"/>
          <w:i/>
          <w:iCs/>
          <w:shd w:val="clear" w:color="auto" w:fill="FFFFFF"/>
        </w:rPr>
        <w:t xml:space="preserve">P. oxalicum </w:t>
      </w:r>
      <w:r w:rsidR="00990A0E" w:rsidRPr="0088408F">
        <w:rPr>
          <w:rFonts w:ascii="Arial" w:hAnsi="Arial" w:cs="Arial"/>
          <w:shd w:val="clear" w:color="auto" w:fill="FFFFFF"/>
        </w:rPr>
        <w:t xml:space="preserve">derived bioactive compounds </w:t>
      </w:r>
      <w:r w:rsidR="0079516D" w:rsidRPr="0088408F">
        <w:rPr>
          <w:rFonts w:ascii="Arial" w:hAnsi="Arial" w:cs="Arial"/>
          <w:iCs/>
          <w:shd w:val="clear" w:color="auto" w:fill="FFFFFF"/>
        </w:rPr>
        <w:t>may be a promising candidate for the treatment of breast carcinomas.</w:t>
      </w:r>
    </w:p>
    <w:p w14:paraId="3B3F2AE6" w14:textId="77777777" w:rsidR="00B571D1" w:rsidRPr="0015502C" w:rsidRDefault="00B571D1"/>
    <w:sectPr w:rsidR="00B571D1" w:rsidRPr="00155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trackRevision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16D"/>
    <w:rsid w:val="000D617F"/>
    <w:rsid w:val="0015502C"/>
    <w:rsid w:val="001C6857"/>
    <w:rsid w:val="002A43ED"/>
    <w:rsid w:val="003731AB"/>
    <w:rsid w:val="00462615"/>
    <w:rsid w:val="00472C2F"/>
    <w:rsid w:val="0047481F"/>
    <w:rsid w:val="005374BB"/>
    <w:rsid w:val="00614114"/>
    <w:rsid w:val="006A026C"/>
    <w:rsid w:val="00753E57"/>
    <w:rsid w:val="0079516D"/>
    <w:rsid w:val="007F1ED2"/>
    <w:rsid w:val="00816FD9"/>
    <w:rsid w:val="0088408F"/>
    <w:rsid w:val="008C6C1B"/>
    <w:rsid w:val="008D5AF8"/>
    <w:rsid w:val="009132AC"/>
    <w:rsid w:val="00990A0E"/>
    <w:rsid w:val="0099195C"/>
    <w:rsid w:val="009944B3"/>
    <w:rsid w:val="00A20C71"/>
    <w:rsid w:val="00A503E3"/>
    <w:rsid w:val="00B2676D"/>
    <w:rsid w:val="00B571D1"/>
    <w:rsid w:val="00C11EF7"/>
    <w:rsid w:val="00C2624D"/>
    <w:rsid w:val="00C9739A"/>
    <w:rsid w:val="00D94492"/>
    <w:rsid w:val="00FB0AF1"/>
    <w:rsid w:val="00F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86ED"/>
  <w15:chartTrackingRefBased/>
  <w15:docId w15:val="{C3344E8A-6153-4D76-AFEA-66C4DE35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16D"/>
    <w:pPr>
      <w:spacing w:after="200" w:line="276" w:lineRule="auto"/>
    </w:pPr>
    <w:rPr>
      <w:rFonts w:ascii="Calibri" w:eastAsia="Times New Roman" w:hAnsi="Calibri" w:cs="Times New Roman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502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502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C1B"/>
    <w:rPr>
      <w:rFonts w:ascii="Segoe UI" w:eastAsia="Times New Roman" w:hAnsi="Segoe UI" w:cs="Segoe UI"/>
      <w:sz w:val="18"/>
      <w:szCs w:val="18"/>
      <w:lang w:val="en-US" w:bidi="ar-SA"/>
    </w:rPr>
  </w:style>
  <w:style w:type="paragraph" w:styleId="Revision">
    <w:name w:val="Revision"/>
    <w:hidden/>
    <w:uiPriority w:val="99"/>
    <w:semiHidden/>
    <w:rsid w:val="0088408F"/>
    <w:pPr>
      <w:spacing w:after="0" w:line="240" w:lineRule="auto"/>
    </w:pPr>
    <w:rPr>
      <w:rFonts w:ascii="Calibri" w:eastAsia="Times New Roman" w:hAnsi="Calibri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Nilesh Rai</cp:lastModifiedBy>
  <cp:revision>23</cp:revision>
  <dcterms:created xsi:type="dcterms:W3CDTF">2023-01-27T19:49:00Z</dcterms:created>
  <dcterms:modified xsi:type="dcterms:W3CDTF">2023-01-28T05:32:00Z</dcterms:modified>
</cp:coreProperties>
</file>