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3BC62776" w:rsidR="00430A0F" w:rsidRDefault="00AB1BC1" w:rsidP="00AB1BC1">
      <w:pPr>
        <w:ind w:left="0" w:hanging="2"/>
        <w:jc w:val="both"/>
        <w:rPr>
          <w:sz w:val="24"/>
          <w:szCs w:val="24"/>
        </w:rPr>
      </w:pPr>
      <w:r>
        <w:rPr>
          <w:b/>
          <w:sz w:val="24"/>
          <w:szCs w:val="24"/>
        </w:rPr>
        <w:t>Plant associated f</w:t>
      </w:r>
      <w:r w:rsidR="00477A28" w:rsidRPr="00477A28">
        <w:rPr>
          <w:b/>
          <w:sz w:val="24"/>
          <w:szCs w:val="24"/>
        </w:rPr>
        <w:t>ungal endophyte mediate</w:t>
      </w:r>
      <w:r>
        <w:rPr>
          <w:b/>
          <w:sz w:val="24"/>
          <w:szCs w:val="24"/>
        </w:rPr>
        <w:t xml:space="preserve">d </w:t>
      </w:r>
      <w:r w:rsidR="00477A28" w:rsidRPr="00477A28">
        <w:rPr>
          <w:b/>
          <w:sz w:val="24"/>
          <w:szCs w:val="24"/>
        </w:rPr>
        <w:t>silver nanoparticles exhibit antimicrobial and antioxidant property, and induces apoptosis in breast cancer cells</w:t>
      </w:r>
    </w:p>
    <w:p w14:paraId="6EE63B06" w14:textId="77777777" w:rsidR="00DB6BFA" w:rsidRDefault="00DB6BFA">
      <w:pPr>
        <w:ind w:left="0" w:hanging="2"/>
      </w:pPr>
    </w:p>
    <w:p w14:paraId="00000004" w14:textId="2830B03F" w:rsidR="00430A0F" w:rsidRDefault="00477A28">
      <w:pPr>
        <w:ind w:left="0" w:hanging="2"/>
      </w:pPr>
      <w:r w:rsidRPr="00AB1BC1">
        <w:rPr>
          <w:u w:val="single"/>
        </w:rPr>
        <w:t>Priyamvada Gupta</w:t>
      </w:r>
      <w:r w:rsidRPr="00477A28">
        <w:t>, Vibhav Gautam*</w:t>
      </w:r>
    </w:p>
    <w:p w14:paraId="23387AEE" w14:textId="77777777" w:rsidR="002A0CD9" w:rsidRPr="00C41624" w:rsidRDefault="002A0CD9">
      <w:pPr>
        <w:ind w:left="0" w:hanging="2"/>
      </w:pPr>
    </w:p>
    <w:p w14:paraId="00000007" w14:textId="48D0CF08" w:rsidR="00430A0F" w:rsidRPr="00C41624" w:rsidRDefault="00477A28">
      <w:pPr>
        <w:ind w:left="0" w:hanging="2"/>
        <w:rPr>
          <w:i/>
        </w:rPr>
      </w:pPr>
      <w:r w:rsidRPr="00C41624">
        <w:rPr>
          <w:i/>
        </w:rPr>
        <w:t>Centre of Experimental Medicine and Surgery, Institute of Medical Sciences, Banaras Hindu University, Varanasi-221005</w:t>
      </w:r>
    </w:p>
    <w:p w14:paraId="0DA34631" w14:textId="77777777" w:rsidR="002A0CD9" w:rsidRDefault="002A0CD9">
      <w:pPr>
        <w:ind w:left="0" w:hanging="2"/>
      </w:pPr>
    </w:p>
    <w:p w14:paraId="00000008" w14:textId="27303577" w:rsidR="00430A0F" w:rsidRDefault="00000000">
      <w:pPr>
        <w:ind w:left="0" w:hanging="2"/>
      </w:pPr>
      <w:r w:rsidRPr="002A0CD9">
        <w:rPr>
          <w:b/>
          <w:bCs/>
        </w:rPr>
        <w:t>*Email:</w:t>
      </w:r>
      <w:r>
        <w:t xml:space="preserve"> </w:t>
      </w:r>
      <w:r w:rsidR="00477A28">
        <w:t>vibhav.gautam4@bhu.ac.in</w:t>
      </w:r>
    </w:p>
    <w:p w14:paraId="00000009" w14:textId="77777777" w:rsidR="00430A0F" w:rsidRDefault="00430A0F" w:rsidP="002A0CD9">
      <w:pPr>
        <w:ind w:leftChars="0" w:left="0" w:firstLineChars="0" w:firstLine="0"/>
      </w:pPr>
    </w:p>
    <w:p w14:paraId="0000000A" w14:textId="77777777" w:rsidR="00430A0F" w:rsidRDefault="00000000">
      <w:pPr>
        <w:ind w:left="0" w:hanging="2"/>
      </w:pPr>
      <w:r>
        <w:rPr>
          <w:b/>
        </w:rPr>
        <w:t>Abstract</w:t>
      </w:r>
    </w:p>
    <w:p w14:paraId="0000000B" w14:textId="77777777" w:rsidR="00430A0F" w:rsidRDefault="00430A0F">
      <w:pPr>
        <w:ind w:left="0" w:hanging="2"/>
      </w:pPr>
    </w:p>
    <w:p w14:paraId="41FBA6B5" w14:textId="1EBC37E6" w:rsidR="00C41624" w:rsidRPr="00C41624" w:rsidRDefault="00477A28" w:rsidP="00C41624">
      <w:pPr>
        <w:ind w:leftChars="0" w:left="0" w:firstLineChars="0" w:firstLine="0"/>
        <w:jc w:val="both"/>
        <w:rPr>
          <w:lang w:val="en-IN"/>
        </w:rPr>
      </w:pPr>
      <w:r w:rsidRPr="00477A28">
        <w:t xml:space="preserve">Green-based approach for the synthesis of silver nanoparticles has gained tremendous attention in biomedical applications. Fungal endophytes </w:t>
      </w:r>
      <w:r w:rsidR="00C41624">
        <w:t xml:space="preserve">produce pharmaceutically important bioactive compounds and therefore </w:t>
      </w:r>
      <w:r w:rsidRPr="00477A28">
        <w:t xml:space="preserve">recognized as a remarkable biological source for the synthesis of potential nanodrug. Our study focusses on fabrication of silver nanoparticles using </w:t>
      </w:r>
      <w:r w:rsidRPr="00477A28">
        <w:rPr>
          <w:lang w:val="en-IN"/>
        </w:rPr>
        <w:t>the fungal endophyte </w:t>
      </w:r>
      <w:r w:rsidRPr="00477A28">
        <w:rPr>
          <w:i/>
          <w:iCs/>
          <w:lang w:val="en-IN"/>
        </w:rPr>
        <w:t>Penicillium oxalicum</w:t>
      </w:r>
      <w:r w:rsidRPr="00477A28">
        <w:rPr>
          <w:lang w:val="en-IN"/>
        </w:rPr>
        <w:t xml:space="preserve"> (POAgNPs) associated with the leaf of </w:t>
      </w:r>
      <w:r w:rsidRPr="00477A28">
        <w:rPr>
          <w:i/>
          <w:iCs/>
          <w:lang w:val="en-IN"/>
        </w:rPr>
        <w:t>Amoora rohituka</w:t>
      </w:r>
      <w:r w:rsidRPr="00477A28">
        <w:rPr>
          <w:lang w:val="en-IN"/>
        </w:rPr>
        <w:t> plant</w:t>
      </w:r>
      <w:r w:rsidRPr="00477A28">
        <w:t xml:space="preserve">. A sharp UV–visible spectra at 420 nm occurred due to the surface plasmon resonance of POAgNPs and FTIR analysis revealed functional group denoting fungal biomolecules involved in the reduction of silver salt and stabilization of POAgNPs. The characteristic diffraction pattern observed through XRD analysis showed </w:t>
      </w:r>
      <w:r w:rsidRPr="00477A28">
        <w:rPr>
          <w:lang w:val="en-IN"/>
        </w:rPr>
        <w:t xml:space="preserve">crystalline nature of POAgNPs with </w:t>
      </w:r>
      <w:r w:rsidRPr="00477A28">
        <w:t>face-center cubic (</w:t>
      </w:r>
      <w:proofErr w:type="spellStart"/>
      <w:r w:rsidRPr="00477A28">
        <w:t>fcc</w:t>
      </w:r>
      <w:proofErr w:type="spellEnd"/>
      <w:r w:rsidRPr="00477A28">
        <w:t>) structure</w:t>
      </w:r>
      <w:r w:rsidRPr="00477A28">
        <w:rPr>
          <w:lang w:val="en-IN"/>
        </w:rPr>
        <w:t xml:space="preserve">. Further, AFM, TEM and SEM revealed </w:t>
      </w:r>
      <w:r w:rsidRPr="00477A28">
        <w:t xml:space="preserve">uniformly-distributed, spherical-shaped AgNPs with sizes at the nanoscale range. The results showed potential antimicrobial activity of POAgNPs against pathogenic bacterial and fungal strains and antioxidant activity against the synthetically generated free radicals </w:t>
      </w:r>
      <w:r w:rsidR="00AB1BC1">
        <w:t>including</w:t>
      </w:r>
      <w:r w:rsidRPr="00477A28">
        <w:t xml:space="preserve"> DPPH, superoxide, hydroxyl and nitric oxide free radicals. Moreover, anti-proliferative activity was also observed for POAgNPs in a dose-dependent manner against breast cancer cell lines, MDA-MB-231 and MCF-7</w:t>
      </w:r>
      <w:r w:rsidR="00AB1BC1">
        <w:rPr>
          <w:lang w:val="en-IN"/>
        </w:rPr>
        <w:t>.</w:t>
      </w:r>
      <w:r w:rsidRPr="00477A28">
        <w:t xml:space="preserve"> The biochemical assays including decreased glucose consumption and reduced cell proliferation indicated reduction in cell viability under the effect of POAgNPs. Moreover, increased nitric oxide production and enhanced LDH activity in POAgNPs treated breast cancer cells also showed induced </w:t>
      </w:r>
      <w:r w:rsidR="00B50B45">
        <w:t xml:space="preserve">cell </w:t>
      </w:r>
      <w:r w:rsidRPr="00477A28">
        <w:t xml:space="preserve">death. </w:t>
      </w:r>
      <w:r w:rsidR="00C41624" w:rsidRPr="00477A28">
        <w:t xml:space="preserve">Quantitative assessment of POAgNPs induced apoptosis in breast cancer cells was done using </w:t>
      </w:r>
      <w:bookmarkStart w:id="0" w:name="_Hlk119025894"/>
      <w:r w:rsidR="00C41624" w:rsidRPr="00477A28">
        <w:rPr>
          <w:lang w:val="en-IN"/>
        </w:rPr>
        <w:t xml:space="preserve">Annexin V-FITC/PI </w:t>
      </w:r>
      <w:bookmarkEnd w:id="0"/>
      <w:r w:rsidR="00C41624" w:rsidRPr="00477A28">
        <w:rPr>
          <w:iCs/>
          <w:lang w:val="en-IN"/>
        </w:rPr>
        <w:t>staining</w:t>
      </w:r>
      <w:r w:rsidR="00C41624" w:rsidRPr="00477A28">
        <w:rPr>
          <w:b/>
          <w:bCs/>
          <w:lang w:val="en-IN"/>
        </w:rPr>
        <w:t xml:space="preserve"> </w:t>
      </w:r>
      <w:r w:rsidR="00C41624" w:rsidRPr="00477A28">
        <w:rPr>
          <w:lang w:val="en-IN"/>
        </w:rPr>
        <w:t>and that showed increased cell population in early and late apoptosis stage in treated cells as compared to control.</w:t>
      </w:r>
      <w:r w:rsidR="00C41624" w:rsidRPr="00477A28">
        <w:rPr>
          <w:b/>
          <w:bCs/>
          <w:lang w:val="en-IN"/>
        </w:rPr>
        <w:t xml:space="preserve"> </w:t>
      </w:r>
      <w:r w:rsidRPr="00477A28">
        <w:t xml:space="preserve">The anticancer potential of POAgNPs has been shown through inhibition of wound closure, </w:t>
      </w:r>
      <w:r w:rsidRPr="00477A28">
        <w:rPr>
          <w:lang w:val="en-IN"/>
        </w:rPr>
        <w:t xml:space="preserve">apoptosis-specific modulations of nuclear morphology </w:t>
      </w:r>
      <w:r w:rsidRPr="00477A28">
        <w:t xml:space="preserve">and differential gene expression related to apoptosis, tumor suppression and cell-cycle arrest. Moreover, increased level of active form of Caspase-3 in treated breast cancer cells was also reported. </w:t>
      </w:r>
      <w:r w:rsidR="00C41624" w:rsidRPr="00C41624">
        <w:rPr>
          <w:lang w:val="en-IN"/>
        </w:rPr>
        <w:t>The study evidently shows scalability, applicability, and biocompatibility of the synthesized silver nanoparticles, and therefore, mycogenic silver nanoparticles can serve as nanodrugs and can be explored for their biomedical applications.</w:t>
      </w:r>
    </w:p>
    <w:p w14:paraId="0000000C" w14:textId="1077CEDE" w:rsidR="00430A0F" w:rsidRDefault="00430A0F" w:rsidP="00477A28">
      <w:pPr>
        <w:ind w:left="0" w:hanging="2"/>
      </w:pPr>
    </w:p>
    <w:sectPr w:rsidR="00430A0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8430DB"/>
    <w:multiLevelType w:val="hybridMultilevel"/>
    <w:tmpl w:val="0A8C01D4"/>
    <w:lvl w:ilvl="0" w:tplc="67407D82">
      <w:start w:val="1"/>
      <w:numFmt w:val="bullet"/>
      <w:lvlText w:val=""/>
      <w:lvlJc w:val="left"/>
      <w:pPr>
        <w:tabs>
          <w:tab w:val="num" w:pos="720"/>
        </w:tabs>
        <w:ind w:left="720" w:hanging="360"/>
      </w:pPr>
      <w:rPr>
        <w:rFonts w:ascii="Wingdings" w:hAnsi="Wingdings" w:hint="default"/>
      </w:rPr>
    </w:lvl>
    <w:lvl w:ilvl="1" w:tplc="580631C4" w:tentative="1">
      <w:start w:val="1"/>
      <w:numFmt w:val="bullet"/>
      <w:lvlText w:val=""/>
      <w:lvlJc w:val="left"/>
      <w:pPr>
        <w:tabs>
          <w:tab w:val="num" w:pos="1440"/>
        </w:tabs>
        <w:ind w:left="1440" w:hanging="360"/>
      </w:pPr>
      <w:rPr>
        <w:rFonts w:ascii="Wingdings" w:hAnsi="Wingdings" w:hint="default"/>
      </w:rPr>
    </w:lvl>
    <w:lvl w:ilvl="2" w:tplc="A1C21E1C" w:tentative="1">
      <w:start w:val="1"/>
      <w:numFmt w:val="bullet"/>
      <w:lvlText w:val=""/>
      <w:lvlJc w:val="left"/>
      <w:pPr>
        <w:tabs>
          <w:tab w:val="num" w:pos="2160"/>
        </w:tabs>
        <w:ind w:left="2160" w:hanging="360"/>
      </w:pPr>
      <w:rPr>
        <w:rFonts w:ascii="Wingdings" w:hAnsi="Wingdings" w:hint="default"/>
      </w:rPr>
    </w:lvl>
    <w:lvl w:ilvl="3" w:tplc="A1AE3062" w:tentative="1">
      <w:start w:val="1"/>
      <w:numFmt w:val="bullet"/>
      <w:lvlText w:val=""/>
      <w:lvlJc w:val="left"/>
      <w:pPr>
        <w:tabs>
          <w:tab w:val="num" w:pos="2880"/>
        </w:tabs>
        <w:ind w:left="2880" w:hanging="360"/>
      </w:pPr>
      <w:rPr>
        <w:rFonts w:ascii="Wingdings" w:hAnsi="Wingdings" w:hint="default"/>
      </w:rPr>
    </w:lvl>
    <w:lvl w:ilvl="4" w:tplc="68F02C46" w:tentative="1">
      <w:start w:val="1"/>
      <w:numFmt w:val="bullet"/>
      <w:lvlText w:val=""/>
      <w:lvlJc w:val="left"/>
      <w:pPr>
        <w:tabs>
          <w:tab w:val="num" w:pos="3600"/>
        </w:tabs>
        <w:ind w:left="3600" w:hanging="360"/>
      </w:pPr>
      <w:rPr>
        <w:rFonts w:ascii="Wingdings" w:hAnsi="Wingdings" w:hint="default"/>
      </w:rPr>
    </w:lvl>
    <w:lvl w:ilvl="5" w:tplc="D400A29C" w:tentative="1">
      <w:start w:val="1"/>
      <w:numFmt w:val="bullet"/>
      <w:lvlText w:val=""/>
      <w:lvlJc w:val="left"/>
      <w:pPr>
        <w:tabs>
          <w:tab w:val="num" w:pos="4320"/>
        </w:tabs>
        <w:ind w:left="4320" w:hanging="360"/>
      </w:pPr>
      <w:rPr>
        <w:rFonts w:ascii="Wingdings" w:hAnsi="Wingdings" w:hint="default"/>
      </w:rPr>
    </w:lvl>
    <w:lvl w:ilvl="6" w:tplc="E8E2B428" w:tentative="1">
      <w:start w:val="1"/>
      <w:numFmt w:val="bullet"/>
      <w:lvlText w:val=""/>
      <w:lvlJc w:val="left"/>
      <w:pPr>
        <w:tabs>
          <w:tab w:val="num" w:pos="5040"/>
        </w:tabs>
        <w:ind w:left="5040" w:hanging="360"/>
      </w:pPr>
      <w:rPr>
        <w:rFonts w:ascii="Wingdings" w:hAnsi="Wingdings" w:hint="default"/>
      </w:rPr>
    </w:lvl>
    <w:lvl w:ilvl="7" w:tplc="F3525BF4" w:tentative="1">
      <w:start w:val="1"/>
      <w:numFmt w:val="bullet"/>
      <w:lvlText w:val=""/>
      <w:lvlJc w:val="left"/>
      <w:pPr>
        <w:tabs>
          <w:tab w:val="num" w:pos="5760"/>
        </w:tabs>
        <w:ind w:left="5760" w:hanging="360"/>
      </w:pPr>
      <w:rPr>
        <w:rFonts w:ascii="Wingdings" w:hAnsi="Wingdings" w:hint="default"/>
      </w:rPr>
    </w:lvl>
    <w:lvl w:ilvl="8" w:tplc="F4E2088A" w:tentative="1">
      <w:start w:val="1"/>
      <w:numFmt w:val="bullet"/>
      <w:lvlText w:val=""/>
      <w:lvlJc w:val="left"/>
      <w:pPr>
        <w:tabs>
          <w:tab w:val="num" w:pos="6480"/>
        </w:tabs>
        <w:ind w:left="6480" w:hanging="360"/>
      </w:pPr>
      <w:rPr>
        <w:rFonts w:ascii="Wingdings" w:hAnsi="Wingdings" w:hint="default"/>
      </w:rPr>
    </w:lvl>
  </w:abstractNum>
  <w:num w:numId="1" w16cid:durableId="149625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A0F"/>
    <w:rsid w:val="002A0CD9"/>
    <w:rsid w:val="00430A0F"/>
    <w:rsid w:val="00477A28"/>
    <w:rsid w:val="0067112E"/>
    <w:rsid w:val="007F4958"/>
    <w:rsid w:val="00AB1BC1"/>
    <w:rsid w:val="00B50B45"/>
    <w:rsid w:val="00C41624"/>
    <w:rsid w:val="00DB6B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22734"/>
  <w15:docId w15:val="{2FA2E5A2-8173-47DC-9EB3-6091A5BA1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rFonts w:cs="Mangal"/>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C41624"/>
    <w:pPr>
      <w:suppressAutoHyphens w:val="0"/>
      <w:spacing w:line="240" w:lineRule="auto"/>
      <w:ind w:leftChars="0" w:left="720" w:firstLineChars="0" w:firstLine="0"/>
      <w:contextualSpacing/>
      <w:textDirection w:val="lrTb"/>
      <w:textAlignment w:val="auto"/>
      <w:outlineLvl w:val="9"/>
    </w:pPr>
    <w:rPr>
      <w:rFonts w:ascii="Times New Roman" w:eastAsia="Times New Roman" w:hAnsi="Times New Roman"/>
      <w:position w:val="0"/>
      <w:sz w:val="24"/>
      <w:szCs w:val="21"/>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7883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PRIYAMVADA GUPTA</cp:lastModifiedBy>
  <cp:revision>6</cp:revision>
  <dcterms:created xsi:type="dcterms:W3CDTF">2019-01-18T04:39:00Z</dcterms:created>
  <dcterms:modified xsi:type="dcterms:W3CDTF">2023-01-28T06:01:00Z</dcterms:modified>
</cp:coreProperties>
</file>