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2107F" w14:textId="77777777" w:rsidR="00657C16" w:rsidRDefault="00657C16" w:rsidP="00A5246E">
      <w:pPr>
        <w:rPr>
          <w:rFonts w:ascii="Arial" w:hAnsi="Arial" w:cs="Arial"/>
          <w:b/>
          <w:bCs/>
          <w:sz w:val="24"/>
          <w:szCs w:val="24"/>
        </w:rPr>
      </w:pPr>
    </w:p>
    <w:p w14:paraId="65F2EB2B" w14:textId="46ED6680" w:rsidR="006A7930" w:rsidRDefault="006A7930" w:rsidP="006A793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A7930">
        <w:rPr>
          <w:rFonts w:ascii="Arial" w:hAnsi="Arial" w:cs="Arial"/>
          <w:b/>
          <w:bCs/>
          <w:sz w:val="24"/>
          <w:szCs w:val="24"/>
        </w:rPr>
        <w:t xml:space="preserve">Bioactivity of </w:t>
      </w:r>
      <w:r w:rsidRPr="006A7930">
        <w:rPr>
          <w:rFonts w:ascii="Arial" w:hAnsi="Arial" w:cs="Arial"/>
          <w:b/>
          <w:bCs/>
          <w:i/>
          <w:iCs/>
          <w:sz w:val="24"/>
          <w:szCs w:val="24"/>
        </w:rPr>
        <w:t>Rosmarinus officinalis</w:t>
      </w:r>
      <w:r w:rsidRPr="006A7930">
        <w:rPr>
          <w:rFonts w:ascii="Arial" w:hAnsi="Arial" w:cs="Arial"/>
          <w:b/>
          <w:bCs/>
          <w:sz w:val="24"/>
          <w:szCs w:val="24"/>
        </w:rPr>
        <w:t xml:space="preserve"> L. and its metabolites</w:t>
      </w:r>
    </w:p>
    <w:p w14:paraId="19EADCF6" w14:textId="622B84A2" w:rsidR="006A7930" w:rsidRDefault="006A7930" w:rsidP="006A793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454CEA9" w14:textId="1EAC62F3" w:rsidR="006A7930" w:rsidRPr="00657C16" w:rsidRDefault="006A7930" w:rsidP="00657C16">
      <w:pPr>
        <w:jc w:val="center"/>
        <w:rPr>
          <w:rFonts w:ascii="Arial" w:hAnsi="Arial" w:cs="Arial"/>
        </w:rPr>
      </w:pPr>
      <w:r w:rsidRPr="00657C16">
        <w:rPr>
          <w:rFonts w:ascii="Arial" w:hAnsi="Arial" w:cs="Arial"/>
        </w:rPr>
        <w:t>Aditya B Ankari</w:t>
      </w:r>
      <w:r w:rsidRPr="00657C16">
        <w:rPr>
          <w:rFonts w:ascii="Arial" w:hAnsi="Arial" w:cs="Arial"/>
          <w:vertAlign w:val="superscript"/>
        </w:rPr>
        <w:t>1</w:t>
      </w:r>
      <w:r w:rsidRPr="00657C16">
        <w:rPr>
          <w:rFonts w:ascii="Arial" w:hAnsi="Arial" w:cs="Arial"/>
        </w:rPr>
        <w:t xml:space="preserve">, </w:t>
      </w:r>
      <w:proofErr w:type="spellStart"/>
      <w:r w:rsidRPr="00657C16">
        <w:rPr>
          <w:rFonts w:ascii="Arial" w:hAnsi="Arial" w:cs="Arial"/>
        </w:rPr>
        <w:t>Satyabrata</w:t>
      </w:r>
      <w:proofErr w:type="spellEnd"/>
      <w:r w:rsidRPr="00657C16">
        <w:rPr>
          <w:rFonts w:ascii="Arial" w:hAnsi="Arial" w:cs="Arial"/>
        </w:rPr>
        <w:t xml:space="preserve"> Acharya</w:t>
      </w:r>
      <w:r w:rsidRPr="00657C16">
        <w:rPr>
          <w:rFonts w:ascii="Arial" w:hAnsi="Arial" w:cs="Arial"/>
          <w:vertAlign w:val="superscript"/>
        </w:rPr>
        <w:t>1</w:t>
      </w:r>
      <w:r w:rsidRPr="00657C16">
        <w:rPr>
          <w:rFonts w:ascii="Arial" w:hAnsi="Arial" w:cs="Arial"/>
        </w:rPr>
        <w:t xml:space="preserve">, </w:t>
      </w:r>
      <w:proofErr w:type="spellStart"/>
      <w:r w:rsidRPr="00657C16">
        <w:rPr>
          <w:rFonts w:ascii="Arial" w:hAnsi="Arial" w:cs="Arial"/>
        </w:rPr>
        <w:t>Agepati</w:t>
      </w:r>
      <w:proofErr w:type="spellEnd"/>
      <w:r w:rsidRPr="00657C16">
        <w:rPr>
          <w:rFonts w:ascii="Arial" w:hAnsi="Arial" w:cs="Arial"/>
        </w:rPr>
        <w:t xml:space="preserve"> S Raghavendra</w:t>
      </w:r>
      <w:r w:rsidRPr="00657C16">
        <w:rPr>
          <w:rFonts w:ascii="Arial" w:hAnsi="Arial" w:cs="Arial"/>
          <w:vertAlign w:val="superscript"/>
        </w:rPr>
        <w:t>1</w:t>
      </w:r>
      <w:r w:rsidRPr="00657C16">
        <w:rPr>
          <w:rFonts w:ascii="Arial" w:hAnsi="Arial" w:cs="Arial"/>
        </w:rPr>
        <w:t xml:space="preserve">, </w:t>
      </w:r>
      <w:proofErr w:type="spellStart"/>
      <w:r w:rsidRPr="00657C16">
        <w:rPr>
          <w:rFonts w:ascii="Arial" w:hAnsi="Arial" w:cs="Arial"/>
        </w:rPr>
        <w:t>Shubhashree</w:t>
      </w:r>
      <w:proofErr w:type="spellEnd"/>
      <w:r w:rsidRPr="00657C16">
        <w:rPr>
          <w:rFonts w:ascii="Arial" w:hAnsi="Arial" w:cs="Arial"/>
        </w:rPr>
        <w:t xml:space="preserve"> Barik</w:t>
      </w:r>
      <w:r w:rsidR="00657C16">
        <w:rPr>
          <w:rFonts w:ascii="Arial" w:hAnsi="Arial" w:cs="Arial"/>
          <w:vertAlign w:val="superscript"/>
        </w:rPr>
        <w:t>2</w:t>
      </w:r>
      <w:r w:rsidRPr="00657C16">
        <w:rPr>
          <w:rFonts w:ascii="Arial" w:hAnsi="Arial" w:cs="Arial"/>
        </w:rPr>
        <w:t xml:space="preserve">, </w:t>
      </w:r>
      <w:proofErr w:type="spellStart"/>
      <w:r w:rsidRPr="00657C16">
        <w:rPr>
          <w:rFonts w:ascii="Arial" w:hAnsi="Arial" w:cs="Arial"/>
        </w:rPr>
        <w:t>Moumita</w:t>
      </w:r>
      <w:proofErr w:type="spellEnd"/>
      <w:r w:rsidRPr="00657C16">
        <w:rPr>
          <w:rFonts w:ascii="Arial" w:hAnsi="Arial" w:cs="Arial"/>
        </w:rPr>
        <w:t xml:space="preserve"> Saharay</w:t>
      </w:r>
      <w:r w:rsidR="00657C16">
        <w:rPr>
          <w:rFonts w:ascii="Arial" w:hAnsi="Arial" w:cs="Arial"/>
          <w:vertAlign w:val="superscript"/>
        </w:rPr>
        <w:t>2</w:t>
      </w:r>
      <w:r w:rsidRPr="00657C16">
        <w:rPr>
          <w:rFonts w:ascii="Arial" w:hAnsi="Arial" w:cs="Arial"/>
        </w:rPr>
        <w:t>, Sarada D Tetali</w:t>
      </w:r>
      <w:r w:rsidR="00657C16">
        <w:rPr>
          <w:rFonts w:ascii="Arial" w:hAnsi="Arial" w:cs="Arial"/>
          <w:vertAlign w:val="superscript"/>
        </w:rPr>
        <w:t>1</w:t>
      </w:r>
      <w:r w:rsidRPr="00657C16">
        <w:rPr>
          <w:rFonts w:ascii="Arial" w:hAnsi="Arial" w:cs="Arial"/>
        </w:rPr>
        <w:t>*</w:t>
      </w:r>
    </w:p>
    <w:p w14:paraId="2A13E687" w14:textId="565CB8CD" w:rsidR="006A7930" w:rsidRPr="00657C16" w:rsidRDefault="00657C16" w:rsidP="00657C16">
      <w:pPr>
        <w:jc w:val="center"/>
        <w:rPr>
          <w:rFonts w:ascii="Arial" w:hAnsi="Arial" w:cs="Arial"/>
        </w:rPr>
      </w:pPr>
      <w:r w:rsidRPr="00657C16">
        <w:rPr>
          <w:rFonts w:ascii="Arial" w:hAnsi="Arial" w:cs="Arial"/>
          <w:vertAlign w:val="superscript"/>
        </w:rPr>
        <w:t>1</w:t>
      </w:r>
      <w:r w:rsidR="006A7930" w:rsidRPr="00657C16">
        <w:rPr>
          <w:rFonts w:ascii="Arial" w:hAnsi="Arial" w:cs="Arial"/>
        </w:rPr>
        <w:t>Department of Plant Sciences, School of Life Sciences, University of Hyderabad, Hyderabad, 500046, India</w:t>
      </w:r>
    </w:p>
    <w:p w14:paraId="3A8C2EB1" w14:textId="497D9361" w:rsidR="006A7930" w:rsidRDefault="00657C16" w:rsidP="00657C16">
      <w:pPr>
        <w:jc w:val="center"/>
        <w:rPr>
          <w:rFonts w:ascii="Arial" w:hAnsi="Arial" w:cs="Arial"/>
        </w:rPr>
      </w:pPr>
      <w:r>
        <w:rPr>
          <w:rFonts w:ascii="Arial" w:hAnsi="Arial" w:cs="Arial"/>
          <w:vertAlign w:val="superscript"/>
        </w:rPr>
        <w:t>2</w:t>
      </w:r>
      <w:r w:rsidR="006A7930" w:rsidRPr="00657C16">
        <w:rPr>
          <w:rFonts w:ascii="Arial" w:hAnsi="Arial" w:cs="Arial"/>
        </w:rPr>
        <w:t>Department of Systems and Computational Biology, School of Life Sciences, University of Hyderabad, Hyderabad, 500046, Indi</w:t>
      </w:r>
      <w:r>
        <w:rPr>
          <w:rFonts w:ascii="Arial" w:hAnsi="Arial" w:cs="Arial"/>
        </w:rPr>
        <w:t>a</w:t>
      </w:r>
    </w:p>
    <w:p w14:paraId="1BFF257D" w14:textId="77777777" w:rsidR="005D0A10" w:rsidRPr="00657C16" w:rsidRDefault="005D0A10" w:rsidP="005D0A10">
      <w:pPr>
        <w:jc w:val="center"/>
        <w:rPr>
          <w:rFonts w:ascii="Arial" w:hAnsi="Arial" w:cs="Arial"/>
        </w:rPr>
      </w:pPr>
      <w:hyperlink r:id="rId7" w:history="1">
        <w:r w:rsidRPr="00657C16">
          <w:rPr>
            <w:rStyle w:val="Hyperlink"/>
            <w:rFonts w:ascii="Arial" w:hAnsi="Arial" w:cs="Arial"/>
          </w:rPr>
          <w:t>*stetali@uohyd.ac.in</w:t>
        </w:r>
      </w:hyperlink>
    </w:p>
    <w:p w14:paraId="718BD1DE" w14:textId="77777777" w:rsidR="005D0A10" w:rsidRDefault="005D0A10" w:rsidP="00657C16">
      <w:pPr>
        <w:jc w:val="center"/>
        <w:rPr>
          <w:rFonts w:ascii="Arial" w:hAnsi="Arial" w:cs="Arial"/>
        </w:rPr>
      </w:pPr>
    </w:p>
    <w:p w14:paraId="158E71B3" w14:textId="14ACA3D7" w:rsidR="00657C16" w:rsidRDefault="00657C16" w:rsidP="00657C16">
      <w:pPr>
        <w:jc w:val="center"/>
        <w:rPr>
          <w:rFonts w:ascii="Arial" w:hAnsi="Arial" w:cs="Arial"/>
        </w:rPr>
      </w:pPr>
    </w:p>
    <w:p w14:paraId="3E163CD8" w14:textId="76290278" w:rsidR="00657C16" w:rsidRDefault="00657C16" w:rsidP="00657C16">
      <w:pPr>
        <w:jc w:val="center"/>
        <w:rPr>
          <w:rFonts w:ascii="Arial" w:hAnsi="Arial" w:cs="Arial"/>
        </w:rPr>
      </w:pPr>
    </w:p>
    <w:p w14:paraId="1E50AF94" w14:textId="7120FA0B" w:rsidR="00657C16" w:rsidRPr="00657C16" w:rsidRDefault="00657C16" w:rsidP="00657C16">
      <w:pPr>
        <w:spacing w:line="240" w:lineRule="auto"/>
        <w:jc w:val="both"/>
        <w:rPr>
          <w:rFonts w:ascii="Arial" w:hAnsi="Arial" w:cs="Arial"/>
        </w:rPr>
      </w:pPr>
      <w:r w:rsidRPr="00657C16">
        <w:rPr>
          <w:rFonts w:ascii="Arial" w:hAnsi="Arial" w:cs="Arial"/>
        </w:rPr>
        <w:t xml:space="preserve">Atherosclerosis is a pro-inflammatory cardiovascular disorder accounting for a major share in global mortality. Although a varied range of therapeutics are available for the treatment of the condition, they come with their side effects. Hence there is a need to explore renewable resources like medicinal and aromatic plants for treatment of such a pro-inflammatory ailment. Leaves of </w:t>
      </w:r>
      <w:r w:rsidRPr="00A5246E">
        <w:rPr>
          <w:rFonts w:ascii="Arial" w:hAnsi="Arial" w:cs="Arial"/>
          <w:i/>
          <w:iCs/>
        </w:rPr>
        <w:t>Rosmarinus officinalis</w:t>
      </w:r>
      <w:r w:rsidRPr="00657C16">
        <w:rPr>
          <w:rFonts w:ascii="Arial" w:hAnsi="Arial" w:cs="Arial"/>
        </w:rPr>
        <w:t xml:space="preserve"> </w:t>
      </w:r>
      <w:r w:rsidR="00A5246E">
        <w:rPr>
          <w:rFonts w:ascii="Arial" w:hAnsi="Arial" w:cs="Arial"/>
        </w:rPr>
        <w:t xml:space="preserve">L. </w:t>
      </w:r>
      <w:r w:rsidRPr="00657C16">
        <w:rPr>
          <w:rFonts w:ascii="Arial" w:hAnsi="Arial" w:cs="Arial"/>
        </w:rPr>
        <w:t>(</w:t>
      </w:r>
      <w:r w:rsidRPr="00A5246E">
        <w:rPr>
          <w:rFonts w:ascii="Arial" w:hAnsi="Arial" w:cs="Arial"/>
          <w:i/>
          <w:iCs/>
        </w:rPr>
        <w:t>RO</w:t>
      </w:r>
      <w:r w:rsidRPr="00657C16">
        <w:rPr>
          <w:rFonts w:ascii="Arial" w:hAnsi="Arial" w:cs="Arial"/>
        </w:rPr>
        <w:t xml:space="preserve">) were found to have significant antioxidant and anti-inflammatory properties. Preliminary biochemical assays showed presence of significant concentrations of phenolic, flavonoid and terpenoid compounds in dry leaf extracts of </w:t>
      </w:r>
      <w:r w:rsidRPr="00657C16">
        <w:rPr>
          <w:rFonts w:ascii="Arial" w:hAnsi="Arial" w:cs="Arial"/>
          <w:i/>
          <w:iCs/>
        </w:rPr>
        <w:t>RO</w:t>
      </w:r>
      <w:r w:rsidRPr="00657C16">
        <w:rPr>
          <w:rFonts w:ascii="Arial" w:hAnsi="Arial" w:cs="Arial"/>
        </w:rPr>
        <w:t xml:space="preserve">. LCMS metabolic profiling revealed the presence of </w:t>
      </w:r>
      <w:r>
        <w:rPr>
          <w:rFonts w:ascii="Arial" w:hAnsi="Arial" w:cs="Arial"/>
        </w:rPr>
        <w:t>various</w:t>
      </w:r>
      <w:r w:rsidRPr="00657C16">
        <w:rPr>
          <w:rFonts w:ascii="Arial" w:hAnsi="Arial" w:cs="Arial"/>
        </w:rPr>
        <w:t xml:space="preserve"> phenolic and terpenoid compounds like beta caryophyllene (βC), Caffeic acid (CA), oleanolic acid (OA), </w:t>
      </w:r>
      <w:proofErr w:type="spellStart"/>
      <w:r w:rsidRPr="00657C16">
        <w:rPr>
          <w:rFonts w:ascii="Arial" w:hAnsi="Arial" w:cs="Arial"/>
        </w:rPr>
        <w:t>rosmarinic</w:t>
      </w:r>
      <w:proofErr w:type="spellEnd"/>
      <w:r w:rsidRPr="00657C16">
        <w:rPr>
          <w:rFonts w:ascii="Arial" w:hAnsi="Arial" w:cs="Arial"/>
        </w:rPr>
        <w:t xml:space="preserve"> acid (RA), </w:t>
      </w:r>
      <w:proofErr w:type="spellStart"/>
      <w:r w:rsidRPr="00657C16">
        <w:rPr>
          <w:rFonts w:ascii="Arial" w:hAnsi="Arial" w:cs="Arial"/>
        </w:rPr>
        <w:t>ursolic</w:t>
      </w:r>
      <w:proofErr w:type="spellEnd"/>
      <w:r w:rsidRPr="00657C16">
        <w:rPr>
          <w:rFonts w:ascii="Arial" w:hAnsi="Arial" w:cs="Arial"/>
        </w:rPr>
        <w:t xml:space="preserve"> acid (UA) etc. </w:t>
      </w:r>
      <w:r w:rsidR="000532C2">
        <w:rPr>
          <w:rFonts w:ascii="Arial" w:hAnsi="Arial" w:cs="Arial"/>
        </w:rPr>
        <w:t xml:space="preserve">In this study </w:t>
      </w:r>
      <w:r w:rsidRPr="00657C16">
        <w:rPr>
          <w:rFonts w:ascii="Arial" w:hAnsi="Arial" w:cs="Arial"/>
        </w:rPr>
        <w:t xml:space="preserve">anti-inflammatory potential of dry leaves cold ethanolic extract (CEE) and secondary metabolites of </w:t>
      </w:r>
      <w:r w:rsidRPr="00A5246E">
        <w:rPr>
          <w:rFonts w:ascii="Arial" w:hAnsi="Arial" w:cs="Arial"/>
          <w:i/>
          <w:iCs/>
        </w:rPr>
        <w:t>RO</w:t>
      </w:r>
      <w:r>
        <w:rPr>
          <w:rFonts w:ascii="Arial" w:hAnsi="Arial" w:cs="Arial"/>
        </w:rPr>
        <w:t xml:space="preserve"> </w:t>
      </w:r>
      <w:r w:rsidRPr="00657C16">
        <w:rPr>
          <w:rFonts w:ascii="Arial" w:hAnsi="Arial" w:cs="Arial"/>
        </w:rPr>
        <w:t>ha</w:t>
      </w:r>
      <w:r>
        <w:rPr>
          <w:rFonts w:ascii="Arial" w:hAnsi="Arial" w:cs="Arial"/>
        </w:rPr>
        <w:t>s</w:t>
      </w:r>
      <w:r w:rsidRPr="00657C16">
        <w:rPr>
          <w:rFonts w:ascii="Arial" w:hAnsi="Arial" w:cs="Arial"/>
        </w:rPr>
        <w:t xml:space="preserve"> been explored in LPS (</w:t>
      </w:r>
      <w:r w:rsidR="000532C2">
        <w:rPr>
          <w:rFonts w:ascii="Arial" w:hAnsi="Arial" w:cs="Arial"/>
        </w:rPr>
        <w:t>B</w:t>
      </w:r>
      <w:r w:rsidRPr="00657C16">
        <w:rPr>
          <w:rFonts w:ascii="Arial" w:hAnsi="Arial" w:cs="Arial"/>
        </w:rPr>
        <w:t xml:space="preserve">acterial lipopolysaccharides) induced human monocytic THP1 cells. ELISA studies have revealed a significant inhibition </w:t>
      </w:r>
      <w:r>
        <w:rPr>
          <w:rFonts w:ascii="Arial" w:hAnsi="Arial" w:cs="Arial"/>
        </w:rPr>
        <w:t xml:space="preserve">in secretion </w:t>
      </w:r>
      <w:r w:rsidRPr="00657C16">
        <w:rPr>
          <w:rFonts w:ascii="Arial" w:hAnsi="Arial" w:cs="Arial"/>
        </w:rPr>
        <w:t>of a pro-inflammatory marker TNFα</w:t>
      </w:r>
      <w:r>
        <w:rPr>
          <w:rFonts w:ascii="Arial" w:hAnsi="Arial" w:cs="Arial"/>
        </w:rPr>
        <w:t xml:space="preserve"> </w:t>
      </w:r>
      <w:r w:rsidRPr="00657C16">
        <w:rPr>
          <w:rFonts w:ascii="Arial" w:hAnsi="Arial" w:cs="Arial"/>
        </w:rPr>
        <w:t xml:space="preserve">in LPS induced THP1 cells pre-treated with CEE of </w:t>
      </w:r>
      <w:r w:rsidRPr="00657C16">
        <w:rPr>
          <w:rFonts w:ascii="Arial" w:hAnsi="Arial" w:cs="Arial"/>
          <w:i/>
          <w:iCs/>
        </w:rPr>
        <w:t>RO</w:t>
      </w:r>
      <w:r w:rsidRPr="00657C1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dry leaves </w:t>
      </w:r>
      <w:r w:rsidRPr="00657C16">
        <w:rPr>
          <w:rFonts w:ascii="Arial" w:hAnsi="Arial" w:cs="Arial"/>
        </w:rPr>
        <w:t xml:space="preserve">and its constituting secondary metabolites </w:t>
      </w:r>
      <w:r w:rsidR="00973BCA" w:rsidRPr="00657C16">
        <w:rPr>
          <w:rFonts w:ascii="Arial" w:hAnsi="Arial" w:cs="Arial"/>
        </w:rPr>
        <w:t>βC</w:t>
      </w:r>
      <w:r w:rsidR="00973BCA" w:rsidRPr="00657C16">
        <w:rPr>
          <w:rFonts w:ascii="Arial" w:hAnsi="Arial" w:cs="Arial"/>
        </w:rPr>
        <w:t xml:space="preserve"> </w:t>
      </w:r>
      <w:r w:rsidRPr="00657C16">
        <w:rPr>
          <w:rFonts w:ascii="Arial" w:hAnsi="Arial" w:cs="Arial"/>
        </w:rPr>
        <w:t>and</w:t>
      </w:r>
      <w:r w:rsidR="00973BCA">
        <w:rPr>
          <w:rFonts w:ascii="Arial" w:hAnsi="Arial" w:cs="Arial"/>
        </w:rPr>
        <w:t xml:space="preserve"> </w:t>
      </w:r>
      <w:r w:rsidR="00973BCA" w:rsidRPr="00657C16">
        <w:rPr>
          <w:rFonts w:ascii="Arial" w:hAnsi="Arial" w:cs="Arial"/>
        </w:rPr>
        <w:t>CA</w:t>
      </w:r>
      <w:r w:rsidRPr="00657C16">
        <w:rPr>
          <w:rFonts w:ascii="Arial" w:hAnsi="Arial" w:cs="Arial"/>
        </w:rPr>
        <w:t xml:space="preserve">. In-silico docking analysis has revealed a possibility of prominent binding potential of </w:t>
      </w:r>
      <w:r w:rsidR="00973BCA" w:rsidRPr="00657C16">
        <w:rPr>
          <w:rFonts w:ascii="Arial" w:hAnsi="Arial" w:cs="Arial"/>
        </w:rPr>
        <w:t>βC</w:t>
      </w:r>
      <w:r w:rsidRPr="00657C16">
        <w:rPr>
          <w:rFonts w:ascii="Arial" w:hAnsi="Arial" w:cs="Arial"/>
        </w:rPr>
        <w:t xml:space="preserve"> and </w:t>
      </w:r>
      <w:r w:rsidR="00973BCA" w:rsidRPr="00657C16">
        <w:rPr>
          <w:rFonts w:ascii="Arial" w:hAnsi="Arial" w:cs="Arial"/>
        </w:rPr>
        <w:t>CA</w:t>
      </w:r>
      <w:r w:rsidR="00973BCA" w:rsidRPr="00657C16">
        <w:rPr>
          <w:rFonts w:ascii="Arial" w:hAnsi="Arial" w:cs="Arial"/>
        </w:rPr>
        <w:t xml:space="preserve"> </w:t>
      </w:r>
      <w:r w:rsidRPr="00657C16">
        <w:rPr>
          <w:rFonts w:ascii="Arial" w:hAnsi="Arial" w:cs="Arial"/>
        </w:rPr>
        <w:t xml:space="preserve">with MyD88, </w:t>
      </w:r>
      <w:proofErr w:type="spellStart"/>
      <w:r w:rsidRPr="00657C16">
        <w:rPr>
          <w:rFonts w:ascii="Arial" w:hAnsi="Arial" w:cs="Arial"/>
        </w:rPr>
        <w:t>Ikk</w:t>
      </w:r>
      <w:proofErr w:type="spellEnd"/>
      <w:r w:rsidRPr="00657C16">
        <w:rPr>
          <w:rFonts w:ascii="Arial" w:hAnsi="Arial" w:cs="Arial"/>
        </w:rPr>
        <w:t xml:space="preserve">α, </w:t>
      </w:r>
      <w:proofErr w:type="spellStart"/>
      <w:r w:rsidRPr="00657C16">
        <w:rPr>
          <w:rFonts w:ascii="Arial" w:hAnsi="Arial" w:cs="Arial"/>
        </w:rPr>
        <w:t>Ikk</w:t>
      </w:r>
      <w:proofErr w:type="spellEnd"/>
      <w:r w:rsidRPr="00657C16">
        <w:rPr>
          <w:rFonts w:ascii="Arial" w:hAnsi="Arial" w:cs="Arial"/>
        </w:rPr>
        <w:t xml:space="preserve">β, </w:t>
      </w:r>
      <w:proofErr w:type="spellStart"/>
      <w:r w:rsidRPr="00657C16">
        <w:rPr>
          <w:rFonts w:ascii="Arial" w:hAnsi="Arial" w:cs="Arial"/>
        </w:rPr>
        <w:t>Ikkγ</w:t>
      </w:r>
      <w:proofErr w:type="spellEnd"/>
      <w:r w:rsidRPr="00657C16">
        <w:rPr>
          <w:rFonts w:ascii="Arial" w:hAnsi="Arial" w:cs="Arial"/>
        </w:rPr>
        <w:t xml:space="preserve"> and </w:t>
      </w:r>
      <w:proofErr w:type="spellStart"/>
      <w:r w:rsidRPr="00657C16">
        <w:rPr>
          <w:rFonts w:ascii="Arial" w:hAnsi="Arial" w:cs="Arial"/>
        </w:rPr>
        <w:t>IkB</w:t>
      </w:r>
      <w:proofErr w:type="spellEnd"/>
      <w:r w:rsidRPr="00657C16">
        <w:rPr>
          <w:rFonts w:ascii="Arial" w:hAnsi="Arial" w:cs="Arial"/>
        </w:rPr>
        <w:t xml:space="preserve"> which are modulators of </w:t>
      </w:r>
      <w:proofErr w:type="spellStart"/>
      <w:r w:rsidRPr="00657C16">
        <w:rPr>
          <w:rFonts w:ascii="Arial" w:hAnsi="Arial" w:cs="Arial"/>
        </w:rPr>
        <w:t>NFkB</w:t>
      </w:r>
      <w:proofErr w:type="spellEnd"/>
      <w:r w:rsidRPr="00657C16">
        <w:rPr>
          <w:rFonts w:ascii="Arial" w:hAnsi="Arial" w:cs="Arial"/>
        </w:rPr>
        <w:t xml:space="preserve">, a transcriptional factor of TNFα and many </w:t>
      </w:r>
      <w:r w:rsidR="00A5246E">
        <w:rPr>
          <w:rFonts w:ascii="Arial" w:hAnsi="Arial" w:cs="Arial"/>
        </w:rPr>
        <w:t>other</w:t>
      </w:r>
      <w:r w:rsidRPr="00657C16">
        <w:rPr>
          <w:rFonts w:ascii="Arial" w:hAnsi="Arial" w:cs="Arial"/>
        </w:rPr>
        <w:t xml:space="preserve"> pro</w:t>
      </w:r>
      <w:r w:rsidR="004445A7">
        <w:rPr>
          <w:rFonts w:ascii="Arial" w:hAnsi="Arial" w:cs="Arial"/>
        </w:rPr>
        <w:t>-</w:t>
      </w:r>
      <w:r w:rsidRPr="00657C16">
        <w:rPr>
          <w:rFonts w:ascii="Arial" w:hAnsi="Arial" w:cs="Arial"/>
        </w:rPr>
        <w:t xml:space="preserve">inflammatory markers. This maybe a reason for down regulation of TNFα by plant extracts and it's secondary metabolites. Cold extract of </w:t>
      </w:r>
      <w:r w:rsidRPr="004445A7">
        <w:rPr>
          <w:rFonts w:ascii="Arial" w:hAnsi="Arial" w:cs="Arial"/>
          <w:i/>
          <w:iCs/>
        </w:rPr>
        <w:t>RO</w:t>
      </w:r>
      <w:r w:rsidRPr="00657C16">
        <w:rPr>
          <w:rFonts w:ascii="Arial" w:hAnsi="Arial" w:cs="Arial"/>
        </w:rPr>
        <w:t xml:space="preserve"> </w:t>
      </w:r>
      <w:r w:rsidR="00A5246E">
        <w:rPr>
          <w:rFonts w:ascii="Arial" w:hAnsi="Arial" w:cs="Arial"/>
        </w:rPr>
        <w:t xml:space="preserve">and </w:t>
      </w:r>
      <w:proofErr w:type="gramStart"/>
      <w:r w:rsidR="00A5246E">
        <w:rPr>
          <w:rFonts w:ascii="Arial" w:hAnsi="Arial" w:cs="Arial"/>
        </w:rPr>
        <w:t>it’s</w:t>
      </w:r>
      <w:proofErr w:type="gramEnd"/>
      <w:r w:rsidR="00A5246E">
        <w:rPr>
          <w:rFonts w:ascii="Arial" w:hAnsi="Arial" w:cs="Arial"/>
        </w:rPr>
        <w:t xml:space="preserve"> </w:t>
      </w:r>
      <w:r w:rsidR="00FD7C55">
        <w:rPr>
          <w:rFonts w:ascii="Arial" w:hAnsi="Arial" w:cs="Arial"/>
        </w:rPr>
        <w:t xml:space="preserve">secondary metabolites </w:t>
      </w:r>
      <w:r w:rsidRPr="00657C16">
        <w:rPr>
          <w:rFonts w:ascii="Arial" w:hAnsi="Arial" w:cs="Arial"/>
        </w:rPr>
        <w:t xml:space="preserve">have also shown a prominent inhibition of pancreatic lipase activity </w:t>
      </w:r>
      <w:r w:rsidR="00402E86">
        <w:rPr>
          <w:rFonts w:ascii="Arial" w:hAnsi="Arial" w:cs="Arial"/>
        </w:rPr>
        <w:t>in concentration dependent manner in comparison</w:t>
      </w:r>
      <w:r w:rsidRPr="00657C16">
        <w:rPr>
          <w:rFonts w:ascii="Arial" w:hAnsi="Arial" w:cs="Arial"/>
        </w:rPr>
        <w:t xml:space="preserve"> to reference inhibitory compound 'Orlistat'. Docking studies of </w:t>
      </w:r>
      <w:r w:rsidR="00973BCA" w:rsidRPr="00657C16">
        <w:rPr>
          <w:rFonts w:ascii="Arial" w:hAnsi="Arial" w:cs="Arial"/>
        </w:rPr>
        <w:t>βC</w:t>
      </w:r>
      <w:r w:rsidR="00973BCA">
        <w:rPr>
          <w:rFonts w:ascii="Arial" w:hAnsi="Arial" w:cs="Arial"/>
        </w:rPr>
        <w:t>,</w:t>
      </w:r>
      <w:r w:rsidR="00973BCA" w:rsidRPr="00657C16">
        <w:rPr>
          <w:rFonts w:ascii="Arial" w:hAnsi="Arial" w:cs="Arial"/>
        </w:rPr>
        <w:t xml:space="preserve"> </w:t>
      </w:r>
      <w:r w:rsidRPr="00657C16">
        <w:rPr>
          <w:rFonts w:ascii="Arial" w:hAnsi="Arial" w:cs="Arial"/>
        </w:rPr>
        <w:t>CA</w:t>
      </w:r>
      <w:r w:rsidR="00FD7C55">
        <w:rPr>
          <w:rFonts w:ascii="Arial" w:hAnsi="Arial" w:cs="Arial"/>
        </w:rPr>
        <w:t>,</w:t>
      </w:r>
      <w:r w:rsidRPr="00657C16">
        <w:rPr>
          <w:rFonts w:ascii="Arial" w:hAnsi="Arial" w:cs="Arial"/>
        </w:rPr>
        <w:t xml:space="preserve"> </w:t>
      </w:r>
      <w:r w:rsidR="00FD7C55">
        <w:rPr>
          <w:rFonts w:ascii="Arial" w:hAnsi="Arial" w:cs="Arial"/>
        </w:rPr>
        <w:t xml:space="preserve">and UA </w:t>
      </w:r>
      <w:r w:rsidRPr="00657C16">
        <w:rPr>
          <w:rFonts w:ascii="Arial" w:hAnsi="Arial" w:cs="Arial"/>
        </w:rPr>
        <w:t>have</w:t>
      </w:r>
      <w:r w:rsidR="00FD7C55">
        <w:rPr>
          <w:rFonts w:ascii="Arial" w:hAnsi="Arial" w:cs="Arial"/>
        </w:rPr>
        <w:t xml:space="preserve"> </w:t>
      </w:r>
      <w:r w:rsidRPr="00657C16">
        <w:rPr>
          <w:rFonts w:ascii="Arial" w:hAnsi="Arial" w:cs="Arial"/>
        </w:rPr>
        <w:t xml:space="preserve">revealed a putative binding </w:t>
      </w:r>
      <w:r w:rsidR="00402E86">
        <w:rPr>
          <w:rFonts w:ascii="Arial" w:hAnsi="Arial" w:cs="Arial"/>
        </w:rPr>
        <w:t>affinity</w:t>
      </w:r>
      <w:r w:rsidRPr="00657C16">
        <w:rPr>
          <w:rFonts w:ascii="Arial" w:hAnsi="Arial" w:cs="Arial"/>
        </w:rPr>
        <w:t xml:space="preserve"> with porcine pancreatic lipase which may justify their efficiency in inhibiting lipase activity. Preventing the lipase activity to decrease availability of absorbable lipids and lowering the inflammatory response</w:t>
      </w:r>
      <w:r w:rsidR="0056593D">
        <w:rPr>
          <w:rFonts w:ascii="Arial" w:hAnsi="Arial" w:cs="Arial"/>
        </w:rPr>
        <w:t xml:space="preserve"> </w:t>
      </w:r>
      <w:r w:rsidRPr="00657C16">
        <w:rPr>
          <w:rFonts w:ascii="Arial" w:hAnsi="Arial" w:cs="Arial"/>
        </w:rPr>
        <w:t xml:space="preserve">together may help in preventing the atherogenesis in a much more </w:t>
      </w:r>
      <w:r w:rsidR="004445A7">
        <w:rPr>
          <w:rFonts w:ascii="Arial" w:hAnsi="Arial" w:cs="Arial"/>
        </w:rPr>
        <w:t>efficient</w:t>
      </w:r>
      <w:r w:rsidRPr="00657C16">
        <w:rPr>
          <w:rFonts w:ascii="Arial" w:hAnsi="Arial" w:cs="Arial"/>
        </w:rPr>
        <w:t xml:space="preserve"> way</w:t>
      </w:r>
      <w:r w:rsidR="004445A7">
        <w:rPr>
          <w:rFonts w:ascii="Arial" w:hAnsi="Arial" w:cs="Arial"/>
        </w:rPr>
        <w:t>.</w:t>
      </w:r>
    </w:p>
    <w:sectPr w:rsidR="00657C16" w:rsidRPr="00657C16" w:rsidSect="00657C16">
      <w:headerReference w:type="default" r:id="rId8"/>
      <w:pgSz w:w="11906" w:h="16838"/>
      <w:pgMar w:top="1440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225D9" w14:textId="77777777" w:rsidR="00001635" w:rsidRDefault="00001635" w:rsidP="00695225">
      <w:pPr>
        <w:spacing w:after="0" w:line="240" w:lineRule="auto"/>
      </w:pPr>
      <w:r>
        <w:separator/>
      </w:r>
    </w:p>
  </w:endnote>
  <w:endnote w:type="continuationSeparator" w:id="0">
    <w:p w14:paraId="1F69BEBE" w14:textId="77777777" w:rsidR="00001635" w:rsidRDefault="00001635" w:rsidP="00695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98655" w14:textId="77777777" w:rsidR="00001635" w:rsidRDefault="00001635" w:rsidP="00695225">
      <w:pPr>
        <w:spacing w:after="0" w:line="240" w:lineRule="auto"/>
      </w:pPr>
      <w:r>
        <w:separator/>
      </w:r>
    </w:p>
  </w:footnote>
  <w:footnote w:type="continuationSeparator" w:id="0">
    <w:p w14:paraId="04388C9F" w14:textId="77777777" w:rsidR="00001635" w:rsidRDefault="00001635" w:rsidP="006952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7FEFD" w14:textId="4EFBF867" w:rsidR="00695225" w:rsidRPr="00695225" w:rsidRDefault="00695225" w:rsidP="00695225">
    <w:pPr>
      <w:pStyle w:val="Header"/>
      <w:tabs>
        <w:tab w:val="clear" w:pos="4513"/>
        <w:tab w:val="clear" w:pos="9026"/>
        <w:tab w:val="left" w:pos="3924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C4202"/>
    <w:multiLevelType w:val="hybridMultilevel"/>
    <w:tmpl w:val="FEB65AC2"/>
    <w:lvl w:ilvl="0" w:tplc="43101D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55C52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2581C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8187A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3449E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E1A11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7F6B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11446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D0EB1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32910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0E"/>
    <w:rsid w:val="00001635"/>
    <w:rsid w:val="000532C2"/>
    <w:rsid w:val="000B1C25"/>
    <w:rsid w:val="0016550E"/>
    <w:rsid w:val="001E0AB6"/>
    <w:rsid w:val="001E675F"/>
    <w:rsid w:val="002F5CD6"/>
    <w:rsid w:val="00313DF6"/>
    <w:rsid w:val="00354F67"/>
    <w:rsid w:val="003A6066"/>
    <w:rsid w:val="00402E86"/>
    <w:rsid w:val="004445A7"/>
    <w:rsid w:val="00464D70"/>
    <w:rsid w:val="004E476D"/>
    <w:rsid w:val="004F4FE4"/>
    <w:rsid w:val="0056593D"/>
    <w:rsid w:val="005D0A10"/>
    <w:rsid w:val="00657C16"/>
    <w:rsid w:val="00695225"/>
    <w:rsid w:val="006A7930"/>
    <w:rsid w:val="00706C2C"/>
    <w:rsid w:val="007267A2"/>
    <w:rsid w:val="00781A76"/>
    <w:rsid w:val="00812C37"/>
    <w:rsid w:val="008711EC"/>
    <w:rsid w:val="00876C9E"/>
    <w:rsid w:val="008D4B0A"/>
    <w:rsid w:val="00933574"/>
    <w:rsid w:val="00973BCA"/>
    <w:rsid w:val="00A5246E"/>
    <w:rsid w:val="00AF0AC7"/>
    <w:rsid w:val="00BB2F7F"/>
    <w:rsid w:val="00BD660D"/>
    <w:rsid w:val="00C11114"/>
    <w:rsid w:val="00C971AF"/>
    <w:rsid w:val="00CA6458"/>
    <w:rsid w:val="00CB3DD7"/>
    <w:rsid w:val="00CF497B"/>
    <w:rsid w:val="00DA71F7"/>
    <w:rsid w:val="00EC319C"/>
    <w:rsid w:val="00FB018E"/>
    <w:rsid w:val="00FD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ADB94"/>
  <w15:docId w15:val="{C485D859-E387-48B6-B123-5816F0DD5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5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225"/>
  </w:style>
  <w:style w:type="paragraph" w:styleId="Footer">
    <w:name w:val="footer"/>
    <w:basedOn w:val="Normal"/>
    <w:link w:val="FooterChar"/>
    <w:uiPriority w:val="99"/>
    <w:unhideWhenUsed/>
    <w:rsid w:val="00695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225"/>
  </w:style>
  <w:style w:type="character" w:styleId="Hyperlink">
    <w:name w:val="Hyperlink"/>
    <w:basedOn w:val="DefaultParagraphFont"/>
    <w:uiPriority w:val="99"/>
    <w:unhideWhenUsed/>
    <w:rsid w:val="006A79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9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418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*stetali@uohyd.ac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ankari</dc:creator>
  <cp:keywords/>
  <dc:description/>
  <cp:lastModifiedBy>aditya ankari</cp:lastModifiedBy>
  <cp:revision>2</cp:revision>
  <dcterms:created xsi:type="dcterms:W3CDTF">2023-01-29T13:48:00Z</dcterms:created>
  <dcterms:modified xsi:type="dcterms:W3CDTF">2023-01-29T13:48:00Z</dcterms:modified>
</cp:coreProperties>
</file>