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CD8B2" w14:textId="77777777" w:rsidR="00435AD1" w:rsidRPr="00435AD1" w:rsidRDefault="00435AD1" w:rsidP="00435AD1">
      <w:pPr>
        <w:pStyle w:val="NormalWeb"/>
        <w:spacing w:line="276" w:lineRule="auto"/>
        <w:jc w:val="both"/>
        <w:rPr>
          <w:rFonts w:ascii="Arial" w:hAnsi="Arial" w:cs="Arial"/>
          <w:b/>
          <w:sz w:val="22"/>
          <w:szCs w:val="22"/>
        </w:rPr>
      </w:pPr>
      <w:r w:rsidRPr="00435AD1">
        <w:rPr>
          <w:rStyle w:val="Strong"/>
          <w:rFonts w:ascii="Arial" w:hAnsi="Arial" w:cs="Arial"/>
          <w:color w:val="353535"/>
          <w:sz w:val="22"/>
          <w:szCs w:val="22"/>
          <w:bdr w:val="none" w:sz="0" w:space="0" w:color="auto" w:frame="1"/>
          <w:shd w:val="clear" w:color="auto" w:fill="FFFFFF"/>
        </w:rPr>
        <w:t>Molecular mechanisms controlling acclimation in microalgae to changing light and nutrient availability</w:t>
      </w:r>
      <w:r w:rsidRPr="00435AD1">
        <w:rPr>
          <w:rStyle w:val="Strong"/>
          <w:rFonts w:ascii="Arial" w:hAnsi="Arial" w:cs="Arial"/>
          <w:color w:val="353535"/>
          <w:sz w:val="22"/>
          <w:szCs w:val="22"/>
          <w:bdr w:val="none" w:sz="0" w:space="0" w:color="auto" w:frame="1"/>
          <w:shd w:val="clear" w:color="auto" w:fill="FFFFFF"/>
        </w:rPr>
        <w:t>.</w:t>
      </w:r>
      <w:r w:rsidRPr="00435AD1">
        <w:rPr>
          <w:rFonts w:ascii="Arial" w:hAnsi="Arial" w:cs="Arial"/>
          <w:b/>
          <w:sz w:val="22"/>
          <w:szCs w:val="22"/>
        </w:rPr>
        <w:t xml:space="preserve"> </w:t>
      </w:r>
    </w:p>
    <w:p w14:paraId="1241D232" w14:textId="572443E0" w:rsidR="00435AD1" w:rsidRPr="00435AD1" w:rsidRDefault="00435AD1" w:rsidP="00435AD1">
      <w:pPr>
        <w:pStyle w:val="NormalWeb"/>
        <w:spacing w:line="276" w:lineRule="auto"/>
        <w:jc w:val="both"/>
        <w:rPr>
          <w:rFonts w:ascii="Arial" w:hAnsi="Arial" w:cs="Arial"/>
          <w:bCs/>
          <w:iCs/>
          <w:color w:val="000000" w:themeColor="text1"/>
          <w:sz w:val="22"/>
          <w:szCs w:val="22"/>
        </w:rPr>
      </w:pPr>
      <w:r w:rsidRPr="00435AD1">
        <w:rPr>
          <w:rFonts w:ascii="Arial" w:hAnsi="Arial" w:cs="Arial"/>
          <w:bCs/>
          <w:sz w:val="22"/>
          <w:szCs w:val="22"/>
        </w:rPr>
        <w:t>Ranay Mohan Yadav</w:t>
      </w:r>
      <w:r w:rsidRPr="00435AD1">
        <w:rPr>
          <w:rFonts w:ascii="Arial" w:hAnsi="Arial" w:cs="Arial"/>
          <w:bCs/>
          <w:sz w:val="22"/>
          <w:szCs w:val="22"/>
          <w:vertAlign w:val="superscript"/>
        </w:rPr>
        <w:t>1</w:t>
      </w:r>
      <w:r w:rsidRPr="00435AD1">
        <w:rPr>
          <w:rFonts w:ascii="Arial" w:hAnsi="Arial" w:cs="Arial"/>
          <w:bCs/>
          <w:sz w:val="22"/>
          <w:szCs w:val="22"/>
        </w:rPr>
        <w:t>, and Rajagopal Subramanyam</w:t>
      </w:r>
      <w:r w:rsidRPr="00435AD1">
        <w:rPr>
          <w:rFonts w:ascii="Arial" w:hAnsi="Arial" w:cs="Arial"/>
          <w:bCs/>
          <w:sz w:val="22"/>
          <w:szCs w:val="22"/>
          <w:vertAlign w:val="superscript"/>
        </w:rPr>
        <w:t>1</w:t>
      </w:r>
    </w:p>
    <w:p w14:paraId="02298A41" w14:textId="57F58CC9" w:rsidR="00435AD1" w:rsidRPr="00435AD1" w:rsidRDefault="00435AD1" w:rsidP="00435AD1">
      <w:pPr>
        <w:spacing w:line="276" w:lineRule="auto"/>
        <w:jc w:val="both"/>
        <w:rPr>
          <w:rFonts w:ascii="Arial" w:hAnsi="Arial" w:cs="Arial"/>
          <w:sz w:val="22"/>
          <w:szCs w:val="22"/>
        </w:rPr>
      </w:pPr>
      <w:r w:rsidRPr="00435AD1">
        <w:rPr>
          <w:rFonts w:ascii="Arial" w:hAnsi="Arial" w:cs="Arial"/>
          <w:sz w:val="22"/>
          <w:szCs w:val="22"/>
          <w:vertAlign w:val="superscript"/>
        </w:rPr>
        <w:t>1</w:t>
      </w:r>
      <w:r w:rsidRPr="00435AD1">
        <w:rPr>
          <w:rFonts w:ascii="Arial" w:hAnsi="Arial" w:cs="Arial"/>
          <w:sz w:val="22"/>
          <w:szCs w:val="22"/>
        </w:rPr>
        <w:t>Department of Plant Sciences, School of Life Sciences, University of Hyderabad, Gachibowli, Hyderabad- 500046, India</w:t>
      </w:r>
    </w:p>
    <w:p w14:paraId="5352CC01" w14:textId="77777777" w:rsidR="00435AD1" w:rsidRPr="00435AD1" w:rsidRDefault="00435AD1" w:rsidP="00435AD1">
      <w:pPr>
        <w:spacing w:line="276" w:lineRule="auto"/>
        <w:jc w:val="both"/>
        <w:rPr>
          <w:rFonts w:ascii="Arial" w:hAnsi="Arial" w:cs="Arial"/>
          <w:b/>
          <w:bCs/>
          <w:sz w:val="22"/>
          <w:szCs w:val="22"/>
        </w:rPr>
      </w:pPr>
    </w:p>
    <w:p w14:paraId="51B9C9CF" w14:textId="562B58AB" w:rsidR="00435AD1" w:rsidRPr="00435AD1" w:rsidRDefault="00435AD1" w:rsidP="00435AD1">
      <w:pPr>
        <w:spacing w:line="276" w:lineRule="auto"/>
        <w:jc w:val="both"/>
        <w:rPr>
          <w:rFonts w:ascii="Arial" w:hAnsi="Arial" w:cs="Arial"/>
          <w:sz w:val="22"/>
          <w:szCs w:val="22"/>
        </w:rPr>
      </w:pPr>
      <w:r w:rsidRPr="00435AD1">
        <w:rPr>
          <w:rFonts w:ascii="Arial" w:hAnsi="Arial" w:cs="Arial"/>
          <w:sz w:val="22"/>
          <w:szCs w:val="22"/>
        </w:rPr>
        <w:t>Light and nutrients are essential components of photosynthesis. It's activating the signalling cascades is critical in starting adaptive processes responding to environmental stimuli, and high light constitutes the leading ecological cause limiting its growth and productivity. We have correlated the biophysical, biochemical, and potential proteomic data to understand targeted sites of proteins and thylakoid photosynthetic organization in high light.</w:t>
      </w:r>
      <w:r w:rsidRPr="00435AD1">
        <w:rPr>
          <w:rFonts w:ascii="Arial" w:eastAsiaTheme="minorEastAsia" w:hAnsi="Arial" w:cs="Arial"/>
          <w:sz w:val="22"/>
          <w:szCs w:val="22"/>
        </w:rPr>
        <w:t xml:space="preserve"> </w:t>
      </w:r>
      <w:r w:rsidRPr="00435AD1">
        <w:rPr>
          <w:rFonts w:ascii="Arial" w:hAnsi="Arial" w:cs="Arial"/>
          <w:sz w:val="22"/>
          <w:szCs w:val="22"/>
        </w:rPr>
        <w:t xml:space="preserve">Cyclic electron </w:t>
      </w:r>
      <w:proofErr w:type="gramStart"/>
      <w:r w:rsidRPr="00435AD1">
        <w:rPr>
          <w:rFonts w:ascii="Arial" w:hAnsi="Arial" w:cs="Arial"/>
          <w:sz w:val="22"/>
          <w:szCs w:val="22"/>
        </w:rPr>
        <w:t>transport( CET</w:t>
      </w:r>
      <w:proofErr w:type="gramEnd"/>
      <w:r w:rsidRPr="00435AD1">
        <w:rPr>
          <w:rFonts w:ascii="Arial" w:hAnsi="Arial" w:cs="Arial"/>
          <w:sz w:val="22"/>
          <w:szCs w:val="22"/>
        </w:rPr>
        <w:t xml:space="preserve">) is an essential alternative electron transport pathway </w:t>
      </w:r>
      <w:r w:rsidRPr="00435AD1">
        <w:rPr>
          <w:rFonts w:ascii="Arial" w:hAnsi="Arial" w:cs="Arial"/>
          <w:sz w:val="22"/>
          <w:szCs w:val="22"/>
        </w:rPr>
        <w:t xml:space="preserve">that </w:t>
      </w:r>
      <w:r w:rsidRPr="00435AD1">
        <w:rPr>
          <w:rFonts w:ascii="Arial" w:hAnsi="Arial" w:cs="Arial"/>
          <w:sz w:val="22"/>
          <w:szCs w:val="22"/>
        </w:rPr>
        <w:t>requires PGR5 and PGRL1 proteins, but the role of these proteins in photosystem (PS)I photochemistry under high light is unclear. Therefore, we have grown the</w:t>
      </w:r>
      <w:r w:rsidRPr="00435AD1">
        <w:rPr>
          <w:rFonts w:ascii="Arial" w:hAnsi="Arial" w:cs="Arial"/>
          <w:i/>
          <w:sz w:val="22"/>
          <w:szCs w:val="22"/>
        </w:rPr>
        <w:t xml:space="preserve"> </w:t>
      </w:r>
      <w:r w:rsidRPr="00435AD1">
        <w:rPr>
          <w:rFonts w:ascii="Arial" w:hAnsi="Arial" w:cs="Arial"/>
          <w:i/>
          <w:iCs/>
          <w:sz w:val="22"/>
          <w:szCs w:val="22"/>
        </w:rPr>
        <w:t>pgrl1</w:t>
      </w:r>
      <w:r w:rsidRPr="00435AD1">
        <w:rPr>
          <w:rFonts w:ascii="Arial" w:hAnsi="Arial" w:cs="Arial"/>
          <w:sz w:val="22"/>
          <w:szCs w:val="22"/>
        </w:rPr>
        <w:t xml:space="preserve"> and </w:t>
      </w:r>
      <w:r w:rsidRPr="00435AD1">
        <w:rPr>
          <w:rFonts w:ascii="Arial" w:hAnsi="Arial" w:cs="Arial"/>
          <w:i/>
          <w:iCs/>
          <w:sz w:val="22"/>
          <w:szCs w:val="22"/>
        </w:rPr>
        <w:t xml:space="preserve">pgr5 </w:t>
      </w:r>
      <w:r w:rsidRPr="00435AD1">
        <w:rPr>
          <w:rFonts w:ascii="Arial" w:hAnsi="Arial" w:cs="Arial"/>
          <w:sz w:val="22"/>
          <w:szCs w:val="22"/>
        </w:rPr>
        <w:t xml:space="preserve">mutants to investigate how these mutants are involved in the photoprotection of PSI and PSII under high light. These mutants showed lower growth, lesser photosynthetic yield and reduced pmf, leading to diminished non-photochemical quenching dependent energy quenching (qE) than wt under high </w:t>
      </w:r>
      <w:proofErr w:type="gramStart"/>
      <w:r w:rsidRPr="00435AD1">
        <w:rPr>
          <w:rFonts w:ascii="Arial" w:hAnsi="Arial" w:cs="Arial"/>
          <w:sz w:val="22"/>
          <w:szCs w:val="22"/>
        </w:rPr>
        <w:t>light.</w:t>
      </w:r>
      <w:r w:rsidRPr="00435AD1">
        <w:rPr>
          <w:rFonts w:ascii="Arial" w:hAnsi="Arial" w:cs="Arial"/>
          <w:sz w:val="22"/>
          <w:szCs w:val="22"/>
          <w:lang w:val="en-US"/>
        </w:rPr>
        <w:t>Consequently</w:t>
      </w:r>
      <w:proofErr w:type="gramEnd"/>
      <w:r w:rsidRPr="00435AD1">
        <w:rPr>
          <w:rFonts w:ascii="Arial" w:hAnsi="Arial" w:cs="Arial"/>
          <w:sz w:val="22"/>
          <w:szCs w:val="22"/>
          <w:lang w:val="en-US"/>
        </w:rPr>
        <w:t>, the dynamic fine-tuning between the two components of pmf (</w:t>
      </w:r>
      <w:r w:rsidRPr="00435AD1">
        <w:rPr>
          <w:rFonts w:ascii="Arial" w:hAnsi="Arial" w:cs="Arial"/>
          <w:sz w:val="22"/>
          <w:szCs w:val="22"/>
        </w:rPr>
        <w:t>ΔpH and Δψ</w:t>
      </w:r>
      <w:r w:rsidRPr="00435AD1">
        <w:rPr>
          <w:rFonts w:ascii="Arial" w:hAnsi="Arial" w:cs="Arial"/>
          <w:sz w:val="22"/>
          <w:szCs w:val="22"/>
          <w:lang w:val="en-US"/>
        </w:rPr>
        <w:t xml:space="preserve">) remains controversial but essential for adjusting photosynthetic light reactions. </w:t>
      </w:r>
      <w:r w:rsidRPr="00435AD1">
        <w:rPr>
          <w:rFonts w:ascii="Arial" w:hAnsi="Arial" w:cs="Arial"/>
          <w:sz w:val="22"/>
          <w:szCs w:val="22"/>
        </w:rPr>
        <w:t xml:space="preserve">However, the proton motive force (ΔpH) component was reduced in </w:t>
      </w:r>
      <w:r w:rsidRPr="00435AD1">
        <w:rPr>
          <w:rFonts w:ascii="Arial" w:hAnsi="Arial" w:cs="Arial"/>
          <w:i/>
          <w:iCs/>
          <w:sz w:val="22"/>
          <w:szCs w:val="22"/>
        </w:rPr>
        <w:t>pgr5</w:t>
      </w:r>
      <w:r w:rsidRPr="00435AD1">
        <w:rPr>
          <w:rFonts w:ascii="Arial" w:hAnsi="Arial" w:cs="Arial"/>
          <w:sz w:val="22"/>
          <w:szCs w:val="22"/>
        </w:rPr>
        <w:t xml:space="preserve"> and transiently increased the electrical potential difference component's (Δψ) contribution, which might accelerate the photosynthetic acclimation.</w:t>
      </w:r>
      <w:r>
        <w:rPr>
          <w:rFonts w:ascii="Arial" w:hAnsi="Arial" w:cs="Arial"/>
          <w:sz w:val="22"/>
          <w:szCs w:val="22"/>
        </w:rPr>
        <w:t xml:space="preserve"> </w:t>
      </w:r>
      <w:r w:rsidRPr="00435AD1">
        <w:rPr>
          <w:rFonts w:ascii="Arial" w:hAnsi="Arial" w:cs="Arial"/>
          <w:sz w:val="22"/>
          <w:szCs w:val="22"/>
        </w:rPr>
        <w:t xml:space="preserve">We assert that </w:t>
      </w:r>
      <w:r w:rsidRPr="00435AD1">
        <w:rPr>
          <w:rFonts w:ascii="Arial" w:hAnsi="Arial" w:cs="Arial"/>
          <w:i/>
          <w:iCs/>
          <w:sz w:val="22"/>
          <w:szCs w:val="22"/>
        </w:rPr>
        <w:t>pgrl1</w:t>
      </w:r>
      <w:r w:rsidRPr="00435AD1">
        <w:rPr>
          <w:rFonts w:ascii="Arial" w:hAnsi="Arial" w:cs="Arial"/>
          <w:sz w:val="22"/>
          <w:szCs w:val="22"/>
        </w:rPr>
        <w:t xml:space="preserve"> exhibits a diminished expression of light-harvesting complex stress response (LHCSR3) protein, though </w:t>
      </w:r>
      <w:r w:rsidRPr="00435AD1">
        <w:rPr>
          <w:rFonts w:ascii="Arial" w:hAnsi="Arial" w:cs="Arial"/>
          <w:i/>
          <w:iCs/>
          <w:sz w:val="22"/>
          <w:szCs w:val="22"/>
        </w:rPr>
        <w:t>pgr5</w:t>
      </w:r>
      <w:r w:rsidRPr="00435AD1">
        <w:rPr>
          <w:rFonts w:ascii="Arial" w:hAnsi="Arial" w:cs="Arial"/>
          <w:sz w:val="22"/>
          <w:szCs w:val="22"/>
        </w:rPr>
        <w:t xml:space="preserve"> lacks complete expression of LHCSR3 in high light.</w:t>
      </w:r>
      <w:r>
        <w:rPr>
          <w:rFonts w:ascii="Arial" w:hAnsi="Arial" w:cs="Arial"/>
          <w:sz w:val="22"/>
          <w:szCs w:val="22"/>
        </w:rPr>
        <w:t xml:space="preserve"> </w:t>
      </w:r>
      <w:proofErr w:type="gramStart"/>
      <w:r w:rsidRPr="00435AD1">
        <w:rPr>
          <w:rFonts w:ascii="Arial" w:hAnsi="Arial" w:cs="Arial"/>
          <w:sz w:val="22"/>
          <w:szCs w:val="22"/>
        </w:rPr>
        <w:t>Additionally</w:t>
      </w:r>
      <w:proofErr w:type="gramEnd"/>
      <w:r w:rsidRPr="00435AD1">
        <w:rPr>
          <w:rFonts w:ascii="Arial" w:hAnsi="Arial" w:cs="Arial"/>
          <w:sz w:val="22"/>
          <w:szCs w:val="22"/>
        </w:rPr>
        <w:t xml:space="preserve">, the time point expression level of PSBS protein continuously raises in </w:t>
      </w:r>
      <w:r w:rsidRPr="00435AD1">
        <w:rPr>
          <w:rFonts w:ascii="Arial" w:hAnsi="Arial" w:cs="Arial"/>
          <w:i/>
          <w:iCs/>
          <w:sz w:val="22"/>
          <w:szCs w:val="22"/>
        </w:rPr>
        <w:t>pgr5</w:t>
      </w:r>
      <w:r w:rsidRPr="00435AD1">
        <w:rPr>
          <w:rFonts w:ascii="Arial" w:hAnsi="Arial" w:cs="Arial"/>
          <w:sz w:val="22"/>
          <w:szCs w:val="22"/>
        </w:rPr>
        <w:t xml:space="preserve"> compared to the wt and </w:t>
      </w:r>
      <w:r w:rsidRPr="00435AD1">
        <w:rPr>
          <w:rFonts w:ascii="Arial" w:hAnsi="Arial" w:cs="Arial"/>
          <w:i/>
          <w:iCs/>
          <w:sz w:val="22"/>
          <w:szCs w:val="22"/>
        </w:rPr>
        <w:t>pgrl1,</w:t>
      </w:r>
      <w:r w:rsidRPr="00435AD1">
        <w:rPr>
          <w:rFonts w:ascii="Arial" w:hAnsi="Arial" w:cs="Arial"/>
          <w:sz w:val="22"/>
          <w:szCs w:val="22"/>
        </w:rPr>
        <w:t xml:space="preserve"> indicating that PSBS aids in </w:t>
      </w:r>
      <w:r w:rsidRPr="00435AD1">
        <w:rPr>
          <w:rFonts w:ascii="Arial" w:hAnsi="Arial" w:cs="Arial"/>
          <w:i/>
          <w:iCs/>
          <w:sz w:val="22"/>
          <w:szCs w:val="22"/>
        </w:rPr>
        <w:t xml:space="preserve">pgr5 </w:t>
      </w:r>
      <w:r w:rsidRPr="00435AD1">
        <w:rPr>
          <w:rFonts w:ascii="Arial" w:hAnsi="Arial" w:cs="Arial"/>
          <w:sz w:val="22"/>
          <w:szCs w:val="22"/>
        </w:rPr>
        <w:t xml:space="preserve">for sustainable growth and further contributes to the photoprotection under </w:t>
      </w:r>
      <w:r w:rsidRPr="00435AD1">
        <w:rPr>
          <w:rFonts w:ascii="Arial" w:hAnsi="Arial" w:cs="Arial"/>
          <w:iCs/>
          <w:sz w:val="22"/>
          <w:szCs w:val="22"/>
        </w:rPr>
        <w:t>high light</w:t>
      </w:r>
      <w:r w:rsidRPr="00435AD1">
        <w:rPr>
          <w:rFonts w:ascii="Arial" w:hAnsi="Arial" w:cs="Arial"/>
          <w:sz w:val="22"/>
          <w:szCs w:val="22"/>
        </w:rPr>
        <w:t xml:space="preserve">. </w:t>
      </w:r>
      <w:r w:rsidRPr="00435AD1">
        <w:rPr>
          <w:rFonts w:ascii="Arial" w:eastAsia="Times New Roman" w:hAnsi="Arial" w:cs="Arial"/>
          <w:color w:val="000000" w:themeColor="text1"/>
          <w:kern w:val="24"/>
          <w:sz w:val="22"/>
          <w:szCs w:val="22"/>
          <w:lang w:val="en-IN"/>
        </w:rPr>
        <w:t xml:space="preserve">In high light, CP43 and CP47 showed a reduced amount in </w:t>
      </w:r>
      <w:r w:rsidRPr="00435AD1">
        <w:rPr>
          <w:rFonts w:ascii="Arial" w:eastAsia="Times New Roman" w:hAnsi="Arial" w:cs="Arial"/>
          <w:i/>
          <w:iCs/>
          <w:color w:val="000000" w:themeColor="text1"/>
          <w:kern w:val="24"/>
          <w:sz w:val="22"/>
          <w:szCs w:val="22"/>
          <w:lang w:val="en-IN"/>
        </w:rPr>
        <w:t xml:space="preserve">pgr5 </w:t>
      </w:r>
      <w:r w:rsidRPr="00435AD1">
        <w:rPr>
          <w:rFonts w:ascii="Arial" w:eastAsia="Times New Roman" w:hAnsi="Arial" w:cs="Arial"/>
          <w:color w:val="000000" w:themeColor="text1"/>
          <w:kern w:val="24"/>
          <w:sz w:val="22"/>
          <w:szCs w:val="22"/>
          <w:lang w:val="en-IN"/>
        </w:rPr>
        <w:t>high light</w:t>
      </w:r>
      <w:r w:rsidRPr="00435AD1">
        <w:rPr>
          <w:rFonts w:ascii="Arial" w:eastAsia="Times New Roman" w:hAnsi="Arial" w:cs="Arial"/>
          <w:i/>
          <w:iCs/>
          <w:color w:val="000000" w:themeColor="text1"/>
          <w:kern w:val="24"/>
          <w:sz w:val="22"/>
          <w:szCs w:val="22"/>
          <w:lang w:val="en-IN"/>
        </w:rPr>
        <w:t xml:space="preserve"> </w:t>
      </w:r>
      <w:r w:rsidRPr="00435AD1">
        <w:rPr>
          <w:rFonts w:ascii="Arial" w:eastAsia="Times New Roman" w:hAnsi="Arial" w:cs="Arial"/>
          <w:color w:val="000000" w:themeColor="text1"/>
          <w:kern w:val="24"/>
          <w:sz w:val="22"/>
          <w:szCs w:val="22"/>
          <w:lang w:val="en-IN"/>
        </w:rPr>
        <w:t>due to changes in chlorophyll and carotenoid content around the PSII protein, which coordinates with the cofactors for efficient energy transfer from the light-harvesting antenna to the photosystem core</w:t>
      </w:r>
      <w:r w:rsidRPr="00435AD1">
        <w:rPr>
          <w:rFonts w:ascii="Arial" w:eastAsia="Times New Roman" w:hAnsi="Arial" w:cs="Arial"/>
          <w:color w:val="000000"/>
          <w:kern w:val="24"/>
          <w:sz w:val="22"/>
          <w:szCs w:val="22"/>
        </w:rPr>
        <w:t>.</w:t>
      </w:r>
      <w:r w:rsidRPr="00435AD1">
        <w:rPr>
          <w:rFonts w:ascii="Arial" w:eastAsia="Calibri" w:hAnsi="Arial" w:cs="Arial"/>
          <w:sz w:val="22"/>
          <w:szCs w:val="22"/>
        </w:rPr>
        <w:t xml:space="preserve"> BN-PAGE and circular dichroism studies indicate that high light alters macromolecular assembly</w:t>
      </w:r>
      <w:r w:rsidRPr="00435AD1">
        <w:rPr>
          <w:rFonts w:ascii="Arial" w:eastAsia="Times New Roman" w:hAnsi="Arial" w:cs="Arial"/>
          <w:color w:val="000000"/>
          <w:kern w:val="24"/>
          <w:sz w:val="22"/>
          <w:szCs w:val="22"/>
        </w:rPr>
        <w:t xml:space="preserve"> and prevalent thylakoid destacking</w:t>
      </w:r>
      <w:r w:rsidRPr="00435AD1">
        <w:rPr>
          <w:rFonts w:ascii="Arial" w:eastAsia="Calibri" w:hAnsi="Arial" w:cs="Arial"/>
          <w:sz w:val="22"/>
          <w:szCs w:val="22"/>
        </w:rPr>
        <w:t xml:space="preserve"> in </w:t>
      </w:r>
      <w:r w:rsidRPr="00435AD1">
        <w:rPr>
          <w:rFonts w:ascii="Arial" w:eastAsia="Calibri" w:hAnsi="Arial" w:cs="Arial"/>
          <w:i/>
          <w:iCs/>
          <w:sz w:val="22"/>
          <w:szCs w:val="22"/>
        </w:rPr>
        <w:t>pgrl1</w:t>
      </w:r>
      <w:r w:rsidRPr="00435AD1">
        <w:rPr>
          <w:rFonts w:ascii="Arial" w:eastAsia="Calibri" w:hAnsi="Arial" w:cs="Arial"/>
          <w:sz w:val="22"/>
          <w:szCs w:val="22"/>
        </w:rPr>
        <w:t xml:space="preserve"> and </w:t>
      </w:r>
      <w:r w:rsidRPr="00435AD1">
        <w:rPr>
          <w:rFonts w:ascii="Arial" w:eastAsia="Calibri" w:hAnsi="Arial" w:cs="Arial"/>
          <w:i/>
          <w:iCs/>
          <w:sz w:val="22"/>
          <w:szCs w:val="22"/>
        </w:rPr>
        <w:t>pgr5</w:t>
      </w:r>
      <w:r w:rsidRPr="00435AD1">
        <w:rPr>
          <w:rFonts w:ascii="Arial" w:eastAsia="Calibri" w:hAnsi="Arial" w:cs="Arial"/>
          <w:sz w:val="22"/>
          <w:szCs w:val="22"/>
        </w:rPr>
        <w:t xml:space="preserve"> </w:t>
      </w:r>
      <w:r w:rsidRPr="00435AD1">
        <w:rPr>
          <w:rFonts w:ascii="Arial" w:eastAsia="Times New Roman" w:hAnsi="Arial" w:cs="Arial"/>
          <w:color w:val="000000"/>
          <w:kern w:val="24"/>
          <w:sz w:val="22"/>
          <w:szCs w:val="22"/>
        </w:rPr>
        <w:t>allows due to change in the proteome of thylakoids</w:t>
      </w:r>
      <w:r w:rsidRPr="00435AD1">
        <w:rPr>
          <w:rFonts w:ascii="Arial" w:eastAsia="Times New Roman" w:hAnsi="Arial" w:cs="Arial"/>
          <w:color w:val="000000" w:themeColor="text1"/>
          <w:kern w:val="24"/>
          <w:sz w:val="22"/>
          <w:szCs w:val="22"/>
          <w:lang w:val="en-IN"/>
        </w:rPr>
        <w:t xml:space="preserve">. </w:t>
      </w:r>
      <w:r w:rsidRPr="00435AD1">
        <w:rPr>
          <w:rFonts w:ascii="Arial" w:eastAsia="Calibri" w:hAnsi="Arial" w:cs="Arial"/>
          <w:sz w:val="22"/>
          <w:szCs w:val="22"/>
          <w:lang w:val="en-IN"/>
        </w:rPr>
        <w:t xml:space="preserve">This study proposes that in </w:t>
      </w:r>
      <w:r w:rsidRPr="00435AD1">
        <w:rPr>
          <w:rFonts w:ascii="Arial" w:eastAsia="Calibri" w:hAnsi="Arial" w:cs="Arial"/>
          <w:i/>
          <w:iCs/>
          <w:sz w:val="22"/>
          <w:szCs w:val="22"/>
          <w:lang w:val="en-IN"/>
        </w:rPr>
        <w:t>pgr5,</w:t>
      </w:r>
      <w:r w:rsidRPr="00435AD1">
        <w:rPr>
          <w:rFonts w:ascii="Arial" w:eastAsia="Calibri" w:hAnsi="Arial" w:cs="Arial"/>
          <w:sz w:val="22"/>
          <w:szCs w:val="22"/>
          <w:lang w:val="en-IN"/>
        </w:rPr>
        <w:t xml:space="preserve"> the LHCSR3 and PSBS protein expression</w:t>
      </w:r>
      <w:r w:rsidRPr="00435AD1" w:rsidDel="00F54877">
        <w:rPr>
          <w:rFonts w:ascii="Arial" w:eastAsia="Calibri" w:hAnsi="Arial" w:cs="Arial"/>
          <w:sz w:val="22"/>
          <w:szCs w:val="22"/>
          <w:lang w:val="en-IN"/>
        </w:rPr>
        <w:t xml:space="preserve"> </w:t>
      </w:r>
      <w:r w:rsidRPr="00435AD1">
        <w:rPr>
          <w:rFonts w:ascii="Arial" w:eastAsia="Calibri" w:hAnsi="Arial" w:cs="Arial"/>
          <w:sz w:val="22"/>
          <w:szCs w:val="22"/>
          <w:lang w:val="en-IN"/>
        </w:rPr>
        <w:t xml:space="preserve">and functional mechanisms can vary with the time and the amount of </w:t>
      </w:r>
      <w:proofErr w:type="spellStart"/>
      <w:r w:rsidRPr="00435AD1">
        <w:rPr>
          <w:rFonts w:ascii="Arial" w:eastAsia="Calibri" w:hAnsi="Arial" w:cs="Arial"/>
          <w:sz w:val="22"/>
          <w:szCs w:val="22"/>
          <w:lang w:val="en-IN"/>
        </w:rPr>
        <w:t>photoxidizing</w:t>
      </w:r>
      <w:proofErr w:type="spellEnd"/>
      <w:r w:rsidRPr="00435AD1">
        <w:rPr>
          <w:rFonts w:ascii="Arial" w:eastAsia="Calibri" w:hAnsi="Arial" w:cs="Arial"/>
          <w:sz w:val="22"/>
          <w:szCs w:val="22"/>
          <w:lang w:val="en-IN"/>
        </w:rPr>
        <w:t xml:space="preserve"> stress.</w:t>
      </w:r>
    </w:p>
    <w:p w14:paraId="5F7FE948" w14:textId="77777777" w:rsidR="00435AD1" w:rsidRPr="00435AD1" w:rsidRDefault="00435AD1" w:rsidP="00435AD1">
      <w:pPr>
        <w:spacing w:line="276" w:lineRule="auto"/>
        <w:jc w:val="both"/>
        <w:rPr>
          <w:rFonts w:ascii="Arial" w:hAnsi="Arial" w:cs="Arial"/>
          <w:sz w:val="22"/>
          <w:szCs w:val="22"/>
        </w:rPr>
      </w:pPr>
    </w:p>
    <w:p w14:paraId="49255C40" w14:textId="77777777" w:rsidR="00435AD1" w:rsidRPr="00435AD1" w:rsidRDefault="00435AD1" w:rsidP="00435AD1">
      <w:pPr>
        <w:spacing w:line="276" w:lineRule="auto"/>
        <w:jc w:val="both"/>
        <w:rPr>
          <w:rFonts w:ascii="Arial" w:hAnsi="Arial" w:cs="Arial"/>
          <w:sz w:val="22"/>
          <w:szCs w:val="22"/>
        </w:rPr>
      </w:pPr>
      <w:r w:rsidRPr="00435AD1">
        <w:rPr>
          <w:rFonts w:ascii="Arial" w:hAnsi="Arial" w:cs="Arial"/>
          <w:b/>
          <w:bCs/>
          <w:sz w:val="22"/>
          <w:szCs w:val="22"/>
        </w:rPr>
        <w:t>Keywords</w:t>
      </w:r>
      <w:r w:rsidRPr="00435AD1">
        <w:rPr>
          <w:rFonts w:ascii="Arial" w:hAnsi="Arial" w:cs="Arial"/>
          <w:b/>
          <w:sz w:val="22"/>
          <w:szCs w:val="22"/>
        </w:rPr>
        <w:t xml:space="preserve">:  </w:t>
      </w:r>
      <w:r w:rsidRPr="00435AD1">
        <w:rPr>
          <w:rFonts w:ascii="Arial" w:hAnsi="Arial" w:cs="Arial"/>
          <w:bCs/>
          <w:i/>
          <w:iCs/>
          <w:sz w:val="22"/>
          <w:szCs w:val="22"/>
        </w:rPr>
        <w:t>C</w:t>
      </w:r>
      <w:r w:rsidRPr="00435AD1">
        <w:rPr>
          <w:rFonts w:ascii="Arial" w:hAnsi="Arial" w:cs="Arial"/>
          <w:b/>
          <w:sz w:val="22"/>
          <w:szCs w:val="22"/>
        </w:rPr>
        <w:t xml:space="preserve">. </w:t>
      </w:r>
      <w:r w:rsidRPr="00435AD1">
        <w:rPr>
          <w:rFonts w:ascii="Arial" w:hAnsi="Arial" w:cs="Arial"/>
          <w:bCs/>
          <w:i/>
          <w:iCs/>
          <w:sz w:val="22"/>
          <w:szCs w:val="22"/>
        </w:rPr>
        <w:t>reinhardtii</w:t>
      </w:r>
      <w:r w:rsidRPr="00435AD1">
        <w:rPr>
          <w:rFonts w:ascii="Arial" w:hAnsi="Arial" w:cs="Arial"/>
          <w:bCs/>
          <w:sz w:val="22"/>
          <w:szCs w:val="22"/>
        </w:rPr>
        <w:t>, cyclic electron transport,</w:t>
      </w:r>
      <w:r w:rsidRPr="00435AD1">
        <w:rPr>
          <w:rFonts w:ascii="Arial" w:hAnsi="Arial" w:cs="Arial"/>
          <w:b/>
          <w:sz w:val="22"/>
          <w:szCs w:val="22"/>
        </w:rPr>
        <w:t xml:space="preserve"> </w:t>
      </w:r>
      <w:r w:rsidRPr="00435AD1">
        <w:rPr>
          <w:rFonts w:ascii="Arial" w:hAnsi="Arial" w:cs="Arial"/>
          <w:bCs/>
          <w:sz w:val="22"/>
          <w:szCs w:val="22"/>
        </w:rPr>
        <w:t>LHCSR3, p</w:t>
      </w:r>
      <w:r w:rsidRPr="00435AD1">
        <w:rPr>
          <w:rFonts w:ascii="Arial" w:hAnsi="Arial" w:cs="Arial"/>
          <w:sz w:val="22"/>
          <w:szCs w:val="22"/>
          <w:lang w:val="en-US"/>
        </w:rPr>
        <w:t>roton motive force (pmf), non-photochemical quenching (NPQ)</w:t>
      </w:r>
      <w:r w:rsidRPr="00435AD1">
        <w:rPr>
          <w:rFonts w:ascii="Arial" w:hAnsi="Arial" w:cs="Arial"/>
          <w:sz w:val="22"/>
          <w:szCs w:val="22"/>
        </w:rPr>
        <w:t>, photosystems (PS).</w:t>
      </w:r>
    </w:p>
    <w:p w14:paraId="52D60AE7" w14:textId="77777777" w:rsidR="00864BA0" w:rsidRPr="00435AD1" w:rsidRDefault="00864BA0" w:rsidP="00435AD1">
      <w:pPr>
        <w:spacing w:line="276" w:lineRule="auto"/>
        <w:rPr>
          <w:rFonts w:ascii="Arial" w:hAnsi="Arial" w:cs="Arial"/>
          <w:sz w:val="22"/>
          <w:szCs w:val="22"/>
        </w:rPr>
      </w:pPr>
    </w:p>
    <w:sectPr w:rsidR="00864BA0" w:rsidRPr="00435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1NjI3MTCxNDE1NDNT0lEKTi0uzszPAykwrAUAoy5XESwAAAA="/>
  </w:docVars>
  <w:rsids>
    <w:rsidRoot w:val="006C0FA6"/>
    <w:rsid w:val="00435AD1"/>
    <w:rsid w:val="006C0FA6"/>
    <w:rsid w:val="007A3F3D"/>
    <w:rsid w:val="00864B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EF13"/>
  <w15:chartTrackingRefBased/>
  <w15:docId w15:val="{1E60E08B-6D16-434E-8FA9-457A6A6AC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AD1"/>
    <w:pPr>
      <w:spacing w:after="0" w:line="240" w:lineRule="auto"/>
    </w:pPr>
    <w:rPr>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35AD1"/>
    <w:rPr>
      <w:b/>
      <w:bCs/>
    </w:rPr>
  </w:style>
  <w:style w:type="paragraph" w:styleId="NormalWeb">
    <w:name w:val="Normal (Web)"/>
    <w:basedOn w:val="Normal"/>
    <w:uiPriority w:val="99"/>
    <w:unhideWhenUsed/>
    <w:rsid w:val="00435AD1"/>
    <w:pPr>
      <w:spacing w:before="100" w:beforeAutospacing="1" w:after="100" w:afterAutospacing="1"/>
    </w:pPr>
    <w:rPr>
      <w:rFonts w:ascii="Times New Roman" w:eastAsia="Times New Roman" w:hAnsi="Times New Roman" w:cs="Times New Roman"/>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Ranay</dc:creator>
  <cp:keywords/>
  <dc:description/>
  <cp:lastModifiedBy>Ranay</cp:lastModifiedBy>
  <cp:revision>3</cp:revision>
  <dcterms:created xsi:type="dcterms:W3CDTF">2023-01-30T06:12:00Z</dcterms:created>
  <dcterms:modified xsi:type="dcterms:W3CDTF">2023-01-30T06:25:00Z</dcterms:modified>
</cp:coreProperties>
</file>