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20CCC9" w14:textId="0B27FD75" w:rsidR="001C46EC" w:rsidRDefault="001C46EC" w:rsidP="001C46EC">
      <w:pPr>
        <w:jc w:val="center"/>
        <w:rPr>
          <w:rFonts w:ascii="Arial" w:hAnsi="Arial" w:cs="Arial"/>
          <w:b/>
          <w:bCs/>
          <w:sz w:val="24"/>
          <w:szCs w:val="24"/>
        </w:rPr>
      </w:pPr>
      <w:r w:rsidRPr="001C46EC">
        <w:rPr>
          <w:rFonts w:ascii="Arial" w:hAnsi="Arial" w:cs="Arial"/>
          <w:b/>
          <w:bCs/>
          <w:sz w:val="24"/>
          <w:szCs w:val="24"/>
        </w:rPr>
        <w:t xml:space="preserve">2-oxoglutarate-dependent dioxygenases drive expansion of steroidal alkaloid structural diversity in the genus </w:t>
      </w:r>
      <w:r w:rsidRPr="00F92577">
        <w:rPr>
          <w:rFonts w:ascii="Arial" w:hAnsi="Arial" w:cs="Arial"/>
          <w:b/>
          <w:bCs/>
          <w:i/>
          <w:iCs/>
          <w:sz w:val="24"/>
          <w:szCs w:val="24"/>
        </w:rPr>
        <w:t>Solanum</w:t>
      </w:r>
    </w:p>
    <w:p w14:paraId="5DAD05B8" w14:textId="53686ED7" w:rsidR="00F92577" w:rsidRPr="00264F70" w:rsidRDefault="00BE1F6E" w:rsidP="00F92577">
      <w:pPr>
        <w:jc w:val="center"/>
        <w:rPr>
          <w:rFonts w:ascii="Arial" w:hAnsi="Arial" w:cs="Arial"/>
          <w:sz w:val="24"/>
          <w:szCs w:val="24"/>
          <w:vertAlign w:val="superscript"/>
        </w:rPr>
      </w:pPr>
      <w:r w:rsidRPr="00264F70">
        <w:rPr>
          <w:rFonts w:ascii="Arial" w:hAnsi="Arial" w:cs="Arial"/>
          <w:b/>
          <w:bCs/>
          <w:sz w:val="24"/>
          <w:szCs w:val="24"/>
        </w:rPr>
        <w:t>Ranjit S Barbol</w:t>
      </w:r>
      <w:r>
        <w:rPr>
          <w:rFonts w:ascii="Arial" w:hAnsi="Arial" w:cs="Arial"/>
          <w:b/>
          <w:bCs/>
          <w:sz w:val="24"/>
          <w:szCs w:val="24"/>
        </w:rPr>
        <w:t>e</w:t>
      </w:r>
      <w:r w:rsidRPr="00BE1F6E">
        <w:rPr>
          <w:rFonts w:ascii="Arial" w:hAnsi="Arial" w:cs="Arial"/>
          <w:b/>
          <w:bCs/>
          <w:sz w:val="24"/>
          <w:szCs w:val="24"/>
          <w:vertAlign w:val="superscript"/>
        </w:rPr>
        <w:t>1,3</w:t>
      </w:r>
      <w:r w:rsidRPr="00BE1F6E">
        <w:rPr>
          <w:rFonts w:ascii="Arial" w:hAnsi="Arial" w:cs="Arial"/>
          <w:sz w:val="24"/>
          <w:szCs w:val="24"/>
        </w:rPr>
        <w:t>,</w:t>
      </w:r>
      <w:r>
        <w:rPr>
          <w:rFonts w:ascii="Arial" w:hAnsi="Arial" w:cs="Arial"/>
          <w:sz w:val="24"/>
          <w:szCs w:val="24"/>
        </w:rPr>
        <w:t xml:space="preserve"> </w:t>
      </w:r>
      <w:r w:rsidR="00F92577" w:rsidRPr="00264F70">
        <w:rPr>
          <w:rFonts w:ascii="Arial" w:hAnsi="Arial" w:cs="Arial"/>
          <w:sz w:val="24"/>
          <w:szCs w:val="24"/>
        </w:rPr>
        <w:t>Prashant D Sonawane</w:t>
      </w:r>
      <w:r w:rsidR="00F92577" w:rsidRPr="00264F70">
        <w:rPr>
          <w:rFonts w:ascii="Arial" w:hAnsi="Arial" w:cs="Arial"/>
          <w:sz w:val="24"/>
          <w:szCs w:val="24"/>
          <w:vertAlign w:val="superscript"/>
        </w:rPr>
        <w:t>1,2</w:t>
      </w:r>
      <w:r w:rsidR="00F92577" w:rsidRPr="00264F70">
        <w:rPr>
          <w:rFonts w:ascii="Arial" w:hAnsi="Arial" w:cs="Arial"/>
          <w:sz w:val="24"/>
          <w:szCs w:val="24"/>
        </w:rPr>
        <w:t>,</w:t>
      </w:r>
      <w:r>
        <w:rPr>
          <w:rFonts w:ascii="Arial" w:hAnsi="Arial" w:cs="Arial"/>
          <w:sz w:val="24"/>
          <w:szCs w:val="24"/>
        </w:rPr>
        <w:t xml:space="preserve"> </w:t>
      </w:r>
      <w:r w:rsidR="00F92577" w:rsidRPr="00264F70">
        <w:rPr>
          <w:rFonts w:ascii="Arial" w:hAnsi="Arial" w:cs="Arial"/>
          <w:sz w:val="24"/>
          <w:szCs w:val="24"/>
        </w:rPr>
        <w:t>Ashok P Giri</w:t>
      </w:r>
      <w:r w:rsidR="00F92577" w:rsidRPr="00264F70">
        <w:rPr>
          <w:rFonts w:ascii="Arial" w:hAnsi="Arial" w:cs="Arial"/>
          <w:sz w:val="24"/>
          <w:szCs w:val="24"/>
          <w:vertAlign w:val="superscript"/>
        </w:rPr>
        <w:t>3</w:t>
      </w:r>
      <w:r>
        <w:rPr>
          <w:rFonts w:ascii="Arial" w:hAnsi="Arial" w:cs="Arial"/>
          <w:sz w:val="24"/>
          <w:szCs w:val="24"/>
        </w:rPr>
        <w:t xml:space="preserve"> and </w:t>
      </w:r>
      <w:r w:rsidR="00F92577" w:rsidRPr="00264F70">
        <w:rPr>
          <w:rFonts w:ascii="Arial" w:hAnsi="Arial" w:cs="Arial"/>
          <w:sz w:val="24"/>
          <w:szCs w:val="24"/>
        </w:rPr>
        <w:t>Asaph Aharoni</w:t>
      </w:r>
      <w:r w:rsidR="00F92577" w:rsidRPr="00264F70">
        <w:rPr>
          <w:rFonts w:ascii="Arial" w:hAnsi="Arial" w:cs="Arial"/>
          <w:sz w:val="24"/>
          <w:szCs w:val="24"/>
          <w:vertAlign w:val="superscript"/>
        </w:rPr>
        <w:t>1*</w:t>
      </w:r>
    </w:p>
    <w:p w14:paraId="555B88CA" w14:textId="77777777" w:rsidR="00BE1F6E" w:rsidRDefault="00BE1F6E" w:rsidP="001C46EC">
      <w:pPr>
        <w:rPr>
          <w:rFonts w:ascii="Arial" w:hAnsi="Arial" w:cs="Arial"/>
          <w:sz w:val="24"/>
          <w:szCs w:val="24"/>
          <w:vertAlign w:val="superscript"/>
        </w:rPr>
      </w:pPr>
    </w:p>
    <w:p w14:paraId="7B4FDE40" w14:textId="687115BB" w:rsidR="001C46EC" w:rsidRPr="00264F70" w:rsidRDefault="001C46EC" w:rsidP="001C46EC">
      <w:pPr>
        <w:rPr>
          <w:rFonts w:ascii="Arial" w:hAnsi="Arial" w:cs="Arial"/>
          <w:sz w:val="24"/>
          <w:szCs w:val="24"/>
        </w:rPr>
      </w:pPr>
      <w:r w:rsidRPr="00264F70">
        <w:rPr>
          <w:rFonts w:ascii="Arial" w:hAnsi="Arial" w:cs="Arial"/>
          <w:sz w:val="24"/>
          <w:szCs w:val="24"/>
          <w:vertAlign w:val="superscript"/>
        </w:rPr>
        <w:t>1</w:t>
      </w:r>
      <w:r w:rsidRPr="00264F70">
        <w:rPr>
          <w:rFonts w:ascii="Arial" w:hAnsi="Arial" w:cs="Arial"/>
          <w:sz w:val="24"/>
          <w:szCs w:val="24"/>
        </w:rPr>
        <w:t>Department of Plant and Environmental Sciences, Weizmann Institute of Science, Rehovot 7610001, Israel</w:t>
      </w:r>
    </w:p>
    <w:p w14:paraId="12CB3F2C" w14:textId="30E46421" w:rsidR="00F92577" w:rsidRPr="00264F70" w:rsidRDefault="00F92577" w:rsidP="00F92577">
      <w:pPr>
        <w:rPr>
          <w:rFonts w:ascii="Arial" w:hAnsi="Arial" w:cs="Arial"/>
          <w:sz w:val="24"/>
          <w:szCs w:val="24"/>
        </w:rPr>
      </w:pPr>
      <w:r w:rsidRPr="00264F70">
        <w:rPr>
          <w:rFonts w:ascii="Arial" w:hAnsi="Arial" w:cs="Arial"/>
          <w:sz w:val="24"/>
          <w:szCs w:val="24"/>
          <w:vertAlign w:val="superscript"/>
        </w:rPr>
        <w:t>2</w:t>
      </w:r>
      <w:r w:rsidRPr="00264F70">
        <w:rPr>
          <w:rFonts w:ascii="Arial" w:hAnsi="Arial" w:cs="Arial"/>
          <w:sz w:val="24"/>
          <w:szCs w:val="24"/>
        </w:rPr>
        <w:t>Department of Natural Products, Max Planck Institute for Chemical Ecology,</w:t>
      </w:r>
    </w:p>
    <w:p w14:paraId="2548367E" w14:textId="1A433475" w:rsidR="00F92577" w:rsidRPr="00264F70" w:rsidRDefault="00F92577" w:rsidP="00F92577">
      <w:pPr>
        <w:rPr>
          <w:rFonts w:ascii="Arial" w:hAnsi="Arial" w:cs="Arial"/>
          <w:sz w:val="24"/>
          <w:szCs w:val="24"/>
        </w:rPr>
      </w:pPr>
      <w:r w:rsidRPr="00264F70">
        <w:rPr>
          <w:rFonts w:ascii="Arial" w:hAnsi="Arial" w:cs="Arial"/>
          <w:sz w:val="24"/>
          <w:szCs w:val="24"/>
        </w:rPr>
        <w:t>Jena 07745, Germany</w:t>
      </w:r>
    </w:p>
    <w:p w14:paraId="75986ABF" w14:textId="0F5FAEA0" w:rsidR="001C46EC" w:rsidRPr="00264F70" w:rsidRDefault="00F92577" w:rsidP="001C46EC">
      <w:pPr>
        <w:rPr>
          <w:rFonts w:ascii="Arial" w:hAnsi="Arial" w:cs="Arial"/>
          <w:sz w:val="24"/>
          <w:szCs w:val="24"/>
        </w:rPr>
      </w:pPr>
      <w:r w:rsidRPr="00264F70">
        <w:rPr>
          <w:rFonts w:ascii="Arial" w:hAnsi="Arial" w:cs="Arial"/>
          <w:sz w:val="24"/>
          <w:szCs w:val="24"/>
          <w:vertAlign w:val="superscript"/>
        </w:rPr>
        <w:t>3</w:t>
      </w:r>
      <w:r w:rsidR="001C46EC" w:rsidRPr="00264F70">
        <w:rPr>
          <w:rFonts w:ascii="Arial" w:hAnsi="Arial" w:cs="Arial"/>
          <w:sz w:val="24"/>
          <w:szCs w:val="24"/>
        </w:rPr>
        <w:t>Biochemical Sciences Division, CSIR- National Chemical Laboratory, Pune 411008, India</w:t>
      </w:r>
      <w:r w:rsidRPr="00264F70">
        <w:rPr>
          <w:rFonts w:ascii="Arial" w:hAnsi="Arial" w:cs="Arial"/>
          <w:sz w:val="24"/>
          <w:szCs w:val="24"/>
        </w:rPr>
        <w:t xml:space="preserve"> </w:t>
      </w:r>
    </w:p>
    <w:p w14:paraId="64BAE8C5" w14:textId="1509F761" w:rsidR="006023E7" w:rsidRPr="00264F70" w:rsidRDefault="006023E7" w:rsidP="006023E7">
      <w:pPr>
        <w:rPr>
          <w:rFonts w:ascii="Arial" w:hAnsi="Arial" w:cs="Arial"/>
          <w:sz w:val="24"/>
          <w:szCs w:val="24"/>
        </w:rPr>
      </w:pPr>
      <w:r w:rsidRPr="00264F70">
        <w:rPr>
          <w:rFonts w:ascii="Arial" w:hAnsi="Arial" w:cs="Arial"/>
          <w:sz w:val="24"/>
          <w:szCs w:val="24"/>
        </w:rPr>
        <w:t>*Email: asaph.aharoni@weizmann.ac.il</w:t>
      </w:r>
    </w:p>
    <w:p w14:paraId="3BD5D11D" w14:textId="77777777" w:rsidR="001C46EC" w:rsidRDefault="001C46EC" w:rsidP="00E022ED">
      <w:pPr>
        <w:spacing w:line="240" w:lineRule="auto"/>
        <w:jc w:val="both"/>
        <w:rPr>
          <w:rFonts w:ascii="Arial" w:hAnsi="Arial" w:cs="Arial"/>
        </w:rPr>
      </w:pPr>
    </w:p>
    <w:p w14:paraId="27CDE262" w14:textId="77777777" w:rsidR="00E022ED" w:rsidRDefault="001C46EC" w:rsidP="00E022ED">
      <w:pPr>
        <w:spacing w:after="0" w:line="360" w:lineRule="auto"/>
        <w:jc w:val="both"/>
        <w:rPr>
          <w:rFonts w:ascii="Arial" w:hAnsi="Arial" w:cs="Arial"/>
        </w:rPr>
      </w:pPr>
      <w:r w:rsidRPr="001C46EC">
        <w:rPr>
          <w:rFonts w:ascii="Arial" w:hAnsi="Arial" w:cs="Arial"/>
        </w:rPr>
        <w:t>Solanum steroidal glycoalkaloids (SGAs) are renowned defence metabolites exhibiting spectacular structural diversity. The occurrence and distribution of the various SGAs structures vary greatly between wild and cultivated species. Some SGAs are restricted to specific wild species and to cell or tissue types.</w:t>
      </w:r>
      <w:r w:rsidR="00E022ED">
        <w:rPr>
          <w:rFonts w:ascii="Arial" w:hAnsi="Arial" w:cs="Arial"/>
        </w:rPr>
        <w:t xml:space="preserve"> For example, </w:t>
      </w:r>
      <w:proofErr w:type="spellStart"/>
      <w:r w:rsidR="00E022ED" w:rsidRPr="00E022ED">
        <w:rPr>
          <w:rFonts w:ascii="Arial" w:hAnsi="Arial" w:cs="Arial"/>
        </w:rPr>
        <w:t>leptinines</w:t>
      </w:r>
      <w:proofErr w:type="spellEnd"/>
      <w:r w:rsidR="00E022ED" w:rsidRPr="00E022ED">
        <w:rPr>
          <w:rFonts w:ascii="Arial" w:hAnsi="Arial" w:cs="Arial"/>
        </w:rPr>
        <w:t xml:space="preserve"> and </w:t>
      </w:r>
      <w:proofErr w:type="spellStart"/>
      <w:r w:rsidR="00E022ED" w:rsidRPr="00E022ED">
        <w:rPr>
          <w:rFonts w:ascii="Arial" w:hAnsi="Arial" w:cs="Arial"/>
        </w:rPr>
        <w:t>leptines</w:t>
      </w:r>
      <w:proofErr w:type="spellEnd"/>
      <w:r w:rsidR="00E022ED" w:rsidRPr="00E022ED">
        <w:rPr>
          <w:rFonts w:ascii="Arial" w:hAnsi="Arial" w:cs="Arial"/>
        </w:rPr>
        <w:t xml:space="preserve"> are foliar SGAs present only in the wild </w:t>
      </w:r>
      <w:r w:rsidR="00E022ED" w:rsidRPr="00E022ED">
        <w:rPr>
          <w:rFonts w:ascii="Arial" w:hAnsi="Arial" w:cs="Arial"/>
          <w:i/>
          <w:iCs/>
        </w:rPr>
        <w:t xml:space="preserve">Solanum </w:t>
      </w:r>
      <w:proofErr w:type="spellStart"/>
      <w:r w:rsidR="00E022ED" w:rsidRPr="00E022ED">
        <w:rPr>
          <w:rFonts w:ascii="Arial" w:hAnsi="Arial" w:cs="Arial"/>
          <w:i/>
          <w:iCs/>
        </w:rPr>
        <w:t>chacoense</w:t>
      </w:r>
      <w:proofErr w:type="spellEnd"/>
      <w:r w:rsidR="00E022ED" w:rsidRPr="00E022ED">
        <w:rPr>
          <w:rFonts w:ascii="Arial" w:hAnsi="Arial" w:cs="Arial"/>
        </w:rPr>
        <w:t xml:space="preserve"> potato species</w:t>
      </w:r>
      <w:r w:rsidR="00E022ED">
        <w:rPr>
          <w:rFonts w:ascii="Arial" w:hAnsi="Arial" w:cs="Arial"/>
        </w:rPr>
        <w:t xml:space="preserve">, </w:t>
      </w:r>
      <w:proofErr w:type="spellStart"/>
      <w:r w:rsidR="00E022ED" w:rsidRPr="00E022ED">
        <w:rPr>
          <w:rFonts w:ascii="Arial" w:hAnsi="Arial" w:cs="Arial"/>
        </w:rPr>
        <w:t>torvoside</w:t>
      </w:r>
      <w:proofErr w:type="spellEnd"/>
      <w:r w:rsidR="00E022ED" w:rsidRPr="00E022ED">
        <w:rPr>
          <w:rFonts w:ascii="Arial" w:hAnsi="Arial" w:cs="Arial"/>
        </w:rPr>
        <w:t xml:space="preserve"> A and </w:t>
      </w:r>
    </w:p>
    <w:p w14:paraId="7FF200F6" w14:textId="2DCBB5C8" w:rsidR="004925B0" w:rsidRPr="001C46EC" w:rsidRDefault="00E022ED" w:rsidP="00E022ED">
      <w:pPr>
        <w:spacing w:after="0" w:line="360" w:lineRule="auto"/>
        <w:jc w:val="both"/>
        <w:rPr>
          <w:rFonts w:ascii="Arial" w:hAnsi="Arial" w:cs="Arial"/>
        </w:rPr>
      </w:pPr>
      <w:proofErr w:type="spellStart"/>
      <w:r w:rsidRPr="00E022ED">
        <w:rPr>
          <w:rFonts w:ascii="Arial" w:hAnsi="Arial" w:cs="Arial"/>
        </w:rPr>
        <w:t>torvoside</w:t>
      </w:r>
      <w:proofErr w:type="spellEnd"/>
      <w:r w:rsidRPr="00E022ED">
        <w:rPr>
          <w:rFonts w:ascii="Arial" w:hAnsi="Arial" w:cs="Arial"/>
        </w:rPr>
        <w:t xml:space="preserve"> H SGAs are</w:t>
      </w:r>
      <w:r>
        <w:rPr>
          <w:rFonts w:ascii="Arial" w:hAnsi="Arial" w:cs="Arial"/>
        </w:rPr>
        <w:t xml:space="preserve"> </w:t>
      </w:r>
      <w:r w:rsidRPr="00E022ED">
        <w:rPr>
          <w:rFonts w:ascii="Arial" w:hAnsi="Arial" w:cs="Arial"/>
        </w:rPr>
        <w:t xml:space="preserve">unique to </w:t>
      </w:r>
      <w:r w:rsidRPr="00E022ED">
        <w:rPr>
          <w:rFonts w:ascii="Arial" w:hAnsi="Arial" w:cs="Arial"/>
          <w:i/>
          <w:iCs/>
        </w:rPr>
        <w:t xml:space="preserve">Solanum </w:t>
      </w:r>
      <w:proofErr w:type="spellStart"/>
      <w:r w:rsidRPr="00E022ED">
        <w:rPr>
          <w:rFonts w:ascii="Arial" w:hAnsi="Arial" w:cs="Arial"/>
          <w:i/>
          <w:iCs/>
        </w:rPr>
        <w:t>torvum</w:t>
      </w:r>
      <w:proofErr w:type="spellEnd"/>
      <w:r w:rsidRPr="00E022ED">
        <w:rPr>
          <w:rFonts w:ascii="Arial" w:hAnsi="Arial" w:cs="Arial"/>
        </w:rPr>
        <w:t xml:space="preserve"> </w:t>
      </w:r>
      <w:r>
        <w:rPr>
          <w:rFonts w:ascii="Arial" w:hAnsi="Arial" w:cs="Arial"/>
        </w:rPr>
        <w:t xml:space="preserve">and </w:t>
      </w:r>
      <w:proofErr w:type="spellStart"/>
      <w:r>
        <w:rPr>
          <w:rFonts w:ascii="Arial" w:hAnsi="Arial" w:cs="Arial"/>
        </w:rPr>
        <w:t>habrochitoside</w:t>
      </w:r>
      <w:proofErr w:type="spellEnd"/>
      <w:r>
        <w:rPr>
          <w:rFonts w:ascii="Arial" w:hAnsi="Arial" w:cs="Arial"/>
        </w:rPr>
        <w:t xml:space="preserve"> A known to accumulate only in </w:t>
      </w:r>
      <w:r w:rsidRPr="00E022ED">
        <w:rPr>
          <w:rFonts w:ascii="Arial" w:hAnsi="Arial" w:cs="Arial"/>
        </w:rPr>
        <w:t>only in ripening fruit</w:t>
      </w:r>
      <w:r>
        <w:rPr>
          <w:rFonts w:ascii="Arial" w:hAnsi="Arial" w:cs="Arial"/>
        </w:rPr>
        <w:t xml:space="preserve"> </w:t>
      </w:r>
      <w:r w:rsidRPr="00E022ED">
        <w:rPr>
          <w:rFonts w:ascii="Arial" w:hAnsi="Arial" w:cs="Arial"/>
        </w:rPr>
        <w:t xml:space="preserve">tissues of the wild tomato </w:t>
      </w:r>
      <w:r w:rsidRPr="00E022ED">
        <w:rPr>
          <w:rFonts w:ascii="Arial" w:hAnsi="Arial" w:cs="Arial"/>
          <w:i/>
          <w:iCs/>
        </w:rPr>
        <w:t xml:space="preserve">Solanum </w:t>
      </w:r>
      <w:proofErr w:type="spellStart"/>
      <w:r w:rsidRPr="00E022ED">
        <w:rPr>
          <w:rFonts w:ascii="Arial" w:hAnsi="Arial" w:cs="Arial"/>
          <w:i/>
          <w:iCs/>
        </w:rPr>
        <w:t>habrochaites</w:t>
      </w:r>
      <w:proofErr w:type="spellEnd"/>
      <w:r>
        <w:rPr>
          <w:rFonts w:ascii="Arial" w:hAnsi="Arial" w:cs="Arial"/>
        </w:rPr>
        <w:t xml:space="preserve">. </w:t>
      </w:r>
      <w:r w:rsidR="00E836A2">
        <w:rPr>
          <w:rFonts w:ascii="Arial" w:hAnsi="Arial" w:cs="Arial"/>
        </w:rPr>
        <w:t xml:space="preserve"> </w:t>
      </w:r>
      <w:r w:rsidR="001C46EC" w:rsidRPr="001C46EC">
        <w:rPr>
          <w:rFonts w:ascii="Arial" w:hAnsi="Arial" w:cs="Arial"/>
        </w:rPr>
        <w:t xml:space="preserve">Genes and enzymes generating the SGA precursor pathway, SGA scaffold and glycosylated forms have been largely identified. Yet, </w:t>
      </w:r>
      <w:proofErr w:type="gramStart"/>
      <w:r w:rsidR="001C46EC" w:rsidRPr="001C46EC">
        <w:rPr>
          <w:rFonts w:ascii="Arial" w:hAnsi="Arial" w:cs="Arial"/>
        </w:rPr>
        <w:t>the majority of</w:t>
      </w:r>
      <w:proofErr w:type="gramEnd"/>
      <w:r w:rsidR="001C46EC" w:rsidRPr="001C46EC">
        <w:rPr>
          <w:rFonts w:ascii="Arial" w:hAnsi="Arial" w:cs="Arial"/>
        </w:rPr>
        <w:t xml:space="preserve"> downstream metabolic steps creating the vast repertoire of SGAs remain untapped. Here, we discovered that members of the 2-OXOGLUTARATE-DEPENDENT DIOXYGENASE (2-ODD) family play a prominent role in SGA metabolism, carrying backbone-modifying oxidative steps in addition to the three formerly reported path-way reactions. The GLYCOALKALOID METABOLISM34 (GAME34) enzyme catalyses the conversion of core SGAs to </w:t>
      </w:r>
      <w:proofErr w:type="spellStart"/>
      <w:r w:rsidR="001C46EC" w:rsidRPr="001C46EC">
        <w:rPr>
          <w:rFonts w:ascii="Arial" w:hAnsi="Arial" w:cs="Arial"/>
        </w:rPr>
        <w:t>habrochaitosides</w:t>
      </w:r>
      <w:proofErr w:type="spellEnd"/>
      <w:r w:rsidR="001C46EC" w:rsidRPr="001C46EC">
        <w:rPr>
          <w:rFonts w:ascii="Arial" w:hAnsi="Arial" w:cs="Arial"/>
        </w:rPr>
        <w:t xml:space="preserve"> in wild tomato </w:t>
      </w:r>
      <w:r w:rsidR="001C46EC" w:rsidRPr="001C46EC">
        <w:rPr>
          <w:rFonts w:ascii="Arial" w:hAnsi="Arial" w:cs="Arial"/>
          <w:i/>
          <w:iCs/>
        </w:rPr>
        <w:t xml:space="preserve">Solanum </w:t>
      </w:r>
      <w:proofErr w:type="spellStart"/>
      <w:r w:rsidR="001C46EC" w:rsidRPr="001C46EC">
        <w:rPr>
          <w:rFonts w:ascii="Arial" w:hAnsi="Arial" w:cs="Arial"/>
          <w:i/>
          <w:iCs/>
        </w:rPr>
        <w:t>habrochaites</w:t>
      </w:r>
      <w:proofErr w:type="spellEnd"/>
      <w:r w:rsidR="001C46EC" w:rsidRPr="001C46EC">
        <w:rPr>
          <w:rFonts w:ascii="Arial" w:hAnsi="Arial" w:cs="Arial"/>
        </w:rPr>
        <w:t xml:space="preserve">. Cultivated tomato plants over-expressing GAME34 ectopically accumulate </w:t>
      </w:r>
      <w:proofErr w:type="spellStart"/>
      <w:r w:rsidR="001C46EC" w:rsidRPr="001C46EC">
        <w:rPr>
          <w:rFonts w:ascii="Arial" w:hAnsi="Arial" w:cs="Arial"/>
        </w:rPr>
        <w:t>habrochaitosides</w:t>
      </w:r>
      <w:proofErr w:type="spellEnd"/>
      <w:r w:rsidR="001C46EC" w:rsidRPr="001C46EC">
        <w:rPr>
          <w:rFonts w:ascii="Arial" w:hAnsi="Arial" w:cs="Arial"/>
        </w:rPr>
        <w:t xml:space="preserve">. These </w:t>
      </w:r>
      <w:proofErr w:type="spellStart"/>
      <w:r w:rsidR="001C46EC" w:rsidRPr="001C46EC">
        <w:rPr>
          <w:rFonts w:ascii="Arial" w:hAnsi="Arial" w:cs="Arial"/>
        </w:rPr>
        <w:t>habrochaitoside</w:t>
      </w:r>
      <w:proofErr w:type="spellEnd"/>
      <w:r w:rsidR="001C46EC" w:rsidRPr="001C46EC">
        <w:rPr>
          <w:rFonts w:ascii="Arial" w:hAnsi="Arial" w:cs="Arial"/>
        </w:rPr>
        <w:t xml:space="preserve"> enriched plants extracts potently inhibit </w:t>
      </w:r>
      <w:r w:rsidR="001C46EC" w:rsidRPr="001C46EC">
        <w:rPr>
          <w:rFonts w:ascii="Arial" w:hAnsi="Arial" w:cs="Arial"/>
          <w:i/>
          <w:iCs/>
        </w:rPr>
        <w:t>Puccinia spp</w:t>
      </w:r>
      <w:r w:rsidR="001C46EC" w:rsidRPr="001C46EC">
        <w:rPr>
          <w:rFonts w:ascii="Arial" w:hAnsi="Arial" w:cs="Arial"/>
        </w:rPr>
        <w:t>. spore germination, a significant Solanaceae crops fungal pathogen.</w:t>
      </w:r>
    </w:p>
    <w:sectPr w:rsidR="004925B0" w:rsidRPr="001C46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780FBA"/>
    <w:multiLevelType w:val="hybridMultilevel"/>
    <w:tmpl w:val="D01C578E"/>
    <w:lvl w:ilvl="0" w:tplc="91641AEA">
      <w:start w:val="2"/>
      <w:numFmt w:val="bullet"/>
      <w:lvlText w:val=""/>
      <w:lvlJc w:val="left"/>
      <w:pPr>
        <w:ind w:left="720" w:hanging="360"/>
      </w:pPr>
      <w:rPr>
        <w:rFonts w:ascii="Symbol" w:eastAsiaTheme="minorHAnsi"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45848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6EC"/>
    <w:rsid w:val="00005C1B"/>
    <w:rsid w:val="00007C70"/>
    <w:rsid w:val="00026218"/>
    <w:rsid w:val="00040700"/>
    <w:rsid w:val="00046C62"/>
    <w:rsid w:val="000612FB"/>
    <w:rsid w:val="00065EC6"/>
    <w:rsid w:val="0007183B"/>
    <w:rsid w:val="00091A7E"/>
    <w:rsid w:val="000956E5"/>
    <w:rsid w:val="000A367C"/>
    <w:rsid w:val="000A650A"/>
    <w:rsid w:val="000C19D1"/>
    <w:rsid w:val="000C49E8"/>
    <w:rsid w:val="000D3CEE"/>
    <w:rsid w:val="000D5784"/>
    <w:rsid w:val="000E016B"/>
    <w:rsid w:val="000E2B40"/>
    <w:rsid w:val="000E429B"/>
    <w:rsid w:val="000E5A84"/>
    <w:rsid w:val="000E78CB"/>
    <w:rsid w:val="000F546D"/>
    <w:rsid w:val="00100506"/>
    <w:rsid w:val="00127DC0"/>
    <w:rsid w:val="00137B94"/>
    <w:rsid w:val="00164BC2"/>
    <w:rsid w:val="00167C4E"/>
    <w:rsid w:val="00173564"/>
    <w:rsid w:val="0018480E"/>
    <w:rsid w:val="00185A4D"/>
    <w:rsid w:val="001C46EC"/>
    <w:rsid w:val="00223B6F"/>
    <w:rsid w:val="00224F40"/>
    <w:rsid w:val="002444D2"/>
    <w:rsid w:val="00246500"/>
    <w:rsid w:val="0026404B"/>
    <w:rsid w:val="00264F70"/>
    <w:rsid w:val="00267427"/>
    <w:rsid w:val="00271FEE"/>
    <w:rsid w:val="00272028"/>
    <w:rsid w:val="00295D53"/>
    <w:rsid w:val="002A3F6C"/>
    <w:rsid w:val="002A63EC"/>
    <w:rsid w:val="002C2F3C"/>
    <w:rsid w:val="002F4A69"/>
    <w:rsid w:val="002F4E3C"/>
    <w:rsid w:val="00300677"/>
    <w:rsid w:val="003078DD"/>
    <w:rsid w:val="00313229"/>
    <w:rsid w:val="003200F2"/>
    <w:rsid w:val="003332DA"/>
    <w:rsid w:val="0033677D"/>
    <w:rsid w:val="003408D9"/>
    <w:rsid w:val="00344FF8"/>
    <w:rsid w:val="0034501C"/>
    <w:rsid w:val="0035379E"/>
    <w:rsid w:val="00367EA4"/>
    <w:rsid w:val="0037789D"/>
    <w:rsid w:val="00385A87"/>
    <w:rsid w:val="003A7024"/>
    <w:rsid w:val="003B3595"/>
    <w:rsid w:val="003B4986"/>
    <w:rsid w:val="003D7581"/>
    <w:rsid w:val="003F4C75"/>
    <w:rsid w:val="003F67E6"/>
    <w:rsid w:val="004260E8"/>
    <w:rsid w:val="00456589"/>
    <w:rsid w:val="004724AD"/>
    <w:rsid w:val="00475619"/>
    <w:rsid w:val="00477C20"/>
    <w:rsid w:val="004823E1"/>
    <w:rsid w:val="00482D16"/>
    <w:rsid w:val="00484712"/>
    <w:rsid w:val="00487CF2"/>
    <w:rsid w:val="004925B0"/>
    <w:rsid w:val="0049360D"/>
    <w:rsid w:val="00496EF3"/>
    <w:rsid w:val="004A05D2"/>
    <w:rsid w:val="004A2C0D"/>
    <w:rsid w:val="004A471F"/>
    <w:rsid w:val="004B43D8"/>
    <w:rsid w:val="004C0FCE"/>
    <w:rsid w:val="004D2F0E"/>
    <w:rsid w:val="004D6E7F"/>
    <w:rsid w:val="00503446"/>
    <w:rsid w:val="0056006F"/>
    <w:rsid w:val="00560419"/>
    <w:rsid w:val="005617C0"/>
    <w:rsid w:val="005625A3"/>
    <w:rsid w:val="00572D51"/>
    <w:rsid w:val="00582394"/>
    <w:rsid w:val="00592B9F"/>
    <w:rsid w:val="005A2B55"/>
    <w:rsid w:val="005A66D3"/>
    <w:rsid w:val="005B2282"/>
    <w:rsid w:val="005B4F9D"/>
    <w:rsid w:val="005B71A5"/>
    <w:rsid w:val="005C72B4"/>
    <w:rsid w:val="005E4604"/>
    <w:rsid w:val="005F10A3"/>
    <w:rsid w:val="006023E7"/>
    <w:rsid w:val="00603B13"/>
    <w:rsid w:val="00611F65"/>
    <w:rsid w:val="006152C2"/>
    <w:rsid w:val="0062148C"/>
    <w:rsid w:val="006218A6"/>
    <w:rsid w:val="00623AC3"/>
    <w:rsid w:val="00633BF2"/>
    <w:rsid w:val="00652F6A"/>
    <w:rsid w:val="0067091F"/>
    <w:rsid w:val="006714C0"/>
    <w:rsid w:val="006751C5"/>
    <w:rsid w:val="00675D09"/>
    <w:rsid w:val="006B140F"/>
    <w:rsid w:val="006B2943"/>
    <w:rsid w:val="006C4208"/>
    <w:rsid w:val="006E38DB"/>
    <w:rsid w:val="00702A0D"/>
    <w:rsid w:val="00703649"/>
    <w:rsid w:val="007114F0"/>
    <w:rsid w:val="00716959"/>
    <w:rsid w:val="0074465C"/>
    <w:rsid w:val="00745237"/>
    <w:rsid w:val="00750E55"/>
    <w:rsid w:val="0075654C"/>
    <w:rsid w:val="00762C05"/>
    <w:rsid w:val="007748B2"/>
    <w:rsid w:val="0077618B"/>
    <w:rsid w:val="007B69AC"/>
    <w:rsid w:val="007C3FB9"/>
    <w:rsid w:val="007E66D9"/>
    <w:rsid w:val="007F09D6"/>
    <w:rsid w:val="007F1126"/>
    <w:rsid w:val="007F4C2D"/>
    <w:rsid w:val="008043AD"/>
    <w:rsid w:val="0080767E"/>
    <w:rsid w:val="00814487"/>
    <w:rsid w:val="00816C1A"/>
    <w:rsid w:val="00831027"/>
    <w:rsid w:val="008312B4"/>
    <w:rsid w:val="00846D8A"/>
    <w:rsid w:val="00847818"/>
    <w:rsid w:val="00847849"/>
    <w:rsid w:val="008625B2"/>
    <w:rsid w:val="0087064A"/>
    <w:rsid w:val="00873FDC"/>
    <w:rsid w:val="008955FF"/>
    <w:rsid w:val="008A546C"/>
    <w:rsid w:val="008B6454"/>
    <w:rsid w:val="008D3A9C"/>
    <w:rsid w:val="00905143"/>
    <w:rsid w:val="009052F9"/>
    <w:rsid w:val="00905ECE"/>
    <w:rsid w:val="009107EB"/>
    <w:rsid w:val="009128F8"/>
    <w:rsid w:val="0091382C"/>
    <w:rsid w:val="00930FC3"/>
    <w:rsid w:val="0093729B"/>
    <w:rsid w:val="00950823"/>
    <w:rsid w:val="009544F2"/>
    <w:rsid w:val="00967926"/>
    <w:rsid w:val="0098351F"/>
    <w:rsid w:val="009C0F26"/>
    <w:rsid w:val="009C721F"/>
    <w:rsid w:val="009E665D"/>
    <w:rsid w:val="009F2A81"/>
    <w:rsid w:val="00A008F7"/>
    <w:rsid w:val="00A04936"/>
    <w:rsid w:val="00A2553D"/>
    <w:rsid w:val="00A258BC"/>
    <w:rsid w:val="00A320E7"/>
    <w:rsid w:val="00A36E6C"/>
    <w:rsid w:val="00A53434"/>
    <w:rsid w:val="00A54E45"/>
    <w:rsid w:val="00A60572"/>
    <w:rsid w:val="00A70293"/>
    <w:rsid w:val="00A81E66"/>
    <w:rsid w:val="00A823D0"/>
    <w:rsid w:val="00A86A7E"/>
    <w:rsid w:val="00AA2305"/>
    <w:rsid w:val="00B124FF"/>
    <w:rsid w:val="00B311F9"/>
    <w:rsid w:val="00B45EE5"/>
    <w:rsid w:val="00B51540"/>
    <w:rsid w:val="00B617A6"/>
    <w:rsid w:val="00B76ECB"/>
    <w:rsid w:val="00B7735A"/>
    <w:rsid w:val="00B848E0"/>
    <w:rsid w:val="00B91DA1"/>
    <w:rsid w:val="00BA32B5"/>
    <w:rsid w:val="00BA5B64"/>
    <w:rsid w:val="00BB483F"/>
    <w:rsid w:val="00BB685B"/>
    <w:rsid w:val="00BC3422"/>
    <w:rsid w:val="00BD39B9"/>
    <w:rsid w:val="00BD72AC"/>
    <w:rsid w:val="00BE1F6E"/>
    <w:rsid w:val="00BF5216"/>
    <w:rsid w:val="00C03D8D"/>
    <w:rsid w:val="00C04651"/>
    <w:rsid w:val="00C25CBA"/>
    <w:rsid w:val="00C30578"/>
    <w:rsid w:val="00C40711"/>
    <w:rsid w:val="00C90633"/>
    <w:rsid w:val="00C9177D"/>
    <w:rsid w:val="00C92757"/>
    <w:rsid w:val="00C9789E"/>
    <w:rsid w:val="00CA7F0B"/>
    <w:rsid w:val="00CB05BC"/>
    <w:rsid w:val="00CB287B"/>
    <w:rsid w:val="00CB780D"/>
    <w:rsid w:val="00CC4B4A"/>
    <w:rsid w:val="00CF5DAC"/>
    <w:rsid w:val="00CF7A77"/>
    <w:rsid w:val="00D01ADA"/>
    <w:rsid w:val="00D01E5A"/>
    <w:rsid w:val="00D163DA"/>
    <w:rsid w:val="00D2188B"/>
    <w:rsid w:val="00D54952"/>
    <w:rsid w:val="00D67D55"/>
    <w:rsid w:val="00D720AC"/>
    <w:rsid w:val="00DA53C6"/>
    <w:rsid w:val="00DC07AA"/>
    <w:rsid w:val="00DC436B"/>
    <w:rsid w:val="00DD3E97"/>
    <w:rsid w:val="00DE3C01"/>
    <w:rsid w:val="00E022ED"/>
    <w:rsid w:val="00E067FF"/>
    <w:rsid w:val="00E1490A"/>
    <w:rsid w:val="00E35F96"/>
    <w:rsid w:val="00E5593A"/>
    <w:rsid w:val="00E62A79"/>
    <w:rsid w:val="00E632FC"/>
    <w:rsid w:val="00E6418C"/>
    <w:rsid w:val="00E836A2"/>
    <w:rsid w:val="00E8473D"/>
    <w:rsid w:val="00E92898"/>
    <w:rsid w:val="00EB1FBC"/>
    <w:rsid w:val="00ED36F4"/>
    <w:rsid w:val="00EE0B1A"/>
    <w:rsid w:val="00EE27F8"/>
    <w:rsid w:val="00EF2CED"/>
    <w:rsid w:val="00EF7031"/>
    <w:rsid w:val="00F220D8"/>
    <w:rsid w:val="00F336B4"/>
    <w:rsid w:val="00F42CBC"/>
    <w:rsid w:val="00F5676B"/>
    <w:rsid w:val="00F838D3"/>
    <w:rsid w:val="00F844FD"/>
    <w:rsid w:val="00F92577"/>
    <w:rsid w:val="00F95BFF"/>
    <w:rsid w:val="00FA4CF5"/>
    <w:rsid w:val="00FA5A0F"/>
    <w:rsid w:val="00FB2357"/>
    <w:rsid w:val="00FC35F9"/>
    <w:rsid w:val="00FC5B00"/>
    <w:rsid w:val="00FC7AD2"/>
    <w:rsid w:val="00FE3B8E"/>
    <w:rsid w:val="00FE75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C8496"/>
  <w15:chartTrackingRefBased/>
  <w15:docId w15:val="{A6363C02-2F2F-4D68-A8BB-6A12D798C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3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Pages>
  <Words>294</Words>
  <Characters>1677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 BARBOLE</dc:creator>
  <cp:keywords/>
  <dc:description/>
  <cp:lastModifiedBy>RANJIT BARBOLE</cp:lastModifiedBy>
  <cp:revision>5</cp:revision>
  <dcterms:created xsi:type="dcterms:W3CDTF">2023-01-30T10:24:00Z</dcterms:created>
  <dcterms:modified xsi:type="dcterms:W3CDTF">2023-01-30T13:38:00Z</dcterms:modified>
</cp:coreProperties>
</file>