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50748" w14:textId="5ED5885E" w:rsidR="00484A73" w:rsidRPr="00484A73" w:rsidRDefault="00484A73" w:rsidP="00484A73">
      <w:pPr>
        <w:suppressAutoHyphens w:val="0"/>
        <w:autoSpaceDE w:val="0"/>
        <w:autoSpaceDN w:val="0"/>
        <w:adjustRightInd w:val="0"/>
        <w:spacing w:line="360" w:lineRule="auto"/>
        <w:ind w:leftChars="0" w:left="0" w:firstLineChars="0" w:firstLine="0"/>
        <w:jc w:val="both"/>
        <w:textDirection w:val="lrTb"/>
        <w:textAlignment w:val="auto"/>
        <w:outlineLvl w:val="9"/>
        <w:rPr>
          <w:rFonts w:eastAsia="Calibri" w:cs="Arial"/>
          <w:b/>
          <w:bCs/>
          <w:i/>
          <w:iCs/>
          <w:position w:val="0"/>
          <w:sz w:val="24"/>
          <w:szCs w:val="24"/>
        </w:rPr>
      </w:pPr>
      <w:r w:rsidRPr="00484A73">
        <w:rPr>
          <w:rFonts w:eastAsia="Calibri" w:cs="Arial"/>
          <w:b/>
          <w:bCs/>
          <w:position w:val="0"/>
          <w:sz w:val="24"/>
          <w:szCs w:val="24"/>
        </w:rPr>
        <w:t xml:space="preserve">Mangrove species </w:t>
      </w:r>
      <w:proofErr w:type="spellStart"/>
      <w:r w:rsidRPr="00484A73">
        <w:rPr>
          <w:rFonts w:eastAsia="Calibri" w:cs="Arial"/>
          <w:b/>
          <w:bCs/>
          <w:i/>
          <w:iCs/>
          <w:position w:val="0"/>
          <w:sz w:val="24"/>
          <w:szCs w:val="24"/>
        </w:rPr>
        <w:t>Avicennia</w:t>
      </w:r>
      <w:proofErr w:type="spellEnd"/>
      <w:r w:rsidRPr="00484A73">
        <w:rPr>
          <w:rFonts w:eastAsia="Calibri" w:cs="Arial"/>
          <w:b/>
          <w:bCs/>
          <w:i/>
          <w:iCs/>
          <w:position w:val="0"/>
          <w:sz w:val="24"/>
          <w:szCs w:val="24"/>
        </w:rPr>
        <w:t xml:space="preserve"> marina</w:t>
      </w:r>
      <w:r w:rsidRPr="00484A73">
        <w:rPr>
          <w:rFonts w:eastAsia="Calibri" w:cs="Arial"/>
          <w:b/>
          <w:bCs/>
          <w:position w:val="0"/>
          <w:sz w:val="24"/>
          <w:szCs w:val="24"/>
        </w:rPr>
        <w:t xml:space="preserve"> and </w:t>
      </w:r>
      <w:proofErr w:type="spellStart"/>
      <w:r w:rsidRPr="00484A73">
        <w:rPr>
          <w:rFonts w:eastAsia="Calibri" w:cs="Arial"/>
          <w:b/>
          <w:bCs/>
          <w:i/>
          <w:iCs/>
          <w:position w:val="0"/>
          <w:sz w:val="24"/>
          <w:szCs w:val="24"/>
        </w:rPr>
        <w:t>Avicennia</w:t>
      </w:r>
      <w:proofErr w:type="spellEnd"/>
      <w:r w:rsidRPr="00484A73">
        <w:rPr>
          <w:rFonts w:eastAsia="Calibri" w:cs="Arial"/>
          <w:b/>
          <w:bCs/>
          <w:i/>
          <w:iCs/>
          <w:position w:val="0"/>
          <w:sz w:val="24"/>
          <w:szCs w:val="24"/>
        </w:rPr>
        <w:t xml:space="preserve"> officinalis </w:t>
      </w:r>
      <w:r w:rsidRPr="00484A73">
        <w:rPr>
          <w:rFonts w:eastAsia="Calibri" w:cs="Arial"/>
          <w:b/>
          <w:bCs/>
          <w:position w:val="0"/>
          <w:sz w:val="24"/>
          <w:szCs w:val="24"/>
        </w:rPr>
        <w:t xml:space="preserve">adopt contrasting growth strategies during propagule stranding and establishment </w:t>
      </w:r>
    </w:p>
    <w:p w14:paraId="00000002" w14:textId="77777777" w:rsidR="001C7092" w:rsidRDefault="001C7092">
      <w:pPr>
        <w:ind w:left="0" w:hanging="2"/>
        <w:rPr>
          <w:sz w:val="24"/>
          <w:szCs w:val="24"/>
        </w:rPr>
      </w:pPr>
    </w:p>
    <w:p w14:paraId="4BCCD110" w14:textId="2F25BD51" w:rsidR="00484A73" w:rsidRPr="00484A73" w:rsidRDefault="00484A73" w:rsidP="00484A73">
      <w:pPr>
        <w:autoSpaceDE w:val="0"/>
        <w:autoSpaceDN w:val="0"/>
        <w:adjustRightInd w:val="0"/>
        <w:spacing w:line="360" w:lineRule="auto"/>
        <w:ind w:left="0" w:hanging="2"/>
        <w:jc w:val="both"/>
        <w:rPr>
          <w:rFonts w:cs="Arial"/>
          <w:b/>
          <w:bCs/>
        </w:rPr>
      </w:pPr>
      <w:proofErr w:type="spellStart"/>
      <w:r w:rsidRPr="00484A73">
        <w:rPr>
          <w:rFonts w:cs="Arial"/>
        </w:rPr>
        <w:t>Balasundari</w:t>
      </w:r>
      <w:proofErr w:type="spellEnd"/>
      <w:r w:rsidRPr="00484A73">
        <w:rPr>
          <w:rFonts w:cs="Arial"/>
        </w:rPr>
        <w:t xml:space="preserve"> Dharbaranyam</w:t>
      </w:r>
      <w:r w:rsidRPr="00484A73">
        <w:rPr>
          <w:rFonts w:cs="Arial"/>
          <w:vertAlign w:val="superscript"/>
        </w:rPr>
        <w:t>1</w:t>
      </w:r>
      <w:r w:rsidRPr="00484A73">
        <w:rPr>
          <w:rFonts w:cs="Arial"/>
        </w:rPr>
        <w:t xml:space="preserve">, </w:t>
      </w:r>
      <w:r w:rsidRPr="00484A73">
        <w:rPr>
          <w:rFonts w:cs="Arial"/>
          <w:lang w:val="en-IN"/>
        </w:rPr>
        <w:t xml:space="preserve">C. </w:t>
      </w:r>
      <w:proofErr w:type="spellStart"/>
      <w:r w:rsidRPr="00484A73">
        <w:rPr>
          <w:rFonts w:cs="Arial"/>
          <w:lang w:val="en-IN"/>
        </w:rPr>
        <w:t>Gokula</w:t>
      </w:r>
      <w:proofErr w:type="spellEnd"/>
      <w:r w:rsidRPr="00484A73">
        <w:rPr>
          <w:rFonts w:cs="Arial"/>
          <w:lang w:val="en-IN"/>
        </w:rPr>
        <w:t xml:space="preserve"> Krishnan</w:t>
      </w:r>
      <w:r w:rsidRPr="00484A73">
        <w:rPr>
          <w:rFonts w:cs="Arial"/>
          <w:vertAlign w:val="superscript"/>
          <w:lang w:val="en-IN"/>
        </w:rPr>
        <w:t>2</w:t>
      </w:r>
      <w:r w:rsidRPr="00484A73">
        <w:rPr>
          <w:rFonts w:cs="Arial"/>
          <w:lang w:val="en-IN"/>
        </w:rPr>
        <w:t>, R. Dhivya</w:t>
      </w:r>
      <w:r w:rsidRPr="00484A73">
        <w:rPr>
          <w:rFonts w:cs="Arial"/>
          <w:vertAlign w:val="superscript"/>
          <w:lang w:val="en-IN"/>
        </w:rPr>
        <w:t>2</w:t>
      </w:r>
      <w:r w:rsidRPr="00484A73">
        <w:rPr>
          <w:rFonts w:cs="Arial"/>
          <w:lang w:val="en-IN"/>
        </w:rPr>
        <w:t xml:space="preserve"> and Gayatri Venkataraman</w:t>
      </w:r>
      <w:r w:rsidRPr="00484A73">
        <w:rPr>
          <w:rFonts w:cs="Arial"/>
          <w:vertAlign w:val="superscript"/>
          <w:lang w:val="en-IN"/>
        </w:rPr>
        <w:t>1</w:t>
      </w:r>
      <w:r w:rsidRPr="00484A73">
        <w:rPr>
          <w:rFonts w:cs="Arial"/>
          <w:lang w:val="en-IN"/>
        </w:rPr>
        <w:t>*</w:t>
      </w:r>
    </w:p>
    <w:p w14:paraId="00000004" w14:textId="77777777" w:rsidR="001C7092" w:rsidRDefault="001C7092">
      <w:pPr>
        <w:ind w:left="0" w:hanging="2"/>
      </w:pPr>
    </w:p>
    <w:p w14:paraId="59C51F08" w14:textId="5147FD3D" w:rsidR="00484A73" w:rsidRPr="00484A73" w:rsidRDefault="00484A73" w:rsidP="00484A73">
      <w:pPr>
        <w:autoSpaceDE w:val="0"/>
        <w:autoSpaceDN w:val="0"/>
        <w:adjustRightInd w:val="0"/>
        <w:spacing w:line="360" w:lineRule="auto"/>
        <w:ind w:left="0" w:hanging="2"/>
        <w:jc w:val="both"/>
        <w:rPr>
          <w:rFonts w:cs="Arial"/>
          <w:lang w:val="en-IN"/>
        </w:rPr>
      </w:pPr>
      <w:r w:rsidRPr="00484A73">
        <w:rPr>
          <w:rFonts w:cs="Arial"/>
          <w:vertAlign w:val="superscript"/>
          <w:lang w:val="en-IN"/>
        </w:rPr>
        <w:t>1</w:t>
      </w:r>
      <w:r w:rsidRPr="00484A73">
        <w:rPr>
          <w:rFonts w:cs="Arial"/>
          <w:lang w:val="en-IN"/>
        </w:rPr>
        <w:t xml:space="preserve">Plant Molecular Biology Laboratory, M. S. Swaminathan Research Foundation, Third Cross Street, </w:t>
      </w:r>
      <w:proofErr w:type="spellStart"/>
      <w:r w:rsidRPr="00484A73">
        <w:rPr>
          <w:rFonts w:cs="Arial"/>
          <w:lang w:val="en-IN"/>
        </w:rPr>
        <w:t>Taramani</w:t>
      </w:r>
      <w:proofErr w:type="spellEnd"/>
      <w:r w:rsidRPr="00484A73">
        <w:rPr>
          <w:rFonts w:cs="Arial"/>
          <w:lang w:val="en-IN"/>
        </w:rPr>
        <w:t xml:space="preserve"> Institutional Area, Chennai-600113</w:t>
      </w:r>
    </w:p>
    <w:p w14:paraId="7A44646C" w14:textId="51CAE8CC" w:rsidR="00484A73" w:rsidRPr="00484A73" w:rsidRDefault="00484A73" w:rsidP="00484A73">
      <w:pPr>
        <w:autoSpaceDE w:val="0"/>
        <w:autoSpaceDN w:val="0"/>
        <w:adjustRightInd w:val="0"/>
        <w:spacing w:line="360" w:lineRule="auto"/>
        <w:ind w:left="0" w:hanging="2"/>
        <w:jc w:val="both"/>
        <w:rPr>
          <w:rFonts w:cs="Arial"/>
          <w:lang w:val="en-IN"/>
        </w:rPr>
      </w:pPr>
      <w:r w:rsidRPr="00484A73">
        <w:rPr>
          <w:rFonts w:cs="Arial"/>
          <w:vertAlign w:val="superscript"/>
          <w:lang w:val="en-IN"/>
        </w:rPr>
        <w:t>2</w:t>
      </w:r>
      <w:r w:rsidRPr="00484A73">
        <w:rPr>
          <w:rFonts w:cs="Arial"/>
          <w:lang w:val="en-IN"/>
        </w:rPr>
        <w:t>Tamil Nadu Agricultural University, Lawley Road, Coimbatore- 641003</w:t>
      </w:r>
    </w:p>
    <w:p w14:paraId="2CCD805E" w14:textId="77777777" w:rsidR="00484A73" w:rsidRPr="00484A73" w:rsidRDefault="00484A73" w:rsidP="00484A73">
      <w:pPr>
        <w:autoSpaceDE w:val="0"/>
        <w:autoSpaceDN w:val="0"/>
        <w:adjustRightInd w:val="0"/>
        <w:spacing w:line="360" w:lineRule="auto"/>
        <w:ind w:left="0" w:hanging="2"/>
        <w:jc w:val="both"/>
        <w:rPr>
          <w:rFonts w:cs="Arial"/>
          <w:lang w:val="en-IN"/>
        </w:rPr>
      </w:pPr>
      <w:r w:rsidRPr="00484A73">
        <w:rPr>
          <w:rFonts w:cs="Arial"/>
          <w:lang w:val="en-IN"/>
        </w:rPr>
        <w:t>*Corresponding author</w:t>
      </w:r>
    </w:p>
    <w:p w14:paraId="00000007" w14:textId="77777777" w:rsidR="001C7092" w:rsidRDefault="001C7092">
      <w:pPr>
        <w:ind w:left="0" w:hanging="2"/>
      </w:pPr>
    </w:p>
    <w:p w14:paraId="00000009" w14:textId="51B47FA6" w:rsidR="001C7092" w:rsidRDefault="00000000">
      <w:pPr>
        <w:ind w:left="0" w:hanging="2"/>
      </w:pPr>
      <w:r>
        <w:t xml:space="preserve">*Email: </w:t>
      </w:r>
      <w:hyperlink r:id="rId5" w:history="1">
        <w:r w:rsidR="00484A73" w:rsidRPr="00484A73">
          <w:t>gayatri@mssrf.res.in</w:t>
        </w:r>
      </w:hyperlink>
    </w:p>
    <w:p w14:paraId="1DA89BA3" w14:textId="77777777" w:rsidR="00484A73" w:rsidRDefault="00484A73">
      <w:pPr>
        <w:ind w:left="0" w:hanging="2"/>
        <w:rPr>
          <w:b/>
        </w:rPr>
      </w:pPr>
    </w:p>
    <w:p w14:paraId="0000000A" w14:textId="22010EFC" w:rsidR="001C7092" w:rsidRDefault="00000000">
      <w:pPr>
        <w:ind w:left="0" w:hanging="2"/>
      </w:pPr>
      <w:r>
        <w:rPr>
          <w:b/>
        </w:rPr>
        <w:t>Abstract</w:t>
      </w:r>
    </w:p>
    <w:p w14:paraId="0000000B" w14:textId="1FEFE251" w:rsidR="001C7092" w:rsidRDefault="001C7092">
      <w:pPr>
        <w:ind w:left="0" w:hanging="2"/>
      </w:pPr>
    </w:p>
    <w:p w14:paraId="7625D6F7" w14:textId="77777777" w:rsidR="00484A73" w:rsidRPr="00484A73" w:rsidRDefault="00484A73" w:rsidP="00484A73">
      <w:pPr>
        <w:spacing w:line="360" w:lineRule="auto"/>
        <w:ind w:left="0" w:hanging="2"/>
        <w:jc w:val="both"/>
      </w:pPr>
      <w:r w:rsidRPr="00484A73">
        <w:t xml:space="preserve">Seeds of crypto-viviparous  </w:t>
      </w:r>
      <w:proofErr w:type="spellStart"/>
      <w:r w:rsidRPr="00484A73">
        <w:rPr>
          <w:i/>
          <w:iCs/>
        </w:rPr>
        <w:t>Avicennia</w:t>
      </w:r>
      <w:proofErr w:type="spellEnd"/>
      <w:r w:rsidRPr="00484A73">
        <w:rPr>
          <w:i/>
          <w:iCs/>
        </w:rPr>
        <w:t xml:space="preserve"> </w:t>
      </w:r>
      <w:r w:rsidRPr="00484A73">
        <w:t xml:space="preserve">show embryonic development and hypocotyl elongation on the parent tree. After detachment, the pericarp sloughs off and development proceeds further. The primary radicle in </w:t>
      </w:r>
      <w:proofErr w:type="spellStart"/>
      <w:r w:rsidRPr="00484A73">
        <w:rPr>
          <w:i/>
          <w:iCs/>
        </w:rPr>
        <w:t>Avicennia</w:t>
      </w:r>
      <w:proofErr w:type="spellEnd"/>
      <w:r w:rsidRPr="00484A73">
        <w:t xml:space="preserve"> shows premature developmental arrest. Adventitious roots emerging from the hypocotyl are therefore crucial for seedling establishment against hydrodynamic forces. </w:t>
      </w:r>
      <w:proofErr w:type="spellStart"/>
      <w:r w:rsidRPr="00484A73">
        <w:rPr>
          <w:i/>
          <w:iCs/>
        </w:rPr>
        <w:t>Avicennia</w:t>
      </w:r>
      <w:proofErr w:type="spellEnd"/>
      <w:r w:rsidRPr="00484A73">
        <w:t xml:space="preserve"> seeds undergo an ‘obligatory dispersal’ phase, requiring an inundation-free period for rapid adventitious root development to facilitate seedling establishment against hydrodynamic forces (waves, currents). We first examined adventitious root allometric traits (diameter, number length, root angle) in four month old </w:t>
      </w:r>
      <w:r w:rsidRPr="00484A73">
        <w:rPr>
          <w:i/>
          <w:iCs/>
        </w:rPr>
        <w:t>A. marina</w:t>
      </w:r>
      <w:r w:rsidRPr="00484A73">
        <w:t xml:space="preserve"> seedlings (grown in sand). Based on root diameter measurements, roots R1-R3 (R1&gt;R2≈R3) were identified and root angles (with respect to each other) recorded. R1 is oriented in line with the growing plant axis. Further, roots R1-R3 form a triad (approximate angle = 120</w:t>
      </w:r>
      <w:r w:rsidRPr="00484A73">
        <w:rPr>
          <w:vertAlign w:val="superscript"/>
        </w:rPr>
        <w:t>0</w:t>
      </w:r>
      <w:r w:rsidRPr="00484A73">
        <w:t xml:space="preserve">), giving rise to an overall tripod architecture.  The pre-determined angular positioning of roots R1-R3 may be a mechanism to distribute the relatively heavy seedling weight (compared to other non-mangrove species) in a manner that can resist uprooting due to hydrodynamic wave action. Anatomical measurements of root tissues (R1-R3) of </w:t>
      </w:r>
      <w:r w:rsidRPr="00484A73">
        <w:rPr>
          <w:i/>
          <w:iCs/>
        </w:rPr>
        <w:t xml:space="preserve">A. marina </w:t>
      </w:r>
      <w:r w:rsidRPr="00484A73">
        <w:t xml:space="preserve">reveal  heterogeneous investments in root growth.  Thus, the largest diameter root R1, maybe crucial to seedling establishment, ensuring a rapid access of nutrients and water. Subsequent lower growth investments in roots R2 and R3 (smaller diameter and vascular bundle area) may represent a growth trade-off strategy in </w:t>
      </w:r>
      <w:r w:rsidRPr="00484A73">
        <w:rPr>
          <w:i/>
          <w:iCs/>
        </w:rPr>
        <w:t>A. marina</w:t>
      </w:r>
      <w:r w:rsidRPr="00484A73">
        <w:t xml:space="preserve"> reducing photosynthate allocation to the root but still achieving  stranding and nutrient-absorption.  </w:t>
      </w:r>
    </w:p>
    <w:p w14:paraId="24B4C156" w14:textId="60256E50" w:rsidR="00484A73" w:rsidRDefault="00484A73" w:rsidP="00484A73">
      <w:pPr>
        <w:spacing w:line="360" w:lineRule="auto"/>
        <w:ind w:left="0" w:hanging="2"/>
        <w:jc w:val="both"/>
      </w:pPr>
      <w:r w:rsidRPr="00484A73">
        <w:t xml:space="preserve">We also recorded seedling allometric traits (root/seedling lengths, root/leaf numbers, root diameter, angles and orientation of roots R1-R3 over a five-week period for two </w:t>
      </w:r>
      <w:r w:rsidRPr="00484A73">
        <w:rPr>
          <w:i/>
          <w:iCs/>
        </w:rPr>
        <w:t xml:space="preserve">Avicenna </w:t>
      </w:r>
      <w:r w:rsidRPr="00484A73">
        <w:t>species</w:t>
      </w:r>
      <w:r w:rsidRPr="00484A73">
        <w:rPr>
          <w:i/>
          <w:iCs/>
        </w:rPr>
        <w:t xml:space="preserve"> viz. A. marina</w:t>
      </w:r>
      <w:r w:rsidRPr="00484A73">
        <w:t xml:space="preserve"> and </w:t>
      </w:r>
      <w:r w:rsidRPr="00484A73">
        <w:rPr>
          <w:i/>
          <w:iCs/>
        </w:rPr>
        <w:t>A. officinalis</w:t>
      </w:r>
      <w:r w:rsidRPr="00484A73">
        <w:t xml:space="preserve">. The orientation of roots R1-R3 with respect to each other is conserved in both species, suggesting relative positioning may be crucial to stable </w:t>
      </w:r>
      <w:r w:rsidRPr="00484A73">
        <w:lastRenderedPageBreak/>
        <w:t xml:space="preserve">anchorage.  R1 length is significantly higher in </w:t>
      </w:r>
      <w:r w:rsidRPr="00484A73">
        <w:rPr>
          <w:i/>
          <w:iCs/>
        </w:rPr>
        <w:t>A. marina</w:t>
      </w:r>
      <w:r w:rsidRPr="00484A73">
        <w:t xml:space="preserve">; however R1 diameter is two-fold more in </w:t>
      </w:r>
      <w:r w:rsidRPr="00484A73">
        <w:rPr>
          <w:i/>
          <w:iCs/>
        </w:rPr>
        <w:t>A. officinalis</w:t>
      </w:r>
      <w:r w:rsidRPr="00484A73">
        <w:t xml:space="preserve">, while roots  R2 and R3 show comparable lengths and diameters in both species.  Seedling/R2 or R3 length ratios range between 4-5 in </w:t>
      </w:r>
      <w:r w:rsidRPr="00484A73">
        <w:rPr>
          <w:i/>
          <w:iCs/>
        </w:rPr>
        <w:t>A. officinalis</w:t>
      </w:r>
      <w:r w:rsidRPr="00484A73">
        <w:t xml:space="preserve"> but are halved in </w:t>
      </w:r>
      <w:r w:rsidRPr="00484A73">
        <w:rPr>
          <w:i/>
          <w:iCs/>
        </w:rPr>
        <w:t>A. marina</w:t>
      </w:r>
      <w:r w:rsidRPr="00484A73">
        <w:t xml:space="preserve">. Further, the number  of emergent roots and  number of leaves  in </w:t>
      </w:r>
      <w:r w:rsidRPr="00484A73">
        <w:rPr>
          <w:i/>
          <w:iCs/>
        </w:rPr>
        <w:t>A. officinalis</w:t>
      </w:r>
      <w:r w:rsidRPr="00484A73">
        <w:t xml:space="preserve"> are  three and two times higher respectively relative to </w:t>
      </w:r>
      <w:r w:rsidRPr="00484A73">
        <w:rPr>
          <w:i/>
          <w:iCs/>
        </w:rPr>
        <w:t>A. marina</w:t>
      </w:r>
      <w:r w:rsidRPr="00484A73">
        <w:t xml:space="preserve"> and may, in part, reflect the higher maternal seed reserves found in the significantly larger seeds of </w:t>
      </w:r>
      <w:r w:rsidRPr="00484A73">
        <w:rPr>
          <w:i/>
          <w:iCs/>
        </w:rPr>
        <w:t>A. officinalis</w:t>
      </w:r>
      <w:r w:rsidRPr="00484A73">
        <w:t xml:space="preserve">.  This may also account for root R1 traits in </w:t>
      </w:r>
      <w:r w:rsidRPr="00484A73">
        <w:rPr>
          <w:i/>
          <w:iCs/>
        </w:rPr>
        <w:t>A. officinalis</w:t>
      </w:r>
      <w:r w:rsidRPr="00484A73">
        <w:t xml:space="preserve"> (thicker but shorter root), to support a heavier seed mass.  Root growth angle (with respect to the soil) is conserved in both species (R1 ~ 50-60</w:t>
      </w:r>
      <w:r w:rsidRPr="00484A73">
        <w:rPr>
          <w:vertAlign w:val="superscript"/>
        </w:rPr>
        <w:t>0</w:t>
      </w:r>
      <w:r w:rsidRPr="00484A73">
        <w:t>; R2-R5~90-120</w:t>
      </w:r>
      <w:r w:rsidRPr="00484A73">
        <w:rPr>
          <w:vertAlign w:val="superscript"/>
        </w:rPr>
        <w:t>0</w:t>
      </w:r>
      <w:r w:rsidRPr="00484A73">
        <w:t xml:space="preserve">), suggesting that both species may have similar nutrient and/or water  foraging capacities when growing in soil. However, a significantly longer R1 length in </w:t>
      </w:r>
      <w:r w:rsidRPr="00484A73">
        <w:rPr>
          <w:i/>
          <w:iCs/>
        </w:rPr>
        <w:t>A. marina</w:t>
      </w:r>
      <w:r w:rsidRPr="00484A73">
        <w:t xml:space="preserve"> may allow access to nutrients and/or water foraging at higher depths. Finally, the data suggests that differential investments in (</w:t>
      </w:r>
      <w:proofErr w:type="spellStart"/>
      <w:r w:rsidRPr="00484A73">
        <w:t>i</w:t>
      </w:r>
      <w:proofErr w:type="spellEnd"/>
      <w:r w:rsidRPr="00484A73">
        <w:t xml:space="preserve">) root biomass (R1) and (ii) shoot/root length ratios in the two species may relate to differential </w:t>
      </w:r>
      <w:proofErr w:type="spellStart"/>
      <w:r w:rsidRPr="00484A73">
        <w:t>ecophysiological</w:t>
      </w:r>
      <w:proofErr w:type="spellEnd"/>
      <w:r w:rsidRPr="00484A73">
        <w:t xml:space="preserve"> constraints imposed on the species in mangrove-growing regions. </w:t>
      </w:r>
    </w:p>
    <w:p w14:paraId="1705DDD7" w14:textId="571C2E5C" w:rsidR="000872C2" w:rsidRDefault="000872C2" w:rsidP="00484A73">
      <w:pPr>
        <w:spacing w:line="360" w:lineRule="auto"/>
        <w:ind w:left="0" w:hanging="2"/>
        <w:jc w:val="both"/>
      </w:pPr>
    </w:p>
    <w:p w14:paraId="6F2B7488" w14:textId="712281EF" w:rsidR="000872C2" w:rsidRDefault="000872C2" w:rsidP="00484A73">
      <w:pPr>
        <w:spacing w:line="360" w:lineRule="auto"/>
        <w:ind w:left="0" w:hanging="2"/>
        <w:jc w:val="both"/>
      </w:pPr>
    </w:p>
    <w:p w14:paraId="53DFA9D4" w14:textId="70A2D3E4" w:rsidR="000872C2" w:rsidRDefault="000872C2" w:rsidP="00484A73">
      <w:pPr>
        <w:spacing w:line="360" w:lineRule="auto"/>
        <w:ind w:left="0" w:hanging="2"/>
        <w:jc w:val="both"/>
      </w:pPr>
    </w:p>
    <w:p w14:paraId="157366F4" w14:textId="77777777" w:rsidR="000872C2" w:rsidRPr="00484A73" w:rsidRDefault="000872C2" w:rsidP="00484A73">
      <w:pPr>
        <w:spacing w:line="360" w:lineRule="auto"/>
        <w:ind w:left="0" w:hanging="2"/>
        <w:jc w:val="both"/>
      </w:pPr>
    </w:p>
    <w:p w14:paraId="4569C09B" w14:textId="77777777" w:rsidR="00484A73" w:rsidRPr="00484A73" w:rsidRDefault="00484A73" w:rsidP="00484A73">
      <w:pPr>
        <w:spacing w:line="360" w:lineRule="auto"/>
        <w:ind w:left="0" w:hanging="2"/>
        <w:jc w:val="both"/>
      </w:pPr>
    </w:p>
    <w:p w14:paraId="50CA0BF3" w14:textId="77777777" w:rsidR="00484A73" w:rsidRDefault="00484A73">
      <w:pPr>
        <w:ind w:left="0" w:hanging="2"/>
      </w:pPr>
    </w:p>
    <w:sectPr w:rsidR="00484A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092"/>
    <w:rsid w:val="000872C2"/>
    <w:rsid w:val="0011444B"/>
    <w:rsid w:val="001C7092"/>
    <w:rsid w:val="002F2ADF"/>
    <w:rsid w:val="00484A73"/>
    <w:rsid w:val="009D571B"/>
    <w:rsid w:val="00CF1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2F6D"/>
  <w15:docId w15:val="{97914632-1700-4C77-BC37-DF694E9E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FollowedHyperlink">
    <w:name w:val="FollowedHyperlink"/>
    <w:basedOn w:val="DefaultParagraphFont"/>
    <w:uiPriority w:val="99"/>
    <w:semiHidden/>
    <w:unhideWhenUsed/>
    <w:rsid w:val="009D57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gayatri@mssrf.re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Gayatri Venkataraman-MSSRF</cp:lastModifiedBy>
  <cp:revision>5</cp:revision>
  <dcterms:created xsi:type="dcterms:W3CDTF">2023-01-30T11:08:00Z</dcterms:created>
  <dcterms:modified xsi:type="dcterms:W3CDTF">2023-01-30T14:41:00Z</dcterms:modified>
</cp:coreProperties>
</file>