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3A9" w:rsidRPr="00E41F0E" w:rsidRDefault="00751ACA" w:rsidP="00072A3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41F0E">
        <w:rPr>
          <w:rFonts w:ascii="Arial" w:hAnsi="Arial" w:cs="Arial"/>
          <w:b/>
          <w:bCs/>
          <w:sz w:val="24"/>
          <w:szCs w:val="24"/>
        </w:rPr>
        <w:t xml:space="preserve">Swing of phytohormone concentration equilibrium towards </w:t>
      </w:r>
      <w:proofErr w:type="spellStart"/>
      <w:r w:rsidRPr="00E41F0E">
        <w:rPr>
          <w:rFonts w:ascii="Arial" w:hAnsi="Arial" w:cs="Arial"/>
          <w:b/>
          <w:bCs/>
          <w:sz w:val="24"/>
          <w:szCs w:val="24"/>
        </w:rPr>
        <w:t>jasmonic</w:t>
      </w:r>
      <w:proofErr w:type="spellEnd"/>
      <w:r w:rsidRPr="00E41F0E">
        <w:rPr>
          <w:rFonts w:ascii="Arial" w:hAnsi="Arial" w:cs="Arial"/>
          <w:b/>
          <w:bCs/>
          <w:sz w:val="24"/>
          <w:szCs w:val="24"/>
        </w:rPr>
        <w:t xml:space="preserve"> acid</w:t>
      </w:r>
      <w:r w:rsidR="0015266C" w:rsidRPr="00E41F0E">
        <w:rPr>
          <w:rFonts w:ascii="Arial" w:hAnsi="Arial" w:cs="Arial"/>
          <w:b/>
          <w:bCs/>
          <w:sz w:val="24"/>
          <w:szCs w:val="24"/>
        </w:rPr>
        <w:t xml:space="preserve"> </w:t>
      </w:r>
      <w:r w:rsidR="00E41F0E" w:rsidRPr="00E41F0E">
        <w:rPr>
          <w:rFonts w:ascii="Arial" w:hAnsi="Arial" w:cs="Arial"/>
          <w:b/>
          <w:bCs/>
          <w:sz w:val="24"/>
          <w:szCs w:val="24"/>
        </w:rPr>
        <w:t>produce</w:t>
      </w:r>
      <w:r w:rsidRPr="00E41F0E">
        <w:rPr>
          <w:rFonts w:ascii="Arial" w:hAnsi="Arial" w:cs="Arial"/>
          <w:b/>
          <w:bCs/>
          <w:sz w:val="24"/>
          <w:szCs w:val="24"/>
        </w:rPr>
        <w:t xml:space="preserve"> susceptibility in </w:t>
      </w:r>
      <w:r w:rsidRPr="00E41F0E">
        <w:rPr>
          <w:rFonts w:ascii="Arial" w:hAnsi="Arial" w:cs="Arial"/>
          <w:b/>
          <w:bCs/>
          <w:i/>
          <w:iCs/>
          <w:sz w:val="24"/>
          <w:szCs w:val="24"/>
        </w:rPr>
        <w:t>Zingiber</w:t>
      </w:r>
      <w:r w:rsidR="00E41F0E" w:rsidRPr="00E41F0E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E41F0E" w:rsidRPr="00E41F0E">
        <w:rPr>
          <w:rFonts w:ascii="Arial" w:hAnsi="Arial" w:cs="Arial"/>
          <w:b/>
          <w:bCs/>
          <w:iCs/>
          <w:sz w:val="24"/>
          <w:szCs w:val="24"/>
        </w:rPr>
        <w:t xml:space="preserve">spp. to the necrotrophic oomycete </w:t>
      </w:r>
      <w:r w:rsidR="00E41F0E" w:rsidRPr="00E41F0E">
        <w:rPr>
          <w:rFonts w:ascii="Arial" w:hAnsi="Arial" w:cs="Arial"/>
          <w:b/>
          <w:i/>
          <w:iCs/>
          <w:sz w:val="24"/>
          <w:szCs w:val="24"/>
        </w:rPr>
        <w:t xml:space="preserve">Pythium myriotylum </w:t>
      </w:r>
      <w:proofErr w:type="spellStart"/>
      <w:r w:rsidR="00E41F0E" w:rsidRPr="00E41F0E">
        <w:rPr>
          <w:rFonts w:ascii="Arial" w:hAnsi="Arial" w:cs="Arial"/>
          <w:b/>
          <w:iCs/>
          <w:sz w:val="24"/>
          <w:szCs w:val="24"/>
        </w:rPr>
        <w:t>Drechsler</w:t>
      </w:r>
      <w:proofErr w:type="spellEnd"/>
    </w:p>
    <w:p w:rsidR="00072A3A" w:rsidRPr="00751ACA" w:rsidRDefault="00072A3A" w:rsidP="00072A3A">
      <w:pPr>
        <w:jc w:val="both"/>
        <w:rPr>
          <w:rFonts w:ascii="Arial" w:hAnsi="Arial" w:cs="Arial"/>
        </w:rPr>
      </w:pPr>
      <w:proofErr w:type="spellStart"/>
      <w:r w:rsidRPr="00751ACA">
        <w:rPr>
          <w:rFonts w:ascii="Arial" w:hAnsi="Arial" w:cs="Arial"/>
        </w:rPr>
        <w:t>Lini</w:t>
      </w:r>
      <w:proofErr w:type="spellEnd"/>
      <w:r w:rsidRPr="00751ACA">
        <w:rPr>
          <w:rFonts w:ascii="Arial" w:hAnsi="Arial" w:cs="Arial"/>
        </w:rPr>
        <w:t xml:space="preserve"> Varghese</w:t>
      </w:r>
      <w:r w:rsidR="00DD100E" w:rsidRPr="00DD100E">
        <w:rPr>
          <w:rFonts w:ascii="Arial" w:hAnsi="Arial" w:cs="Arial"/>
          <w:vertAlign w:val="superscript"/>
        </w:rPr>
        <w:t>1</w:t>
      </w:r>
      <w:r w:rsidR="00E41F0E">
        <w:rPr>
          <w:rFonts w:ascii="Arial" w:hAnsi="Arial" w:cs="Arial"/>
        </w:rPr>
        <w:t>*</w:t>
      </w:r>
      <w:r w:rsidRPr="00751ACA">
        <w:rPr>
          <w:rFonts w:ascii="Arial" w:hAnsi="Arial" w:cs="Arial"/>
        </w:rPr>
        <w:t>, George Thomas</w:t>
      </w:r>
      <w:r w:rsidR="00DD100E" w:rsidRPr="00DD100E">
        <w:rPr>
          <w:rFonts w:ascii="Arial" w:hAnsi="Arial" w:cs="Arial"/>
          <w:vertAlign w:val="superscript"/>
        </w:rPr>
        <w:t>1</w:t>
      </w:r>
    </w:p>
    <w:p w:rsidR="00751ACA" w:rsidRPr="00751ACA" w:rsidRDefault="00DD100E" w:rsidP="00751ACA">
      <w:pPr>
        <w:spacing w:after="0"/>
        <w:jc w:val="both"/>
        <w:rPr>
          <w:rFonts w:ascii="Arial" w:hAnsi="Arial" w:cs="Arial"/>
        </w:rPr>
      </w:pPr>
      <w:r w:rsidRPr="00DD100E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  <w:vertAlign w:val="superscript"/>
        </w:rPr>
        <w:t xml:space="preserve">. </w:t>
      </w:r>
      <w:r w:rsidR="00CB2189" w:rsidRPr="00751ACA">
        <w:rPr>
          <w:rFonts w:ascii="Arial" w:hAnsi="Arial" w:cs="Arial"/>
        </w:rPr>
        <w:t xml:space="preserve">Plant Biotechnology and Disease Biology, Rajiv Gandhi Centre for Biotechnology, Thycaud P.O., Thiruvananthapuram, 695014, Kerala, India </w:t>
      </w:r>
    </w:p>
    <w:p w:rsidR="00751ACA" w:rsidRPr="00751ACA" w:rsidRDefault="00751ACA" w:rsidP="00751ACA">
      <w:pPr>
        <w:spacing w:after="0"/>
        <w:jc w:val="both"/>
        <w:rPr>
          <w:rFonts w:ascii="Arial" w:hAnsi="Arial" w:cs="Arial"/>
        </w:rPr>
      </w:pPr>
    </w:p>
    <w:p w:rsidR="002056F2" w:rsidRPr="00751ACA" w:rsidRDefault="00751ACA" w:rsidP="002056F2">
      <w:pPr>
        <w:spacing w:after="0"/>
        <w:jc w:val="both"/>
        <w:rPr>
          <w:rFonts w:ascii="Arial" w:hAnsi="Arial" w:cs="Arial"/>
        </w:rPr>
      </w:pPr>
      <w:r w:rsidRPr="00751ACA">
        <w:rPr>
          <w:rFonts w:ascii="Arial" w:hAnsi="Arial" w:cs="Arial"/>
        </w:rPr>
        <w:t>*E</w:t>
      </w:r>
      <w:r w:rsidR="00CB2189" w:rsidRPr="00751ACA">
        <w:rPr>
          <w:rFonts w:ascii="Arial" w:hAnsi="Arial" w:cs="Arial"/>
        </w:rPr>
        <w:t>mail:</w:t>
      </w:r>
      <w:r w:rsidR="00CE5A8A">
        <w:rPr>
          <w:rFonts w:ascii="Arial" w:hAnsi="Arial" w:cs="Arial"/>
        </w:rPr>
        <w:t xml:space="preserve"> lini</w:t>
      </w:r>
      <w:r w:rsidR="00CB2189" w:rsidRPr="00751ACA">
        <w:rPr>
          <w:rFonts w:ascii="Arial" w:hAnsi="Arial" w:cs="Arial"/>
        </w:rPr>
        <w:t>@rgcb.res.in</w:t>
      </w:r>
    </w:p>
    <w:p w:rsidR="002056F2" w:rsidRPr="00751ACA" w:rsidRDefault="002056F2" w:rsidP="00072A3A">
      <w:pPr>
        <w:jc w:val="both"/>
        <w:rPr>
          <w:rFonts w:ascii="Arial" w:hAnsi="Arial" w:cs="Arial"/>
        </w:rPr>
      </w:pPr>
    </w:p>
    <w:p w:rsidR="00751ACA" w:rsidRPr="00E07258" w:rsidRDefault="00072A3A" w:rsidP="00CB218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07258">
        <w:rPr>
          <w:rFonts w:ascii="Arial" w:hAnsi="Arial" w:cs="Arial"/>
          <w:b/>
          <w:bCs/>
          <w:sz w:val="24"/>
          <w:szCs w:val="24"/>
        </w:rPr>
        <w:t>Abstract</w:t>
      </w:r>
    </w:p>
    <w:p w:rsidR="000C56B6" w:rsidRDefault="002B69F0" w:rsidP="00CB2189">
      <w:pPr>
        <w:spacing w:line="360" w:lineRule="auto"/>
        <w:jc w:val="both"/>
        <w:rPr>
          <w:rFonts w:ascii="Arial" w:hAnsi="Arial" w:cs="Arial"/>
        </w:rPr>
      </w:pPr>
      <w:r w:rsidRPr="00751ACA">
        <w:rPr>
          <w:rFonts w:ascii="Arial" w:hAnsi="Arial" w:cs="Arial"/>
        </w:rPr>
        <w:t>The world-renowned spice crop ginger (</w:t>
      </w:r>
      <w:r w:rsidRPr="00751ACA">
        <w:rPr>
          <w:rFonts w:ascii="Arial" w:hAnsi="Arial" w:cs="Arial"/>
          <w:i/>
          <w:iCs/>
        </w:rPr>
        <w:t>Zingiber officinale</w:t>
      </w:r>
      <w:r w:rsidRPr="00751ACA">
        <w:rPr>
          <w:rFonts w:ascii="Arial" w:hAnsi="Arial" w:cs="Arial"/>
        </w:rPr>
        <w:t xml:space="preserve"> Roscoe) is </w:t>
      </w:r>
      <w:r w:rsidR="0015266C">
        <w:rPr>
          <w:rFonts w:ascii="Arial" w:hAnsi="Arial" w:cs="Arial"/>
        </w:rPr>
        <w:t>uniformly susceptible to</w:t>
      </w:r>
      <w:r w:rsidRPr="00751ACA">
        <w:rPr>
          <w:rFonts w:ascii="Arial" w:hAnsi="Arial" w:cs="Arial"/>
        </w:rPr>
        <w:t xml:space="preserve"> s</w:t>
      </w:r>
      <w:r w:rsidR="00072A3A" w:rsidRPr="00751ACA">
        <w:rPr>
          <w:rFonts w:ascii="Arial" w:hAnsi="Arial" w:cs="Arial"/>
        </w:rPr>
        <w:t xml:space="preserve">oft rot disease caused by the soil-borne, necrotrophic oomycete </w:t>
      </w:r>
      <w:r w:rsidR="00C213A9" w:rsidRPr="00751ACA">
        <w:rPr>
          <w:rFonts w:ascii="Arial" w:hAnsi="Arial" w:cs="Arial"/>
        </w:rPr>
        <w:t>pathogen</w:t>
      </w:r>
      <w:r w:rsidR="00E41F0E">
        <w:rPr>
          <w:rFonts w:ascii="Arial" w:hAnsi="Arial" w:cs="Arial"/>
        </w:rPr>
        <w:t xml:space="preserve"> </w:t>
      </w:r>
      <w:r w:rsidR="00072A3A" w:rsidRPr="00751ACA">
        <w:rPr>
          <w:rFonts w:ascii="Arial" w:hAnsi="Arial" w:cs="Arial"/>
          <w:i/>
          <w:iCs/>
        </w:rPr>
        <w:t>Pythium</w:t>
      </w:r>
      <w:r w:rsidR="00E41F0E">
        <w:rPr>
          <w:rFonts w:ascii="Arial" w:hAnsi="Arial" w:cs="Arial"/>
          <w:i/>
          <w:iCs/>
        </w:rPr>
        <w:t xml:space="preserve"> </w:t>
      </w:r>
      <w:r w:rsidR="00C213A9" w:rsidRPr="00751ACA">
        <w:rPr>
          <w:rFonts w:ascii="Arial" w:hAnsi="Arial" w:cs="Arial"/>
          <w:i/>
          <w:iCs/>
        </w:rPr>
        <w:t>myriotylum</w:t>
      </w:r>
      <w:r w:rsidR="00E41F0E">
        <w:rPr>
          <w:rFonts w:ascii="Arial" w:hAnsi="Arial" w:cs="Arial"/>
          <w:i/>
          <w:iCs/>
        </w:rPr>
        <w:t xml:space="preserve"> </w:t>
      </w:r>
      <w:proofErr w:type="spellStart"/>
      <w:r w:rsidR="00C213A9" w:rsidRPr="00751ACA">
        <w:rPr>
          <w:rStyle w:val="Emphasis"/>
          <w:rFonts w:ascii="Arial" w:hAnsi="Arial" w:cs="Arial"/>
          <w:i w:val="0"/>
        </w:rPr>
        <w:t>Drechsler</w:t>
      </w:r>
      <w:proofErr w:type="spellEnd"/>
      <w:r w:rsidR="0015266C">
        <w:rPr>
          <w:rStyle w:val="Emphasis"/>
          <w:rFonts w:ascii="Arial" w:hAnsi="Arial" w:cs="Arial"/>
          <w:i w:val="0"/>
        </w:rPr>
        <w:t xml:space="preserve"> whereas its wild congener </w:t>
      </w:r>
      <w:r w:rsidR="0015266C" w:rsidRPr="0015266C">
        <w:rPr>
          <w:rStyle w:val="Emphasis"/>
          <w:rFonts w:ascii="Arial" w:hAnsi="Arial" w:cs="Arial"/>
          <w:iCs w:val="0"/>
        </w:rPr>
        <w:t>Zingiber zerumbet</w:t>
      </w:r>
      <w:r w:rsidR="0015266C">
        <w:rPr>
          <w:rStyle w:val="Emphasis"/>
          <w:rFonts w:ascii="Arial" w:hAnsi="Arial" w:cs="Arial"/>
          <w:i w:val="0"/>
        </w:rPr>
        <w:t xml:space="preserve"> Smith is resistant</w:t>
      </w:r>
      <w:r w:rsidRPr="00751ACA">
        <w:rPr>
          <w:rStyle w:val="Emphasis"/>
          <w:rFonts w:ascii="Arial" w:hAnsi="Arial" w:cs="Arial"/>
          <w:i w:val="0"/>
        </w:rPr>
        <w:t>.</w:t>
      </w:r>
      <w:r w:rsidR="0015266C">
        <w:rPr>
          <w:rStyle w:val="Emphasis"/>
          <w:rFonts w:ascii="Arial" w:hAnsi="Arial" w:cs="Arial"/>
          <w:i w:val="0"/>
        </w:rPr>
        <w:t xml:space="preserve"> </w:t>
      </w:r>
      <w:r w:rsidR="002D0F86">
        <w:rPr>
          <w:rStyle w:val="Emphasis"/>
          <w:rFonts w:ascii="Arial" w:hAnsi="Arial" w:cs="Arial"/>
          <w:i w:val="0"/>
        </w:rPr>
        <w:t>Comparative RNA-</w:t>
      </w:r>
      <w:proofErr w:type="spellStart"/>
      <w:r w:rsidR="002D0F86">
        <w:rPr>
          <w:rStyle w:val="Emphasis"/>
          <w:rFonts w:ascii="Arial" w:hAnsi="Arial" w:cs="Arial"/>
          <w:i w:val="0"/>
        </w:rPr>
        <w:t>Seq</w:t>
      </w:r>
      <w:proofErr w:type="spellEnd"/>
      <w:r w:rsidR="002D0F86">
        <w:rPr>
          <w:rStyle w:val="Emphasis"/>
          <w:rFonts w:ascii="Arial" w:hAnsi="Arial" w:cs="Arial"/>
          <w:i w:val="0"/>
        </w:rPr>
        <w:t xml:space="preserve"> analysis between resistant </w:t>
      </w:r>
      <w:r w:rsidR="002D0F86">
        <w:rPr>
          <w:rStyle w:val="Emphasis"/>
          <w:rFonts w:ascii="Arial" w:hAnsi="Arial" w:cs="Arial"/>
        </w:rPr>
        <w:t xml:space="preserve">Z. zerumbet </w:t>
      </w:r>
      <w:r w:rsidR="002D0F86">
        <w:rPr>
          <w:rStyle w:val="Emphasis"/>
          <w:rFonts w:ascii="Arial" w:hAnsi="Arial" w:cs="Arial"/>
          <w:i w:val="0"/>
        </w:rPr>
        <w:t xml:space="preserve">and susceptible ginger following </w:t>
      </w:r>
      <w:r w:rsidR="00DD100E">
        <w:rPr>
          <w:rStyle w:val="Emphasis"/>
          <w:rFonts w:ascii="Arial" w:hAnsi="Arial" w:cs="Arial"/>
          <w:i w:val="0"/>
        </w:rPr>
        <w:t xml:space="preserve">to </w:t>
      </w:r>
      <w:r w:rsidR="002D0F86">
        <w:rPr>
          <w:rStyle w:val="Emphasis"/>
          <w:rFonts w:ascii="Arial" w:hAnsi="Arial" w:cs="Arial"/>
        </w:rPr>
        <w:t xml:space="preserve">P. myriotylum </w:t>
      </w:r>
      <w:r w:rsidR="002D0F86">
        <w:rPr>
          <w:rStyle w:val="Emphasis"/>
          <w:rFonts w:ascii="Arial" w:hAnsi="Arial" w:cs="Arial"/>
          <w:i w:val="0"/>
        </w:rPr>
        <w:t xml:space="preserve">inoculation suggested a key role for phytohormones in orchestrating host signalling. </w:t>
      </w:r>
      <w:r w:rsidR="0015266C">
        <w:rPr>
          <w:rStyle w:val="Emphasis"/>
          <w:rFonts w:ascii="Arial" w:hAnsi="Arial" w:cs="Arial"/>
          <w:i w:val="0"/>
        </w:rPr>
        <w:t xml:space="preserve">We investigated the interplay between the two key phytohormones </w:t>
      </w:r>
      <w:proofErr w:type="spellStart"/>
      <w:r w:rsidR="0015266C">
        <w:rPr>
          <w:rStyle w:val="Emphasis"/>
          <w:rFonts w:ascii="Arial" w:hAnsi="Arial" w:cs="Arial"/>
          <w:i w:val="0"/>
        </w:rPr>
        <w:t>jasmonic</w:t>
      </w:r>
      <w:proofErr w:type="spellEnd"/>
      <w:r w:rsidR="0015266C">
        <w:rPr>
          <w:rStyle w:val="Emphasis"/>
          <w:rFonts w:ascii="Arial" w:hAnsi="Arial" w:cs="Arial"/>
          <w:i w:val="0"/>
        </w:rPr>
        <w:t xml:space="preserve"> acid (JA) and salicylic acid (SA) in deciding the host response towards </w:t>
      </w:r>
      <w:r w:rsidR="0015266C" w:rsidRPr="0015266C">
        <w:rPr>
          <w:rStyle w:val="Emphasis"/>
          <w:rFonts w:ascii="Arial" w:hAnsi="Arial" w:cs="Arial"/>
          <w:iCs w:val="0"/>
        </w:rPr>
        <w:t>P. myriotylum</w:t>
      </w:r>
      <w:r w:rsidR="0015266C">
        <w:rPr>
          <w:rStyle w:val="Emphasis"/>
          <w:rFonts w:ascii="Arial" w:hAnsi="Arial" w:cs="Arial"/>
          <w:i w:val="0"/>
        </w:rPr>
        <w:t xml:space="preserve">. The phytohormones were differentially induced between ginger and </w:t>
      </w:r>
      <w:r w:rsidR="0015266C">
        <w:rPr>
          <w:rStyle w:val="Emphasis"/>
          <w:rFonts w:ascii="Arial" w:hAnsi="Arial" w:cs="Arial"/>
          <w:iCs w:val="0"/>
        </w:rPr>
        <w:t>Z. zerumbet</w:t>
      </w:r>
      <w:r w:rsidR="0015266C">
        <w:rPr>
          <w:rStyle w:val="Emphasis"/>
          <w:rFonts w:ascii="Arial" w:hAnsi="Arial" w:cs="Arial"/>
          <w:i w:val="0"/>
        </w:rPr>
        <w:t xml:space="preserve"> in response to </w:t>
      </w:r>
      <w:r w:rsidR="0015266C">
        <w:rPr>
          <w:rStyle w:val="Emphasis"/>
          <w:rFonts w:ascii="Arial" w:hAnsi="Arial" w:cs="Arial"/>
          <w:iCs w:val="0"/>
        </w:rPr>
        <w:t>Pythium.</w:t>
      </w:r>
      <w:r w:rsidR="002D0F86">
        <w:rPr>
          <w:rStyle w:val="Emphasis"/>
          <w:rFonts w:ascii="Arial" w:hAnsi="Arial" w:cs="Arial"/>
          <w:iCs w:val="0"/>
        </w:rPr>
        <w:t xml:space="preserve"> </w:t>
      </w:r>
      <w:r w:rsidR="0015266C">
        <w:rPr>
          <w:rFonts w:ascii="Arial" w:hAnsi="Arial" w:cs="Arial"/>
        </w:rPr>
        <w:t xml:space="preserve">When SA concentration was higher than that of JA in </w:t>
      </w:r>
      <w:r w:rsidR="0015266C" w:rsidRPr="002D0F86">
        <w:rPr>
          <w:rFonts w:ascii="Arial" w:hAnsi="Arial" w:cs="Arial"/>
          <w:i/>
        </w:rPr>
        <w:t>Z. zerumbet</w:t>
      </w:r>
      <w:r w:rsidR="0015266C">
        <w:rPr>
          <w:rFonts w:ascii="Arial" w:hAnsi="Arial" w:cs="Arial"/>
        </w:rPr>
        <w:t xml:space="preserve">, the conditions were reverse in ginger suggesting </w:t>
      </w:r>
      <w:r w:rsidR="00DD100E">
        <w:rPr>
          <w:rFonts w:ascii="Arial" w:hAnsi="Arial" w:cs="Arial"/>
        </w:rPr>
        <w:t xml:space="preserve">the </w:t>
      </w:r>
      <w:r w:rsidR="0015266C">
        <w:rPr>
          <w:rFonts w:ascii="Arial" w:hAnsi="Arial" w:cs="Arial"/>
        </w:rPr>
        <w:t xml:space="preserve">high JA concentration </w:t>
      </w:r>
      <w:r w:rsidR="002D0F86">
        <w:rPr>
          <w:rFonts w:ascii="Arial" w:hAnsi="Arial" w:cs="Arial"/>
        </w:rPr>
        <w:t>is</w:t>
      </w:r>
      <w:r w:rsidR="0015266C">
        <w:rPr>
          <w:rFonts w:ascii="Arial" w:hAnsi="Arial" w:cs="Arial"/>
        </w:rPr>
        <w:t xml:space="preserve"> </w:t>
      </w:r>
      <w:proofErr w:type="gramStart"/>
      <w:r w:rsidR="00DD100E">
        <w:rPr>
          <w:rFonts w:ascii="Arial" w:hAnsi="Arial" w:cs="Arial"/>
        </w:rPr>
        <w:t>a susceptibility</w:t>
      </w:r>
      <w:proofErr w:type="gramEnd"/>
      <w:r w:rsidR="002D0F86">
        <w:rPr>
          <w:rFonts w:ascii="Arial" w:hAnsi="Arial" w:cs="Arial"/>
        </w:rPr>
        <w:t xml:space="preserve"> </w:t>
      </w:r>
      <w:r w:rsidR="00DD100E">
        <w:rPr>
          <w:rFonts w:ascii="Arial" w:hAnsi="Arial" w:cs="Arial"/>
        </w:rPr>
        <w:t>characteristic</w:t>
      </w:r>
      <w:r w:rsidR="002D0F86">
        <w:rPr>
          <w:rFonts w:ascii="Arial" w:hAnsi="Arial" w:cs="Arial"/>
        </w:rPr>
        <w:t xml:space="preserve"> in </w:t>
      </w:r>
      <w:r w:rsidR="002D0F86">
        <w:rPr>
          <w:rFonts w:ascii="Arial" w:hAnsi="Arial" w:cs="Arial"/>
          <w:i/>
        </w:rPr>
        <w:t>Zingiber</w:t>
      </w:r>
      <w:r w:rsidR="002D0F86">
        <w:rPr>
          <w:rFonts w:ascii="Arial" w:hAnsi="Arial" w:cs="Arial"/>
        </w:rPr>
        <w:t>-</w:t>
      </w:r>
      <w:r w:rsidR="002D0F86">
        <w:rPr>
          <w:rFonts w:ascii="Arial" w:hAnsi="Arial" w:cs="Arial"/>
          <w:i/>
        </w:rPr>
        <w:t xml:space="preserve">Pythium </w:t>
      </w:r>
      <w:r w:rsidR="002D0F86">
        <w:rPr>
          <w:rFonts w:ascii="Arial" w:hAnsi="Arial" w:cs="Arial"/>
        </w:rPr>
        <w:t>pathosystems.</w:t>
      </w:r>
      <w:r w:rsidR="003872B0">
        <w:rPr>
          <w:rFonts w:ascii="Arial" w:hAnsi="Arial" w:cs="Arial"/>
        </w:rPr>
        <w:t xml:space="preserve"> Th</w:t>
      </w:r>
      <w:r w:rsidR="00DD100E">
        <w:rPr>
          <w:rFonts w:ascii="Arial" w:hAnsi="Arial" w:cs="Arial"/>
        </w:rPr>
        <w:t>e susceptibility characteristic</w:t>
      </w:r>
      <w:r w:rsidR="003872B0">
        <w:rPr>
          <w:rFonts w:ascii="Arial" w:hAnsi="Arial" w:cs="Arial"/>
        </w:rPr>
        <w:t xml:space="preserve"> of JA was evident when treatment of </w:t>
      </w:r>
      <w:r w:rsidR="003872B0" w:rsidRPr="003872B0">
        <w:rPr>
          <w:rFonts w:ascii="Arial" w:hAnsi="Arial" w:cs="Arial"/>
          <w:i/>
          <w:iCs/>
        </w:rPr>
        <w:t xml:space="preserve">Z. zerumbet </w:t>
      </w:r>
      <w:r w:rsidR="003872B0">
        <w:rPr>
          <w:rFonts w:ascii="Arial" w:hAnsi="Arial" w:cs="Arial"/>
        </w:rPr>
        <w:t xml:space="preserve">with higher concentration of JA induced </w:t>
      </w:r>
      <w:r w:rsidR="003872B0" w:rsidRPr="003872B0">
        <w:rPr>
          <w:rFonts w:ascii="Arial" w:hAnsi="Arial" w:cs="Arial"/>
          <w:i/>
          <w:iCs/>
        </w:rPr>
        <w:t>Pythium</w:t>
      </w:r>
      <w:r w:rsidR="003872B0">
        <w:rPr>
          <w:rFonts w:ascii="Arial" w:hAnsi="Arial" w:cs="Arial"/>
        </w:rPr>
        <w:t xml:space="preserve"> susceptibility. Further confirming the susceptibility characteristics of JA, we found that SA treatment followed by JA treatment did not induce susceptibility in </w:t>
      </w:r>
      <w:r w:rsidR="003872B0" w:rsidRPr="00FE0FAE">
        <w:rPr>
          <w:rFonts w:ascii="Arial" w:hAnsi="Arial" w:cs="Arial"/>
          <w:i/>
        </w:rPr>
        <w:t>Z. zerumbet</w:t>
      </w:r>
      <w:r w:rsidR="003872B0">
        <w:rPr>
          <w:rFonts w:ascii="Arial" w:hAnsi="Arial" w:cs="Arial"/>
        </w:rPr>
        <w:t xml:space="preserve">. </w:t>
      </w:r>
      <w:r w:rsidR="00DD100E">
        <w:rPr>
          <w:rFonts w:ascii="Arial" w:hAnsi="Arial" w:cs="Arial"/>
        </w:rPr>
        <w:t>T</w:t>
      </w:r>
      <w:r w:rsidR="00CE5A8A">
        <w:rPr>
          <w:rFonts w:ascii="Arial" w:hAnsi="Arial" w:cs="Arial"/>
        </w:rPr>
        <w:t xml:space="preserve">he virus induced gene silencing of JA signalling related </w:t>
      </w:r>
      <w:r w:rsidR="00FE0FAE">
        <w:rPr>
          <w:rFonts w:ascii="Arial" w:hAnsi="Arial" w:cs="Arial"/>
        </w:rPr>
        <w:t>genes that</w:t>
      </w:r>
      <w:r w:rsidR="00CE5A8A">
        <w:rPr>
          <w:rFonts w:ascii="Arial" w:hAnsi="Arial" w:cs="Arial"/>
        </w:rPr>
        <w:t xml:space="preserve"> are highly upregulated in ginger following pathogen infection, yielded tolerance in ginger to </w:t>
      </w:r>
      <w:r w:rsidR="00CE5A8A">
        <w:rPr>
          <w:rFonts w:ascii="Arial" w:hAnsi="Arial" w:cs="Arial"/>
          <w:i/>
        </w:rPr>
        <w:t xml:space="preserve">P. myriotylum </w:t>
      </w:r>
      <w:r w:rsidR="00CE5A8A">
        <w:rPr>
          <w:rFonts w:ascii="Arial" w:hAnsi="Arial" w:cs="Arial"/>
        </w:rPr>
        <w:t xml:space="preserve">inoculation. </w:t>
      </w:r>
      <w:r w:rsidR="003872B0">
        <w:rPr>
          <w:rFonts w:ascii="Arial" w:hAnsi="Arial" w:cs="Arial"/>
        </w:rPr>
        <w:t xml:space="preserve">The </w:t>
      </w:r>
      <w:r w:rsidR="00DD100E">
        <w:rPr>
          <w:rFonts w:ascii="Arial" w:hAnsi="Arial" w:cs="Arial"/>
        </w:rPr>
        <w:t>pattern of host response obtained in all the studies was</w:t>
      </w:r>
      <w:r w:rsidR="003872B0">
        <w:rPr>
          <w:rFonts w:ascii="Arial" w:hAnsi="Arial" w:cs="Arial"/>
        </w:rPr>
        <w:t xml:space="preserve"> confirmed by the real time gene expression</w:t>
      </w:r>
      <w:r w:rsidR="00DD100E" w:rsidRPr="00DD100E">
        <w:rPr>
          <w:rFonts w:ascii="Arial" w:hAnsi="Arial" w:cs="Arial"/>
        </w:rPr>
        <w:t xml:space="preserve"> </w:t>
      </w:r>
      <w:r w:rsidR="00DD100E">
        <w:rPr>
          <w:rFonts w:ascii="Arial" w:hAnsi="Arial" w:cs="Arial"/>
        </w:rPr>
        <w:t>analysis and</w:t>
      </w:r>
      <w:r w:rsidR="003872B0">
        <w:rPr>
          <w:rFonts w:ascii="Arial" w:hAnsi="Arial" w:cs="Arial"/>
        </w:rPr>
        <w:t xml:space="preserve"> histopathological and </w:t>
      </w:r>
      <w:proofErr w:type="spellStart"/>
      <w:r w:rsidR="003872B0">
        <w:rPr>
          <w:rFonts w:ascii="Arial" w:hAnsi="Arial" w:cs="Arial"/>
        </w:rPr>
        <w:t>phytochemical</w:t>
      </w:r>
      <w:proofErr w:type="spellEnd"/>
      <w:r w:rsidR="003872B0">
        <w:rPr>
          <w:rFonts w:ascii="Arial" w:hAnsi="Arial" w:cs="Arial"/>
        </w:rPr>
        <w:t xml:space="preserve"> methods. </w:t>
      </w:r>
      <w:r w:rsidR="00FE0FAE">
        <w:rPr>
          <w:rFonts w:ascii="Arial" w:hAnsi="Arial" w:cs="Arial"/>
        </w:rPr>
        <w:t xml:space="preserve">The study </w:t>
      </w:r>
      <w:r w:rsidR="00DD100E">
        <w:rPr>
          <w:rFonts w:ascii="Arial" w:hAnsi="Arial" w:cs="Arial"/>
        </w:rPr>
        <w:t>emphasis</w:t>
      </w:r>
      <w:r w:rsidR="00FE0FAE">
        <w:rPr>
          <w:rFonts w:ascii="Arial" w:hAnsi="Arial" w:cs="Arial"/>
        </w:rPr>
        <w:t xml:space="preserve"> the value of comparative characterisation of host response in compatible and incompatible pathosystem</w:t>
      </w:r>
      <w:r w:rsidR="00DD100E">
        <w:rPr>
          <w:rFonts w:ascii="Arial" w:hAnsi="Arial" w:cs="Arial"/>
        </w:rPr>
        <w:t>s</w:t>
      </w:r>
      <w:r w:rsidR="00FE0FAE">
        <w:rPr>
          <w:rFonts w:ascii="Arial" w:hAnsi="Arial" w:cs="Arial"/>
        </w:rPr>
        <w:t xml:space="preserve"> in choosing genomics assisted crop protection methods. </w:t>
      </w:r>
      <w:r w:rsidR="003872B0">
        <w:rPr>
          <w:rFonts w:ascii="Arial" w:hAnsi="Arial" w:cs="Arial"/>
        </w:rPr>
        <w:t>Th</w:t>
      </w:r>
      <w:r w:rsidR="00F407BB">
        <w:rPr>
          <w:rFonts w:ascii="Arial" w:hAnsi="Arial" w:cs="Arial"/>
        </w:rPr>
        <w:t>e study</w:t>
      </w:r>
      <w:r w:rsidR="003872B0">
        <w:rPr>
          <w:rFonts w:ascii="Arial" w:hAnsi="Arial" w:cs="Arial"/>
        </w:rPr>
        <w:t xml:space="preserve"> provided us an opportunity to </w:t>
      </w:r>
      <w:r w:rsidR="00FE0FAE">
        <w:rPr>
          <w:rFonts w:ascii="Arial" w:hAnsi="Arial" w:cs="Arial"/>
        </w:rPr>
        <w:t>identify</w:t>
      </w:r>
      <w:r w:rsidR="003872B0">
        <w:rPr>
          <w:rFonts w:ascii="Arial" w:hAnsi="Arial" w:cs="Arial"/>
        </w:rPr>
        <w:t xml:space="preserve"> susceptibility genes suitable for genome editing for </w:t>
      </w:r>
      <w:r w:rsidR="00FE0FAE">
        <w:rPr>
          <w:rFonts w:ascii="Arial" w:hAnsi="Arial" w:cs="Arial"/>
        </w:rPr>
        <w:t xml:space="preserve">the </w:t>
      </w:r>
      <w:r w:rsidR="003872B0">
        <w:rPr>
          <w:rFonts w:ascii="Arial" w:hAnsi="Arial" w:cs="Arial"/>
        </w:rPr>
        <w:t>development of soft rot toleran</w:t>
      </w:r>
      <w:r w:rsidR="00FE0FAE">
        <w:rPr>
          <w:rFonts w:ascii="Arial" w:hAnsi="Arial" w:cs="Arial"/>
        </w:rPr>
        <w:t>ce</w:t>
      </w:r>
      <w:r w:rsidR="00DD100E" w:rsidRPr="00DD100E">
        <w:rPr>
          <w:rFonts w:ascii="Arial" w:hAnsi="Arial" w:cs="Arial"/>
        </w:rPr>
        <w:t xml:space="preserve"> </w:t>
      </w:r>
      <w:r w:rsidR="00DD100E">
        <w:rPr>
          <w:rFonts w:ascii="Arial" w:hAnsi="Arial" w:cs="Arial"/>
        </w:rPr>
        <w:t>in ginger</w:t>
      </w:r>
      <w:r w:rsidR="00FE0FAE">
        <w:rPr>
          <w:rFonts w:ascii="Arial" w:hAnsi="Arial" w:cs="Arial"/>
        </w:rPr>
        <w:t>.</w:t>
      </w:r>
      <w:r w:rsidR="003872B0">
        <w:rPr>
          <w:rFonts w:ascii="Arial" w:hAnsi="Arial" w:cs="Arial"/>
        </w:rPr>
        <w:t xml:space="preserve"> </w:t>
      </w:r>
    </w:p>
    <w:p w:rsidR="00072A3A" w:rsidRPr="00751ACA" w:rsidRDefault="00072A3A" w:rsidP="00CB2189">
      <w:pPr>
        <w:jc w:val="both"/>
        <w:rPr>
          <w:rFonts w:ascii="Arial" w:hAnsi="Arial" w:cs="Arial"/>
          <w:sz w:val="24"/>
          <w:szCs w:val="24"/>
        </w:rPr>
      </w:pPr>
    </w:p>
    <w:sectPr w:rsidR="00072A3A" w:rsidRPr="00751ACA" w:rsidSect="005B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81297"/>
    <w:multiLevelType w:val="hybridMultilevel"/>
    <w:tmpl w:val="571645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ED51ED"/>
    <w:multiLevelType w:val="hybridMultilevel"/>
    <w:tmpl w:val="5E0A1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2A3A"/>
    <w:rsid w:val="0003588C"/>
    <w:rsid w:val="00072A3A"/>
    <w:rsid w:val="000C56B6"/>
    <w:rsid w:val="000F486F"/>
    <w:rsid w:val="001328A1"/>
    <w:rsid w:val="00145DC0"/>
    <w:rsid w:val="0015266C"/>
    <w:rsid w:val="001713C7"/>
    <w:rsid w:val="002056F2"/>
    <w:rsid w:val="00260E92"/>
    <w:rsid w:val="002B69F0"/>
    <w:rsid w:val="002D0F86"/>
    <w:rsid w:val="00304559"/>
    <w:rsid w:val="003872B0"/>
    <w:rsid w:val="00410466"/>
    <w:rsid w:val="0049312C"/>
    <w:rsid w:val="004D4C64"/>
    <w:rsid w:val="00562075"/>
    <w:rsid w:val="00562143"/>
    <w:rsid w:val="005D300A"/>
    <w:rsid w:val="00630467"/>
    <w:rsid w:val="00751ACA"/>
    <w:rsid w:val="007845FE"/>
    <w:rsid w:val="00850860"/>
    <w:rsid w:val="008536F5"/>
    <w:rsid w:val="00860B14"/>
    <w:rsid w:val="00892BC4"/>
    <w:rsid w:val="00931DC6"/>
    <w:rsid w:val="00984C16"/>
    <w:rsid w:val="009A1E8A"/>
    <w:rsid w:val="009C2D5D"/>
    <w:rsid w:val="00A334BC"/>
    <w:rsid w:val="00B2296F"/>
    <w:rsid w:val="00BF58EC"/>
    <w:rsid w:val="00C213A9"/>
    <w:rsid w:val="00C52F20"/>
    <w:rsid w:val="00CB2189"/>
    <w:rsid w:val="00CE5A8A"/>
    <w:rsid w:val="00DD100E"/>
    <w:rsid w:val="00E07258"/>
    <w:rsid w:val="00E41F0E"/>
    <w:rsid w:val="00E758B7"/>
    <w:rsid w:val="00E93CB7"/>
    <w:rsid w:val="00F407BB"/>
    <w:rsid w:val="00FE0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A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56F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56F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213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3A9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60E9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6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Lini Varghese</dc:creator>
  <cp:lastModifiedBy>USER</cp:lastModifiedBy>
  <cp:revision>7</cp:revision>
  <dcterms:created xsi:type="dcterms:W3CDTF">2023-01-04T07:02:00Z</dcterms:created>
  <dcterms:modified xsi:type="dcterms:W3CDTF">2023-01-04T09:17:00Z</dcterms:modified>
</cp:coreProperties>
</file>