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61E7C" w14:textId="38ADE749" w:rsidR="00EB1A95" w:rsidRPr="00EB1A95" w:rsidRDefault="00EB1A95" w:rsidP="00EB1A95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Times New Roman"/>
          <w:b/>
          <w:bCs/>
          <w:position w:val="-1"/>
          <w:sz w:val="24"/>
          <w:szCs w:val="24"/>
        </w:rPr>
      </w:pPr>
      <w:r w:rsidRPr="00EB1A95">
        <w:rPr>
          <w:rFonts w:ascii="Arial" w:eastAsia="Arial" w:hAnsi="Arial" w:cs="Times New Roman"/>
          <w:b/>
          <w:bCs/>
          <w:position w:val="-1"/>
          <w:sz w:val="24"/>
          <w:szCs w:val="24"/>
        </w:rPr>
        <w:t xml:space="preserve">Genome </w:t>
      </w:r>
      <w:r>
        <w:rPr>
          <w:rFonts w:ascii="Arial" w:eastAsia="Arial" w:hAnsi="Arial" w:cs="Times New Roman"/>
          <w:b/>
          <w:bCs/>
          <w:position w:val="-1"/>
          <w:sz w:val="24"/>
          <w:szCs w:val="24"/>
        </w:rPr>
        <w:t>E</w:t>
      </w:r>
      <w:r w:rsidRPr="00EB1A95">
        <w:rPr>
          <w:rFonts w:ascii="Arial" w:eastAsia="Arial" w:hAnsi="Arial" w:cs="Times New Roman"/>
          <w:b/>
          <w:bCs/>
          <w:position w:val="-1"/>
          <w:sz w:val="24"/>
          <w:szCs w:val="24"/>
        </w:rPr>
        <w:t xml:space="preserve">diting </w:t>
      </w:r>
      <w:r>
        <w:rPr>
          <w:rFonts w:ascii="Arial" w:eastAsia="Arial" w:hAnsi="Arial" w:cs="Times New Roman"/>
          <w:b/>
          <w:bCs/>
          <w:position w:val="-1"/>
          <w:sz w:val="24"/>
          <w:szCs w:val="24"/>
        </w:rPr>
        <w:t>I</w:t>
      </w:r>
      <w:r w:rsidRPr="00EB1A95">
        <w:rPr>
          <w:rFonts w:ascii="Arial" w:eastAsia="Arial" w:hAnsi="Arial" w:cs="Times New Roman"/>
          <w:b/>
          <w:bCs/>
          <w:position w:val="-1"/>
          <w:sz w:val="24"/>
          <w:szCs w:val="24"/>
        </w:rPr>
        <w:t>nitiatives for</w:t>
      </w:r>
      <w:r w:rsidR="007137C7">
        <w:rPr>
          <w:rFonts w:ascii="Arial" w:eastAsia="Arial" w:hAnsi="Arial" w:cs="Times New Roman"/>
          <w:b/>
          <w:bCs/>
          <w:position w:val="-1"/>
          <w:sz w:val="24"/>
          <w:szCs w:val="24"/>
        </w:rPr>
        <w:t xml:space="preserve"> </w:t>
      </w:r>
      <w:r>
        <w:rPr>
          <w:rFonts w:ascii="Arial" w:eastAsia="Arial" w:hAnsi="Arial" w:cs="Times New Roman"/>
          <w:b/>
          <w:bCs/>
          <w:position w:val="-1"/>
          <w:sz w:val="24"/>
          <w:szCs w:val="24"/>
        </w:rPr>
        <w:t>S</w:t>
      </w:r>
      <w:r w:rsidRPr="00EB1A95">
        <w:rPr>
          <w:rFonts w:ascii="Arial" w:eastAsia="Arial" w:hAnsi="Arial" w:cs="Times New Roman"/>
          <w:b/>
          <w:bCs/>
          <w:position w:val="-1"/>
          <w:sz w:val="24"/>
          <w:szCs w:val="24"/>
        </w:rPr>
        <w:t>oft-</w:t>
      </w:r>
      <w:r w:rsidR="007137C7">
        <w:rPr>
          <w:rFonts w:ascii="Arial" w:eastAsia="Arial" w:hAnsi="Arial" w:cs="Times New Roman"/>
          <w:b/>
          <w:bCs/>
          <w:position w:val="-1"/>
          <w:sz w:val="24"/>
          <w:szCs w:val="24"/>
        </w:rPr>
        <w:t>r</w:t>
      </w:r>
      <w:r w:rsidRPr="00EB1A95">
        <w:rPr>
          <w:rFonts w:ascii="Arial" w:eastAsia="Arial" w:hAnsi="Arial" w:cs="Times New Roman"/>
          <w:b/>
          <w:bCs/>
          <w:position w:val="-1"/>
          <w:sz w:val="24"/>
          <w:szCs w:val="24"/>
        </w:rPr>
        <w:t xml:space="preserve">ot </w:t>
      </w:r>
      <w:r>
        <w:rPr>
          <w:rFonts w:ascii="Arial" w:eastAsia="Arial" w:hAnsi="Arial" w:cs="Times New Roman"/>
          <w:b/>
          <w:bCs/>
          <w:position w:val="-1"/>
          <w:sz w:val="24"/>
          <w:szCs w:val="24"/>
        </w:rPr>
        <w:t>D</w:t>
      </w:r>
      <w:r w:rsidRPr="00EB1A95">
        <w:rPr>
          <w:rFonts w:ascii="Arial" w:eastAsia="Arial" w:hAnsi="Arial" w:cs="Times New Roman"/>
          <w:b/>
          <w:bCs/>
          <w:position w:val="-1"/>
          <w:sz w:val="24"/>
          <w:szCs w:val="24"/>
        </w:rPr>
        <w:t xml:space="preserve">isease </w:t>
      </w:r>
      <w:r>
        <w:rPr>
          <w:rFonts w:ascii="Arial" w:eastAsia="Arial" w:hAnsi="Arial" w:cs="Times New Roman"/>
          <w:b/>
          <w:bCs/>
          <w:position w:val="-1"/>
          <w:sz w:val="24"/>
          <w:szCs w:val="24"/>
        </w:rPr>
        <w:t>M</w:t>
      </w:r>
      <w:r w:rsidRPr="00EB1A95">
        <w:rPr>
          <w:rFonts w:ascii="Arial" w:eastAsia="Arial" w:hAnsi="Arial" w:cs="Times New Roman"/>
          <w:b/>
          <w:bCs/>
          <w:position w:val="-1"/>
          <w:sz w:val="24"/>
          <w:szCs w:val="24"/>
        </w:rPr>
        <w:t xml:space="preserve">anagement in </w:t>
      </w:r>
      <w:r>
        <w:rPr>
          <w:rFonts w:ascii="Arial" w:eastAsia="Arial" w:hAnsi="Arial" w:cs="Times New Roman"/>
          <w:b/>
          <w:bCs/>
          <w:position w:val="-1"/>
          <w:sz w:val="24"/>
          <w:szCs w:val="24"/>
        </w:rPr>
        <w:t>G</w:t>
      </w:r>
      <w:r w:rsidRPr="00EB1A95">
        <w:rPr>
          <w:rFonts w:ascii="Arial" w:eastAsia="Arial" w:hAnsi="Arial" w:cs="Times New Roman"/>
          <w:b/>
          <w:bCs/>
          <w:position w:val="-1"/>
          <w:sz w:val="24"/>
          <w:szCs w:val="24"/>
        </w:rPr>
        <w:t>inger</w:t>
      </w:r>
    </w:p>
    <w:p w14:paraId="7F1489A2" w14:textId="77777777" w:rsidR="00EB1A95" w:rsidRPr="00EB1A95" w:rsidRDefault="00EB1A95" w:rsidP="00EB1A95">
      <w:pPr>
        <w:suppressAutoHyphens/>
        <w:spacing w:after="0" w:line="1" w:lineRule="atLeast"/>
        <w:textDirection w:val="btLr"/>
        <w:textAlignment w:val="top"/>
        <w:outlineLvl w:val="0"/>
        <w:rPr>
          <w:rFonts w:ascii="Arial" w:eastAsia="Arial" w:hAnsi="Arial" w:cs="Times New Roman"/>
          <w:position w:val="-1"/>
          <w:sz w:val="24"/>
          <w:szCs w:val="24"/>
          <w:lang w:val="en-US"/>
        </w:rPr>
      </w:pPr>
    </w:p>
    <w:p w14:paraId="51F0FC78" w14:textId="59472BC1" w:rsidR="00EB1A95" w:rsidRPr="00EB1A95" w:rsidRDefault="00EB1A95" w:rsidP="00EB1A95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Times New Roman"/>
          <w:position w:val="-1"/>
          <w:lang w:val="en-US"/>
        </w:rPr>
      </w:pPr>
      <w:r>
        <w:rPr>
          <w:rFonts w:ascii="Arial" w:eastAsia="Arial" w:hAnsi="Arial" w:cs="Times New Roman"/>
          <w:position w:val="-1"/>
          <w:lang w:val="en-US"/>
        </w:rPr>
        <w:t>Joyous T Joseph</w:t>
      </w:r>
      <w:r w:rsidRPr="00EB1A95">
        <w:rPr>
          <w:rFonts w:ascii="Arial" w:eastAsia="Arial" w:hAnsi="Arial" w:cs="Times New Roman"/>
          <w:position w:val="-1"/>
          <w:lang w:val="en-US"/>
        </w:rPr>
        <w:t>*</w:t>
      </w:r>
    </w:p>
    <w:p w14:paraId="251261BC" w14:textId="77777777" w:rsidR="00EB1A95" w:rsidRPr="00EB1A95" w:rsidRDefault="00EB1A95" w:rsidP="00EB1A95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Times New Roman"/>
          <w:position w:val="-1"/>
          <w:lang w:val="en-US"/>
        </w:rPr>
      </w:pPr>
    </w:p>
    <w:p w14:paraId="4D3C307A" w14:textId="080F63D1" w:rsidR="00EB1A95" w:rsidRPr="00EB1A95" w:rsidRDefault="00EB1A95" w:rsidP="00EB1A95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Times New Roman"/>
          <w:position w:val="-1"/>
          <w:lang w:val="en-US"/>
        </w:rPr>
      </w:pPr>
      <w:r w:rsidRPr="00EB1A95">
        <w:rPr>
          <w:rFonts w:ascii="Arial" w:eastAsia="Arial" w:hAnsi="Arial" w:cs="Times New Roman"/>
          <w:i/>
          <w:position w:val="-1"/>
        </w:rPr>
        <w:t>Rajiv Gandhi Centre for Biotechnology, Thiruvananthapuram</w:t>
      </w:r>
      <w:r>
        <w:rPr>
          <w:rFonts w:ascii="Arial" w:eastAsia="Arial" w:hAnsi="Arial" w:cs="Times New Roman"/>
          <w:i/>
          <w:position w:val="-1"/>
        </w:rPr>
        <w:t>,</w:t>
      </w:r>
      <w:r w:rsidRPr="00EB1A95">
        <w:rPr>
          <w:rFonts w:ascii="Arial" w:eastAsia="Arial" w:hAnsi="Arial" w:cs="Times New Roman"/>
          <w:i/>
          <w:position w:val="-1"/>
        </w:rPr>
        <w:t xml:space="preserve"> Kerala</w:t>
      </w:r>
      <w:r w:rsidRPr="00EB1A95">
        <w:rPr>
          <w:rFonts w:ascii="Arial" w:eastAsia="Arial" w:hAnsi="Arial" w:cs="Times New Roman"/>
          <w:i/>
          <w:position w:val="-1"/>
          <w:lang w:val="en-US"/>
        </w:rPr>
        <w:t xml:space="preserve"> </w:t>
      </w:r>
      <w:r w:rsidRPr="00EB1A95">
        <w:rPr>
          <w:rFonts w:ascii="Arial" w:eastAsia="Arial" w:hAnsi="Arial" w:cs="Times New Roman"/>
          <w:i/>
          <w:position w:val="-1"/>
        </w:rPr>
        <w:t>- 695012</w:t>
      </w:r>
    </w:p>
    <w:p w14:paraId="7B561B93" w14:textId="77777777" w:rsidR="00EB1A95" w:rsidRPr="00EB1A95" w:rsidRDefault="00EB1A95" w:rsidP="00EB1A95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Times New Roman"/>
          <w:position w:val="-1"/>
          <w:lang w:val="en-US"/>
        </w:rPr>
      </w:pPr>
    </w:p>
    <w:p w14:paraId="316CE0CC" w14:textId="5B4A3223" w:rsidR="00EB1A95" w:rsidRPr="00EB1A95" w:rsidRDefault="00EB1A95" w:rsidP="00EB1A95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Times New Roman"/>
          <w:position w:val="-1"/>
          <w:lang w:val="en-US"/>
        </w:rPr>
      </w:pPr>
      <w:r w:rsidRPr="00EB1A95">
        <w:rPr>
          <w:rFonts w:ascii="Arial" w:eastAsia="Arial" w:hAnsi="Arial" w:cs="Times New Roman"/>
          <w:position w:val="-1"/>
          <w:lang w:val="en-US"/>
        </w:rPr>
        <w:t xml:space="preserve">*Email: </w:t>
      </w:r>
      <w:r>
        <w:rPr>
          <w:rFonts w:ascii="Arial" w:eastAsia="Arial" w:hAnsi="Arial" w:cs="Times New Roman"/>
          <w:position w:val="-1"/>
          <w:lang w:val="en-US"/>
        </w:rPr>
        <w:t>joyoustjoseph@rgcb.res.in</w:t>
      </w:r>
    </w:p>
    <w:p w14:paraId="38F8B878" w14:textId="77777777" w:rsidR="00EB1A95" w:rsidRPr="00EB1A95" w:rsidRDefault="00EB1A95" w:rsidP="00EB1A95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Times New Roman"/>
          <w:position w:val="-1"/>
          <w:lang w:val="en-US"/>
        </w:rPr>
      </w:pPr>
    </w:p>
    <w:p w14:paraId="38C99C93" w14:textId="77777777" w:rsidR="00EB1A95" w:rsidRPr="00EB1A95" w:rsidRDefault="00EB1A95" w:rsidP="00EB1A95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Times New Roman"/>
          <w:position w:val="-1"/>
          <w:lang w:val="en-US"/>
        </w:rPr>
      </w:pPr>
      <w:r w:rsidRPr="00EB1A95">
        <w:rPr>
          <w:rFonts w:ascii="Arial" w:eastAsia="Arial" w:hAnsi="Arial" w:cs="Times New Roman"/>
          <w:b/>
          <w:position w:val="-1"/>
          <w:lang w:val="en-US"/>
        </w:rPr>
        <w:t>Abstract</w:t>
      </w:r>
    </w:p>
    <w:p w14:paraId="29888A19" w14:textId="77777777" w:rsidR="00EB1A95" w:rsidRPr="00EB1A95" w:rsidRDefault="00EB1A95" w:rsidP="00EB1A95">
      <w:pPr>
        <w:suppressAutoHyphens/>
        <w:spacing w:after="0" w:line="1" w:lineRule="atLeast"/>
        <w:ind w:leftChars="-1" w:hangingChars="1" w:hanging="2"/>
        <w:textDirection w:val="btLr"/>
        <w:textAlignment w:val="top"/>
        <w:outlineLvl w:val="0"/>
        <w:rPr>
          <w:rFonts w:ascii="Arial" w:eastAsia="Arial" w:hAnsi="Arial" w:cs="Times New Roman"/>
          <w:position w:val="-1"/>
          <w:lang w:val="en-US"/>
        </w:rPr>
      </w:pPr>
    </w:p>
    <w:p w14:paraId="35682B64" w14:textId="31844B19" w:rsidR="00EB1A95" w:rsidRPr="00EB1A95" w:rsidRDefault="00EB1A95" w:rsidP="00EB1A95">
      <w:pPr>
        <w:suppressAutoHyphens/>
        <w:spacing w:after="0" w:line="1" w:lineRule="atLeast"/>
        <w:ind w:leftChars="-1" w:hangingChars="1" w:hanging="2"/>
        <w:jc w:val="both"/>
        <w:textDirection w:val="btLr"/>
        <w:textAlignment w:val="top"/>
        <w:outlineLvl w:val="0"/>
        <w:rPr>
          <w:rFonts w:ascii="Arial" w:eastAsia="Arial" w:hAnsi="Arial" w:cs="Times New Roman"/>
          <w:position w:val="-1"/>
        </w:rPr>
      </w:pPr>
      <w:r w:rsidRPr="00EB1A95">
        <w:rPr>
          <w:rFonts w:ascii="Arial" w:eastAsia="Arial" w:hAnsi="Arial" w:cs="Times New Roman"/>
          <w:position w:val="-1"/>
        </w:rPr>
        <w:t xml:space="preserve">Genome editing is the only viable methodology to manage the destructive soft-rot disease caused by the oomycete necrotroph </w:t>
      </w:r>
      <w:r w:rsidRPr="00EB1A95">
        <w:rPr>
          <w:rFonts w:ascii="Arial" w:eastAsia="Arial" w:hAnsi="Arial" w:cs="Times New Roman"/>
          <w:i/>
          <w:iCs/>
          <w:position w:val="-1"/>
        </w:rPr>
        <w:t>Pythium myriotylum</w:t>
      </w:r>
      <w:r w:rsidRPr="00EB1A95">
        <w:rPr>
          <w:rFonts w:ascii="Arial" w:eastAsia="Arial" w:hAnsi="Arial" w:cs="Times New Roman"/>
          <w:position w:val="-1"/>
        </w:rPr>
        <w:t xml:space="preserve"> Drechsler in the spice-crop ginger (</w:t>
      </w:r>
      <w:r w:rsidRPr="00EB1A95">
        <w:rPr>
          <w:rFonts w:ascii="Arial" w:eastAsia="Arial" w:hAnsi="Arial" w:cs="Times New Roman"/>
          <w:i/>
          <w:iCs/>
          <w:position w:val="-1"/>
        </w:rPr>
        <w:t xml:space="preserve">Zingiber officinale </w:t>
      </w:r>
      <w:r w:rsidRPr="00EB1A95">
        <w:rPr>
          <w:rFonts w:ascii="Arial" w:eastAsia="Arial" w:hAnsi="Arial" w:cs="Times New Roman"/>
          <w:position w:val="-1"/>
        </w:rPr>
        <w:t xml:space="preserve">Roscoe), because all the ginger cultivars are equally susceptible to soft-rot disease and ginger is obligately asexual. The fundamental pre-requisite for a gene editing initiative is the identification of candidate susceptibility targets. Based on the RNA-seq data obtained from </w:t>
      </w:r>
      <w:r w:rsidRPr="00EB1A95">
        <w:rPr>
          <w:rFonts w:ascii="Arial" w:eastAsia="Arial" w:hAnsi="Arial" w:cs="Times New Roman"/>
          <w:i/>
          <w:iCs/>
          <w:position w:val="-1"/>
        </w:rPr>
        <w:t>P. myriotylum</w:t>
      </w:r>
      <w:r w:rsidRPr="00EB1A95">
        <w:rPr>
          <w:rFonts w:ascii="Arial" w:eastAsia="Arial" w:hAnsi="Arial" w:cs="Times New Roman"/>
          <w:position w:val="-1"/>
        </w:rPr>
        <w:t>-inoculated ginger, we identified a set of putative susceptibility-related genes (S genes). The</w:t>
      </w:r>
      <w:r w:rsidR="007137C7">
        <w:rPr>
          <w:rFonts w:ascii="Arial" w:eastAsia="Arial" w:hAnsi="Arial" w:cs="Times New Roman"/>
          <w:position w:val="-1"/>
        </w:rPr>
        <w:t xml:space="preserve"> expression of the</w:t>
      </w:r>
      <w:r w:rsidRPr="00EB1A95">
        <w:rPr>
          <w:rFonts w:ascii="Arial" w:eastAsia="Arial" w:hAnsi="Arial" w:cs="Times New Roman"/>
          <w:position w:val="-1"/>
        </w:rPr>
        <w:t>se genes w</w:t>
      </w:r>
      <w:r w:rsidR="007137C7">
        <w:rPr>
          <w:rFonts w:ascii="Arial" w:eastAsia="Arial" w:hAnsi="Arial" w:cs="Times New Roman"/>
          <w:position w:val="-1"/>
        </w:rPr>
        <w:t>as</w:t>
      </w:r>
      <w:r w:rsidRPr="00EB1A95">
        <w:rPr>
          <w:rFonts w:ascii="Arial" w:eastAsia="Arial" w:hAnsi="Arial" w:cs="Times New Roman"/>
          <w:position w:val="-1"/>
        </w:rPr>
        <w:t xml:space="preserve"> evaluated </w:t>
      </w:r>
      <w:r w:rsidR="007137C7">
        <w:rPr>
          <w:rFonts w:ascii="Arial" w:eastAsia="Arial" w:hAnsi="Arial" w:cs="Times New Roman"/>
          <w:position w:val="-1"/>
        </w:rPr>
        <w:t>in</w:t>
      </w:r>
      <w:r w:rsidRPr="00EB1A95">
        <w:rPr>
          <w:rFonts w:ascii="Arial" w:eastAsia="Arial" w:hAnsi="Arial" w:cs="Times New Roman"/>
          <w:position w:val="-1"/>
        </w:rPr>
        <w:t xml:space="preserve"> the model plant </w:t>
      </w:r>
      <w:r w:rsidRPr="00EB1A95">
        <w:rPr>
          <w:rFonts w:ascii="Arial" w:eastAsia="Arial" w:hAnsi="Arial" w:cs="Times New Roman"/>
          <w:i/>
          <w:iCs/>
          <w:position w:val="-1"/>
        </w:rPr>
        <w:t>Nicotiana benthamiana</w:t>
      </w:r>
      <w:r w:rsidRPr="00EB1A95">
        <w:rPr>
          <w:rFonts w:ascii="Arial" w:eastAsia="Arial" w:hAnsi="Arial" w:cs="Times New Roman"/>
          <w:position w:val="-1"/>
        </w:rPr>
        <w:t xml:space="preserve"> which is equally susceptible to </w:t>
      </w:r>
      <w:r w:rsidRPr="00EB1A95">
        <w:rPr>
          <w:rFonts w:ascii="Arial" w:eastAsia="Arial" w:hAnsi="Arial" w:cs="Times New Roman"/>
          <w:i/>
          <w:iCs/>
          <w:position w:val="-1"/>
        </w:rPr>
        <w:t>P. myriotylum.</w:t>
      </w:r>
      <w:r w:rsidRPr="00EB1A95">
        <w:rPr>
          <w:rFonts w:ascii="Arial" w:eastAsia="Arial" w:hAnsi="Arial" w:cs="Times New Roman"/>
          <w:position w:val="-1"/>
        </w:rPr>
        <w:t xml:space="preserve"> Of the tested putative S genes, the virus-induced gene silencing (VIGS)</w:t>
      </w:r>
      <w:r>
        <w:rPr>
          <w:rFonts w:ascii="Arial" w:eastAsia="Arial" w:hAnsi="Arial" w:cs="Times New Roman"/>
          <w:position w:val="-1"/>
        </w:rPr>
        <w:t xml:space="preserve"> </w:t>
      </w:r>
      <w:r w:rsidRPr="00EB1A95">
        <w:rPr>
          <w:rFonts w:ascii="Arial" w:eastAsia="Arial" w:hAnsi="Arial" w:cs="Times New Roman"/>
          <w:position w:val="-1"/>
        </w:rPr>
        <w:t>of two genes</w:t>
      </w:r>
      <w:r w:rsidR="007137C7">
        <w:rPr>
          <w:rFonts w:ascii="Arial" w:eastAsia="Arial" w:hAnsi="Arial" w:cs="Times New Roman"/>
          <w:position w:val="-1"/>
        </w:rPr>
        <w:t xml:space="preserve"> </w:t>
      </w:r>
      <w:r w:rsidRPr="00EB1A95">
        <w:rPr>
          <w:rFonts w:ascii="Arial" w:eastAsia="Arial" w:hAnsi="Arial" w:cs="Times New Roman"/>
          <w:position w:val="-1"/>
        </w:rPr>
        <w:t xml:space="preserve">produced tolerance or resistance in </w:t>
      </w:r>
      <w:r w:rsidRPr="00EB1A95">
        <w:rPr>
          <w:rFonts w:ascii="Arial" w:eastAsia="Arial" w:hAnsi="Arial" w:cs="Times New Roman"/>
          <w:i/>
          <w:iCs/>
          <w:position w:val="-1"/>
        </w:rPr>
        <w:t>N. benthamiana.</w:t>
      </w:r>
      <w:r w:rsidR="00DA18DE">
        <w:rPr>
          <w:rFonts w:ascii="Arial" w:eastAsia="Arial" w:hAnsi="Arial" w:cs="Times New Roman"/>
          <w:i/>
          <w:iCs/>
          <w:position w:val="-1"/>
        </w:rPr>
        <w:t xml:space="preserve"> </w:t>
      </w:r>
      <w:r w:rsidR="007137C7">
        <w:rPr>
          <w:rFonts w:ascii="Arial" w:eastAsia="Arial" w:hAnsi="Arial" w:cs="Times New Roman"/>
          <w:position w:val="-1"/>
        </w:rPr>
        <w:t xml:space="preserve">One of the genes </w:t>
      </w:r>
      <w:r w:rsidRPr="00EB1A95">
        <w:rPr>
          <w:rFonts w:ascii="Arial" w:eastAsia="Arial" w:hAnsi="Arial" w:cs="Times New Roman"/>
          <w:position w:val="-1"/>
        </w:rPr>
        <w:t xml:space="preserve">was involved in glycolytic metabolism, and ABA-signalling pathway </w:t>
      </w:r>
      <w:r w:rsidR="007137C7">
        <w:rPr>
          <w:rFonts w:ascii="Arial" w:eastAsia="Arial" w:hAnsi="Arial" w:cs="Times New Roman"/>
          <w:position w:val="-1"/>
        </w:rPr>
        <w:t>whereas the other gene</w:t>
      </w:r>
      <w:r w:rsidRPr="00EB1A95">
        <w:rPr>
          <w:rFonts w:ascii="Arial" w:eastAsia="Arial" w:hAnsi="Arial" w:cs="Times New Roman"/>
          <w:position w:val="-1"/>
        </w:rPr>
        <w:t xml:space="preserve"> was involved in JA-signalling pathway. The</w:t>
      </w:r>
      <w:r>
        <w:rPr>
          <w:rFonts w:ascii="Arial" w:eastAsia="Arial" w:hAnsi="Arial" w:cs="Times New Roman"/>
          <w:position w:val="-1"/>
        </w:rPr>
        <w:t>se</w:t>
      </w:r>
      <w:r w:rsidRPr="00EB1A95">
        <w:rPr>
          <w:rFonts w:ascii="Arial" w:eastAsia="Arial" w:hAnsi="Arial" w:cs="Times New Roman"/>
          <w:position w:val="-1"/>
        </w:rPr>
        <w:t xml:space="preserve"> two successful genes are shown to be involved in susceptibility induction in other plant species. The silencing of the tested genes was evaluated using RT-qPCR and the down-stream consequences of the silencing was assessed histopathological and gene expression methods. The study identified putative susceptibility genes which hold great promise in genome editing for soft-rot management in ginger.</w:t>
      </w:r>
    </w:p>
    <w:p w14:paraId="7B9B74DA" w14:textId="77777777" w:rsidR="00EB1A95" w:rsidRPr="0072342E" w:rsidRDefault="00EB1A95" w:rsidP="0042797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B1A95" w:rsidRPr="00723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6D0E"/>
    <w:rsid w:val="00046D0E"/>
    <w:rsid w:val="00084EF0"/>
    <w:rsid w:val="001F7709"/>
    <w:rsid w:val="00252A16"/>
    <w:rsid w:val="0042797A"/>
    <w:rsid w:val="0048745B"/>
    <w:rsid w:val="004B1446"/>
    <w:rsid w:val="00624CB7"/>
    <w:rsid w:val="006B3B33"/>
    <w:rsid w:val="007137C7"/>
    <w:rsid w:val="0072342E"/>
    <w:rsid w:val="00834445"/>
    <w:rsid w:val="009F0FA7"/>
    <w:rsid w:val="00BB4F3A"/>
    <w:rsid w:val="00D73850"/>
    <w:rsid w:val="00D81066"/>
    <w:rsid w:val="00DA18DE"/>
    <w:rsid w:val="00EB1A95"/>
    <w:rsid w:val="00F4668F"/>
    <w:rsid w:val="00F64606"/>
    <w:rsid w:val="00FB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729B"/>
  <w15:docId w15:val="{5DA3B6C0-D6D4-4EC4-9037-830044BD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</dc:creator>
  <cp:keywords/>
  <dc:description/>
  <cp:lastModifiedBy>jOyOuS</cp:lastModifiedBy>
  <cp:revision>8</cp:revision>
  <dcterms:created xsi:type="dcterms:W3CDTF">2023-01-10T07:02:00Z</dcterms:created>
  <dcterms:modified xsi:type="dcterms:W3CDTF">2023-01-12T17:29:00Z</dcterms:modified>
</cp:coreProperties>
</file>