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F1B9" w14:textId="3838FB1C" w:rsidR="00B07498" w:rsidRPr="005C1291" w:rsidRDefault="00B07498">
      <w:pPr>
        <w:rPr>
          <w:rFonts w:ascii="Arial" w:hAnsi="Arial" w:cs="Arial"/>
          <w:b/>
          <w:bCs/>
          <w:sz w:val="24"/>
          <w:szCs w:val="24"/>
        </w:rPr>
      </w:pPr>
      <w:r w:rsidRPr="005C1291">
        <w:rPr>
          <w:rFonts w:ascii="Arial" w:hAnsi="Arial" w:cs="Arial"/>
          <w:b/>
          <w:bCs/>
          <w:sz w:val="24"/>
          <w:szCs w:val="24"/>
        </w:rPr>
        <w:t>Title: Characterization of seedlessness in interspecific grape hybrid ARI 516</w:t>
      </w:r>
    </w:p>
    <w:p w14:paraId="333DB7BD" w14:textId="7267073D" w:rsidR="00B07498" w:rsidRPr="005C1291" w:rsidRDefault="00B07498" w:rsidP="005C1291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291">
        <w:rPr>
          <w:rFonts w:ascii="Times New Roman" w:hAnsi="Times New Roman" w:cs="Times New Roman"/>
          <w:sz w:val="24"/>
          <w:szCs w:val="24"/>
          <w:u w:val="single"/>
        </w:rPr>
        <w:t>Siddhi Chavan</w:t>
      </w:r>
      <w:r w:rsidRPr="005C1291">
        <w:rPr>
          <w:rFonts w:ascii="Times New Roman" w:hAnsi="Times New Roman" w:cs="Times New Roman"/>
          <w:sz w:val="24"/>
          <w:szCs w:val="24"/>
          <w:vertAlign w:val="superscript"/>
        </w:rPr>
        <w:t>1,2</w:t>
      </w:r>
      <w:r w:rsidRPr="005C1291">
        <w:rPr>
          <w:rFonts w:ascii="Times New Roman" w:hAnsi="Times New Roman" w:cs="Times New Roman"/>
          <w:sz w:val="24"/>
          <w:szCs w:val="24"/>
        </w:rPr>
        <w:t>, Sujata Tetali</w:t>
      </w:r>
      <w:r w:rsidRPr="005C1291">
        <w:rPr>
          <w:rFonts w:ascii="Times New Roman" w:hAnsi="Times New Roman" w:cs="Times New Roman"/>
          <w:sz w:val="24"/>
          <w:szCs w:val="24"/>
          <w:vertAlign w:val="superscript"/>
        </w:rPr>
        <w:t>1,2</w:t>
      </w:r>
      <w:r w:rsidRPr="005C1291">
        <w:rPr>
          <w:rFonts w:ascii="Times New Roman" w:hAnsi="Times New Roman" w:cs="Times New Roman"/>
          <w:sz w:val="24"/>
          <w:szCs w:val="24"/>
        </w:rPr>
        <w:t>, Ravindra Patil</w:t>
      </w:r>
      <w:r w:rsidRPr="005C1291">
        <w:rPr>
          <w:rFonts w:ascii="Times New Roman" w:hAnsi="Times New Roman" w:cs="Times New Roman"/>
          <w:sz w:val="24"/>
          <w:szCs w:val="24"/>
          <w:vertAlign w:val="superscript"/>
        </w:rPr>
        <w:t>1,</w:t>
      </w:r>
      <w:proofErr w:type="gramStart"/>
      <w:r w:rsidRPr="005C1291">
        <w:rPr>
          <w:rFonts w:ascii="Times New Roman" w:hAnsi="Times New Roman" w:cs="Times New Roman"/>
          <w:sz w:val="24"/>
          <w:szCs w:val="24"/>
          <w:vertAlign w:val="superscript"/>
        </w:rPr>
        <w:t>2,</w:t>
      </w:r>
      <w:r w:rsidRPr="005C1291">
        <w:rPr>
          <w:rFonts w:ascii="Times New Roman" w:hAnsi="Times New Roman" w:cs="Times New Roman"/>
          <w:sz w:val="24"/>
          <w:szCs w:val="24"/>
        </w:rPr>
        <w:t>*</w:t>
      </w:r>
      <w:proofErr w:type="gramEnd"/>
    </w:p>
    <w:p w14:paraId="2B551AFD" w14:textId="4EF9F5FA" w:rsidR="00B07498" w:rsidRPr="00B07498" w:rsidRDefault="00B07498" w:rsidP="005C12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07498">
        <w:rPr>
          <w:rFonts w:ascii="Times New Roman" w:hAnsi="Times New Roman"/>
          <w:sz w:val="24"/>
          <w:szCs w:val="24"/>
          <w:vertAlign w:val="superscript"/>
        </w:rPr>
        <w:t>1</w:t>
      </w:r>
      <w:r w:rsidRPr="00F62043">
        <w:rPr>
          <w:rFonts w:ascii="Times New Roman" w:hAnsi="Times New Roman"/>
          <w:sz w:val="24"/>
          <w:szCs w:val="24"/>
        </w:rPr>
        <w:t>MACS</w:t>
      </w:r>
      <w:r w:rsidRPr="00B07498">
        <w:rPr>
          <w:rFonts w:ascii="Times New Roman" w:hAnsi="Times New Roman"/>
          <w:sz w:val="24"/>
          <w:szCs w:val="24"/>
        </w:rPr>
        <w:t xml:space="preserve"> Agharkar Research Institute, G. G. Agarkar Road, Pune 411 004, India</w:t>
      </w:r>
    </w:p>
    <w:p w14:paraId="7AF92FC0" w14:textId="665E5361" w:rsidR="00B07498" w:rsidRPr="00B07498" w:rsidRDefault="00B07498" w:rsidP="005C12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07498">
        <w:rPr>
          <w:rFonts w:ascii="Times New Roman" w:hAnsi="Times New Roman"/>
          <w:sz w:val="24"/>
          <w:szCs w:val="24"/>
          <w:vertAlign w:val="superscript"/>
        </w:rPr>
        <w:t>2</w:t>
      </w:r>
      <w:r w:rsidRPr="00B07498">
        <w:rPr>
          <w:rFonts w:ascii="Times New Roman" w:hAnsi="Times New Roman"/>
          <w:sz w:val="24"/>
          <w:szCs w:val="24"/>
        </w:rPr>
        <w:t xml:space="preserve">Savitribai Phule Pune University, Ganesh </w:t>
      </w:r>
      <w:proofErr w:type="spellStart"/>
      <w:r w:rsidRPr="00B07498">
        <w:rPr>
          <w:rFonts w:ascii="Times New Roman" w:hAnsi="Times New Roman"/>
          <w:sz w:val="24"/>
          <w:szCs w:val="24"/>
        </w:rPr>
        <w:t>Khind</w:t>
      </w:r>
      <w:proofErr w:type="spellEnd"/>
      <w:r w:rsidRPr="00B07498">
        <w:rPr>
          <w:rFonts w:ascii="Times New Roman" w:hAnsi="Times New Roman"/>
          <w:sz w:val="24"/>
          <w:szCs w:val="24"/>
        </w:rPr>
        <w:t>, Pune 411 004, India.</w:t>
      </w:r>
    </w:p>
    <w:p w14:paraId="44A9E2C5" w14:textId="77777777" w:rsidR="00B07498" w:rsidRPr="00B07498" w:rsidRDefault="00B07498" w:rsidP="005C12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46D6985" w14:textId="29BFBB88" w:rsidR="00B07498" w:rsidRPr="005C1291" w:rsidRDefault="00B07498" w:rsidP="005C1291">
      <w:pPr>
        <w:spacing w:after="0"/>
        <w:jc w:val="center"/>
        <w:rPr>
          <w:rFonts w:ascii="Times New Roman" w:hAnsi="Times New Roman"/>
          <w:iCs/>
          <w:sz w:val="24"/>
          <w:szCs w:val="24"/>
        </w:rPr>
      </w:pPr>
      <w:r w:rsidRPr="005C1291">
        <w:rPr>
          <w:rFonts w:ascii="Times New Roman" w:hAnsi="Times New Roman"/>
          <w:iCs/>
          <w:sz w:val="24"/>
          <w:szCs w:val="24"/>
        </w:rPr>
        <w:t xml:space="preserve">*Corresponding author </w:t>
      </w:r>
      <w:r w:rsidR="005C1291">
        <w:rPr>
          <w:rFonts w:ascii="Times New Roman" w:hAnsi="Times New Roman"/>
          <w:iCs/>
          <w:sz w:val="24"/>
          <w:szCs w:val="24"/>
        </w:rPr>
        <w:t>e-mail</w:t>
      </w:r>
      <w:r w:rsidRPr="005C1291">
        <w:rPr>
          <w:rFonts w:ascii="Times New Roman" w:hAnsi="Times New Roman"/>
          <w:iCs/>
          <w:sz w:val="24"/>
          <w:szCs w:val="24"/>
        </w:rPr>
        <w:t xml:space="preserve">: </w:t>
      </w:r>
      <w:hyperlink r:id="rId4" w:history="1">
        <w:r w:rsidRPr="005C1291">
          <w:rPr>
            <w:rStyle w:val="Hyperlink"/>
            <w:rFonts w:ascii="Times New Roman" w:hAnsi="Times New Roman"/>
            <w:iCs/>
            <w:sz w:val="24"/>
            <w:szCs w:val="24"/>
          </w:rPr>
          <w:t>rmpatil@aripune.org</w:t>
        </w:r>
      </w:hyperlink>
    </w:p>
    <w:p w14:paraId="013DCB97" w14:textId="77777777" w:rsidR="00B07498" w:rsidRDefault="00B07498" w:rsidP="005C12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04C04" w14:textId="44A260F8" w:rsidR="007832AE" w:rsidRPr="005C1291" w:rsidRDefault="005C3C58" w:rsidP="00426C98">
      <w:pPr>
        <w:jc w:val="both"/>
        <w:rPr>
          <w:rFonts w:ascii="Arial" w:hAnsi="Arial" w:cs="Arial"/>
          <w:b/>
          <w:bCs/>
        </w:rPr>
      </w:pPr>
      <w:r w:rsidRPr="005C1291">
        <w:rPr>
          <w:rFonts w:ascii="Arial" w:hAnsi="Arial" w:cs="Arial"/>
          <w:b/>
          <w:bCs/>
        </w:rPr>
        <w:t>Abstract</w:t>
      </w:r>
    </w:p>
    <w:p w14:paraId="4487179C" w14:textId="2466E44F" w:rsidR="00A72666" w:rsidRPr="005C1291" w:rsidRDefault="005C3C58" w:rsidP="00426C98">
      <w:pPr>
        <w:jc w:val="both"/>
        <w:rPr>
          <w:rFonts w:ascii="Arial" w:eastAsia="Calibri" w:hAnsi="Arial" w:cs="Arial"/>
        </w:rPr>
      </w:pPr>
      <w:r w:rsidRPr="005C1291">
        <w:rPr>
          <w:rFonts w:ascii="Arial" w:hAnsi="Arial" w:cs="Arial"/>
          <w:b/>
          <w:bCs/>
        </w:rPr>
        <w:t>Background</w:t>
      </w:r>
      <w:r w:rsidR="00607FD6" w:rsidRPr="005C1291">
        <w:rPr>
          <w:rFonts w:ascii="Arial" w:hAnsi="Arial" w:cs="Arial"/>
          <w:b/>
          <w:bCs/>
        </w:rPr>
        <w:t>:</w:t>
      </w:r>
      <w:r w:rsidR="00607FD6" w:rsidRPr="005C1291">
        <w:rPr>
          <w:rFonts w:ascii="Arial" w:hAnsi="Arial" w:cs="Arial"/>
        </w:rPr>
        <w:t xml:space="preserve"> </w:t>
      </w:r>
      <w:r w:rsidR="003F5F20" w:rsidRPr="005C1291">
        <w:rPr>
          <w:rFonts w:ascii="Arial" w:eastAsia="Calibri" w:hAnsi="Arial" w:cs="Arial"/>
          <w:color w:val="000000"/>
        </w:rPr>
        <w:t xml:space="preserve">Seedless grapes are in great demand for </w:t>
      </w:r>
      <w:r w:rsidR="0014314B" w:rsidRPr="005C1291">
        <w:rPr>
          <w:rFonts w:ascii="Arial" w:eastAsia="Calibri" w:hAnsi="Arial" w:cs="Arial"/>
          <w:color w:val="000000"/>
        </w:rPr>
        <w:t>fresh and</w:t>
      </w:r>
      <w:r w:rsidR="003F5F20" w:rsidRPr="005C1291">
        <w:rPr>
          <w:rFonts w:ascii="Arial" w:eastAsia="Calibri" w:hAnsi="Arial" w:cs="Arial"/>
          <w:color w:val="000000"/>
        </w:rPr>
        <w:t xml:space="preserve"> dry fruit consumption.</w:t>
      </w:r>
      <w:r w:rsidR="001B4666" w:rsidRPr="005C1291">
        <w:rPr>
          <w:rFonts w:ascii="Arial" w:eastAsia="Calibri" w:hAnsi="Arial" w:cs="Arial"/>
        </w:rPr>
        <w:t xml:space="preserve"> Seedlessness in </w:t>
      </w:r>
      <w:r w:rsidR="0014314B" w:rsidRPr="005C1291">
        <w:rPr>
          <w:rFonts w:ascii="Arial" w:eastAsia="Calibri" w:hAnsi="Arial" w:cs="Arial"/>
        </w:rPr>
        <w:t>grapes (</w:t>
      </w:r>
      <w:r w:rsidR="001B4666" w:rsidRPr="005C1291">
        <w:rPr>
          <w:rFonts w:ascii="Arial" w:eastAsia="Calibri" w:hAnsi="Arial" w:cs="Arial"/>
          <w:i/>
          <w:iCs/>
        </w:rPr>
        <w:t>Vitis vinifera</w:t>
      </w:r>
      <w:r w:rsidR="0014314B" w:rsidRPr="005C1291">
        <w:rPr>
          <w:rFonts w:ascii="Arial" w:eastAsia="Calibri" w:hAnsi="Arial" w:cs="Arial"/>
        </w:rPr>
        <w:t>)</w:t>
      </w:r>
      <w:r w:rsidR="001B4666" w:rsidRPr="005C1291">
        <w:rPr>
          <w:rFonts w:ascii="Arial" w:eastAsia="Calibri" w:hAnsi="Arial" w:cs="Arial"/>
        </w:rPr>
        <w:t xml:space="preserve"> is triggered by two different mechanisms</w:t>
      </w:r>
      <w:r w:rsidR="0014314B" w:rsidRPr="005C1291">
        <w:rPr>
          <w:rFonts w:ascii="Arial" w:eastAsia="Calibri" w:hAnsi="Arial" w:cs="Arial"/>
        </w:rPr>
        <w:t>:</w:t>
      </w:r>
      <w:r w:rsidR="001B4666" w:rsidRPr="005C1291">
        <w:rPr>
          <w:rFonts w:ascii="Arial" w:eastAsia="Calibri" w:hAnsi="Arial" w:cs="Arial"/>
        </w:rPr>
        <w:t xml:space="preserve"> stenospermocarpy and parthenocarpy. </w:t>
      </w:r>
      <w:r w:rsidR="001B4666" w:rsidRPr="005C1291">
        <w:rPr>
          <w:rFonts w:ascii="Arial" w:eastAsia="Times New Roman" w:hAnsi="Arial" w:cs="Arial"/>
          <w:lang w:bidi="hi-IN"/>
        </w:rPr>
        <w:t xml:space="preserve">However, the key regulators of seed development and their targets </w:t>
      </w:r>
      <w:r w:rsidR="0014314B" w:rsidRPr="005C1291">
        <w:rPr>
          <w:rFonts w:ascii="Arial" w:eastAsia="Times New Roman" w:hAnsi="Arial" w:cs="Arial"/>
          <w:lang w:bidi="hi-IN"/>
        </w:rPr>
        <w:t xml:space="preserve">in grapes </w:t>
      </w:r>
      <w:r w:rsidR="001B4666" w:rsidRPr="005C1291">
        <w:rPr>
          <w:rFonts w:ascii="Arial" w:eastAsia="Times New Roman" w:hAnsi="Arial" w:cs="Arial"/>
          <w:lang w:bidi="hi-IN"/>
        </w:rPr>
        <w:t>are not well characterized.</w:t>
      </w:r>
      <w:r w:rsidR="0014314B" w:rsidRPr="005C1291">
        <w:rPr>
          <w:rFonts w:ascii="Arial" w:eastAsia="Times New Roman" w:hAnsi="Arial" w:cs="Arial"/>
          <w:lang w:bidi="hi-IN"/>
        </w:rPr>
        <w:t xml:space="preserve"> In the present study, seeded grape</w:t>
      </w:r>
      <w:r w:rsidR="00B07498" w:rsidRPr="005C1291">
        <w:rPr>
          <w:rFonts w:ascii="Arial" w:eastAsia="Times New Roman" w:hAnsi="Arial" w:cs="Arial"/>
          <w:lang w:bidi="hi-IN"/>
        </w:rPr>
        <w:t xml:space="preserve"> hybrid</w:t>
      </w:r>
      <w:r w:rsidR="0014314B" w:rsidRPr="005C1291">
        <w:rPr>
          <w:rFonts w:ascii="Arial" w:eastAsia="Times New Roman" w:hAnsi="Arial" w:cs="Arial"/>
          <w:lang w:bidi="hi-IN"/>
        </w:rPr>
        <w:t xml:space="preserve"> ARI 516 and its seedless mutant were used to understand</w:t>
      </w:r>
      <w:r w:rsidR="00A72666" w:rsidRPr="005C1291">
        <w:rPr>
          <w:rFonts w:ascii="Arial" w:eastAsia="Times New Roman" w:hAnsi="Arial" w:cs="Arial"/>
          <w:lang w:bidi="hi-IN"/>
        </w:rPr>
        <w:t xml:space="preserve"> </w:t>
      </w:r>
      <w:r w:rsidR="00A72666" w:rsidRPr="005C1291">
        <w:rPr>
          <w:rFonts w:ascii="Arial" w:eastAsia="Calibri" w:hAnsi="Arial" w:cs="Arial"/>
        </w:rPr>
        <w:t xml:space="preserve">the molecular mechanisms controlling the </w:t>
      </w:r>
      <w:r w:rsidR="0014314B" w:rsidRPr="005C1291">
        <w:rPr>
          <w:rFonts w:ascii="Arial" w:eastAsia="Calibri" w:hAnsi="Arial" w:cs="Arial"/>
        </w:rPr>
        <w:t xml:space="preserve">seedless </w:t>
      </w:r>
      <w:r w:rsidR="00A72666" w:rsidRPr="005C1291">
        <w:rPr>
          <w:rFonts w:ascii="Arial" w:eastAsia="Calibri" w:hAnsi="Arial" w:cs="Arial"/>
        </w:rPr>
        <w:t xml:space="preserve">phenotype </w:t>
      </w:r>
      <w:r w:rsidR="0014314B" w:rsidRPr="005C1291">
        <w:rPr>
          <w:rFonts w:ascii="Arial" w:eastAsia="Calibri" w:hAnsi="Arial" w:cs="Arial"/>
        </w:rPr>
        <w:t xml:space="preserve">in grapes. Along with the berry morphology, macro- and microgametogenesis were studied, </w:t>
      </w:r>
      <w:r w:rsidR="00607FD6" w:rsidRPr="005C1291">
        <w:rPr>
          <w:rFonts w:ascii="Arial" w:eastAsia="Calibri" w:hAnsi="Arial" w:cs="Arial"/>
        </w:rPr>
        <w:t xml:space="preserve">followed by the analysis of </w:t>
      </w:r>
      <w:r w:rsidR="00A72666" w:rsidRPr="005C1291">
        <w:rPr>
          <w:rFonts w:ascii="Arial" w:eastAsia="Calibri" w:hAnsi="Arial" w:cs="Arial"/>
        </w:rPr>
        <w:t xml:space="preserve">the </w:t>
      </w:r>
      <w:r w:rsidR="0014314B" w:rsidRPr="005C1291">
        <w:rPr>
          <w:rFonts w:ascii="Arial" w:eastAsia="Calibri" w:hAnsi="Arial" w:cs="Arial"/>
        </w:rPr>
        <w:t xml:space="preserve">genome-wide </w:t>
      </w:r>
      <w:r w:rsidR="00A72666" w:rsidRPr="005C1291">
        <w:rPr>
          <w:rFonts w:ascii="Arial" w:eastAsia="Calibri" w:hAnsi="Arial" w:cs="Arial"/>
        </w:rPr>
        <w:t xml:space="preserve">transcriptional responses potentially </w:t>
      </w:r>
      <w:r w:rsidR="0014314B" w:rsidRPr="005C1291">
        <w:rPr>
          <w:rFonts w:ascii="Arial" w:eastAsia="Calibri" w:hAnsi="Arial" w:cs="Arial"/>
        </w:rPr>
        <w:t>associated with</w:t>
      </w:r>
      <w:r w:rsidR="00A72666" w:rsidRPr="005C1291">
        <w:rPr>
          <w:rFonts w:ascii="Arial" w:eastAsia="Calibri" w:hAnsi="Arial" w:cs="Arial"/>
        </w:rPr>
        <w:t xml:space="preserve"> seed </w:t>
      </w:r>
      <w:r w:rsidR="0014314B" w:rsidRPr="005C1291">
        <w:rPr>
          <w:rFonts w:ascii="Arial" w:eastAsia="Calibri" w:hAnsi="Arial" w:cs="Arial"/>
        </w:rPr>
        <w:t xml:space="preserve">formation </w:t>
      </w:r>
      <w:r w:rsidR="00607FD6" w:rsidRPr="005C1291">
        <w:rPr>
          <w:rFonts w:ascii="Arial" w:eastAsia="Calibri" w:hAnsi="Arial" w:cs="Arial"/>
        </w:rPr>
        <w:t>at three developmental stages</w:t>
      </w:r>
      <w:r w:rsidR="0014314B" w:rsidRPr="005C1291">
        <w:rPr>
          <w:rFonts w:ascii="Arial" w:eastAsia="Calibri" w:hAnsi="Arial" w:cs="Arial"/>
        </w:rPr>
        <w:t xml:space="preserve"> in grapes.</w:t>
      </w:r>
      <w:r w:rsidR="00607FD6" w:rsidRPr="005C1291">
        <w:rPr>
          <w:rFonts w:ascii="Arial" w:eastAsia="Calibri" w:hAnsi="Arial" w:cs="Arial"/>
        </w:rPr>
        <w:t xml:space="preserve"> </w:t>
      </w:r>
    </w:p>
    <w:p w14:paraId="09F86041" w14:textId="79D3CE1B" w:rsidR="0014314B" w:rsidRPr="005C1291" w:rsidRDefault="00566725" w:rsidP="00426C98">
      <w:pPr>
        <w:jc w:val="both"/>
        <w:rPr>
          <w:rFonts w:ascii="Arial" w:hAnsi="Arial" w:cs="Arial"/>
        </w:rPr>
      </w:pPr>
      <w:r w:rsidRPr="005C1291">
        <w:rPr>
          <w:rFonts w:ascii="Arial" w:hAnsi="Arial" w:cs="Arial"/>
          <w:b/>
          <w:bCs/>
        </w:rPr>
        <w:t>Results:</w:t>
      </w:r>
      <w:r w:rsidRPr="005C1291">
        <w:rPr>
          <w:rFonts w:ascii="Arial" w:hAnsi="Arial" w:cs="Arial"/>
        </w:rPr>
        <w:t xml:space="preserve"> </w:t>
      </w:r>
      <w:r w:rsidR="0014314B" w:rsidRPr="005C1291">
        <w:rPr>
          <w:rFonts w:ascii="Arial" w:hAnsi="Arial" w:cs="Arial"/>
        </w:rPr>
        <w:t xml:space="preserve">Gametogenesis studies revealed that </w:t>
      </w:r>
      <w:r w:rsidRPr="005C1291">
        <w:rPr>
          <w:rFonts w:ascii="Arial" w:hAnsi="Arial" w:cs="Arial"/>
        </w:rPr>
        <w:t xml:space="preserve">74.16% </w:t>
      </w:r>
      <w:r w:rsidR="0014314B" w:rsidRPr="005C1291">
        <w:rPr>
          <w:rFonts w:ascii="Arial" w:hAnsi="Arial" w:cs="Arial"/>
        </w:rPr>
        <w:t>of the</w:t>
      </w:r>
      <w:r w:rsidRPr="005C1291">
        <w:rPr>
          <w:rFonts w:ascii="Arial" w:hAnsi="Arial" w:cs="Arial"/>
        </w:rPr>
        <w:t xml:space="preserve"> </w:t>
      </w:r>
      <w:r w:rsidR="000B5871" w:rsidRPr="005C1291">
        <w:rPr>
          <w:rFonts w:ascii="Arial" w:hAnsi="Arial" w:cs="Arial"/>
        </w:rPr>
        <w:t>pollen</w:t>
      </w:r>
      <w:r w:rsidR="0014314B" w:rsidRPr="005C1291">
        <w:rPr>
          <w:rFonts w:ascii="Arial" w:hAnsi="Arial" w:cs="Arial"/>
        </w:rPr>
        <w:t>s</w:t>
      </w:r>
      <w:r w:rsidRPr="005C1291">
        <w:rPr>
          <w:rFonts w:ascii="Arial" w:hAnsi="Arial" w:cs="Arial"/>
        </w:rPr>
        <w:t xml:space="preserve"> in ARI-516 </w:t>
      </w:r>
      <w:r w:rsidR="0014314B" w:rsidRPr="005C1291">
        <w:rPr>
          <w:rFonts w:ascii="Arial" w:hAnsi="Arial" w:cs="Arial"/>
        </w:rPr>
        <w:t xml:space="preserve">have normal morphology, </w:t>
      </w:r>
      <w:r w:rsidRPr="005C1291">
        <w:rPr>
          <w:rFonts w:ascii="Arial" w:hAnsi="Arial" w:cs="Arial"/>
        </w:rPr>
        <w:t xml:space="preserve">whereas </w:t>
      </w:r>
      <w:r w:rsidR="0014314B" w:rsidRPr="005C1291">
        <w:rPr>
          <w:rFonts w:ascii="Arial" w:hAnsi="Arial" w:cs="Arial"/>
        </w:rPr>
        <w:t xml:space="preserve">merely </w:t>
      </w:r>
      <w:r w:rsidRPr="005C1291">
        <w:rPr>
          <w:rFonts w:ascii="Arial" w:hAnsi="Arial" w:cs="Arial"/>
        </w:rPr>
        <w:t>17.28</w:t>
      </w:r>
      <w:r w:rsidR="00E8022B" w:rsidRPr="005C1291">
        <w:rPr>
          <w:rFonts w:ascii="Arial" w:hAnsi="Arial" w:cs="Arial"/>
        </w:rPr>
        <w:t xml:space="preserve">% </w:t>
      </w:r>
      <w:r w:rsidR="0014314B" w:rsidRPr="005C1291">
        <w:rPr>
          <w:rFonts w:ascii="Arial" w:hAnsi="Arial" w:cs="Arial"/>
        </w:rPr>
        <w:t xml:space="preserve">of the </w:t>
      </w:r>
      <w:r w:rsidRPr="005C1291">
        <w:rPr>
          <w:rFonts w:ascii="Arial" w:hAnsi="Arial" w:cs="Arial"/>
        </w:rPr>
        <w:t>pollen</w:t>
      </w:r>
      <w:r w:rsidR="004309EA" w:rsidRPr="005C1291">
        <w:rPr>
          <w:rFonts w:ascii="Arial" w:hAnsi="Arial" w:cs="Arial"/>
        </w:rPr>
        <w:t xml:space="preserve"> in </w:t>
      </w:r>
      <w:r w:rsidR="0014314B" w:rsidRPr="005C1291">
        <w:rPr>
          <w:rFonts w:ascii="Arial" w:hAnsi="Arial" w:cs="Arial"/>
        </w:rPr>
        <w:t>the seedless mutant were normal in shape and size</w:t>
      </w:r>
      <w:r w:rsidR="004309EA" w:rsidRPr="005C1291">
        <w:rPr>
          <w:rFonts w:ascii="Arial" w:hAnsi="Arial" w:cs="Arial"/>
        </w:rPr>
        <w:t xml:space="preserve">. </w:t>
      </w:r>
      <w:r w:rsidR="0014314B" w:rsidRPr="005C1291">
        <w:rPr>
          <w:rFonts w:ascii="Arial" w:hAnsi="Arial" w:cs="Arial"/>
        </w:rPr>
        <w:t>The seedless mutant showed 13.07% pollen</w:t>
      </w:r>
      <w:r w:rsidR="000B5871" w:rsidRPr="005C1291">
        <w:rPr>
          <w:rFonts w:ascii="Arial" w:hAnsi="Arial" w:cs="Arial"/>
        </w:rPr>
        <w:t xml:space="preserve"> viability</w:t>
      </w:r>
      <w:r w:rsidR="004309EA" w:rsidRPr="005C1291">
        <w:rPr>
          <w:rFonts w:ascii="Arial" w:hAnsi="Arial" w:cs="Arial"/>
        </w:rPr>
        <w:t xml:space="preserve"> </w:t>
      </w:r>
      <w:r w:rsidR="0014314B" w:rsidRPr="005C1291">
        <w:rPr>
          <w:rFonts w:ascii="Arial" w:hAnsi="Arial" w:cs="Arial"/>
        </w:rPr>
        <w:t>compared to 69.87% in wild-type parent ARI 516</w:t>
      </w:r>
      <w:r w:rsidR="00E8022B" w:rsidRPr="005C1291">
        <w:rPr>
          <w:rFonts w:ascii="Arial" w:hAnsi="Arial" w:cs="Arial"/>
        </w:rPr>
        <w:t xml:space="preserve">. Further, </w:t>
      </w:r>
      <w:r w:rsidR="0014314B" w:rsidRPr="005C1291">
        <w:rPr>
          <w:rFonts w:ascii="Arial" w:hAnsi="Arial" w:cs="Arial"/>
        </w:rPr>
        <w:t>the pollen</w:t>
      </w:r>
      <w:r w:rsidR="000B5871" w:rsidRPr="005C1291">
        <w:rPr>
          <w:rFonts w:ascii="Arial" w:hAnsi="Arial" w:cs="Arial"/>
        </w:rPr>
        <w:t xml:space="preserve"> </w:t>
      </w:r>
      <w:r w:rsidR="00E8022B" w:rsidRPr="005C1291">
        <w:rPr>
          <w:rFonts w:ascii="Arial" w:hAnsi="Arial" w:cs="Arial"/>
        </w:rPr>
        <w:t>g</w:t>
      </w:r>
      <w:r w:rsidR="004309EA" w:rsidRPr="005C1291">
        <w:rPr>
          <w:rFonts w:ascii="Arial" w:hAnsi="Arial" w:cs="Arial"/>
        </w:rPr>
        <w:t xml:space="preserve">ermination study </w:t>
      </w:r>
      <w:r w:rsidR="0014314B" w:rsidRPr="005C1291">
        <w:rPr>
          <w:rFonts w:ascii="Arial" w:hAnsi="Arial" w:cs="Arial"/>
        </w:rPr>
        <w:t xml:space="preserve">confirmed </w:t>
      </w:r>
      <w:r w:rsidR="00E8022B" w:rsidRPr="005C1291">
        <w:rPr>
          <w:rFonts w:ascii="Arial" w:hAnsi="Arial" w:cs="Arial"/>
        </w:rPr>
        <w:t>pollen</w:t>
      </w:r>
      <w:r w:rsidR="004309EA" w:rsidRPr="005C1291">
        <w:rPr>
          <w:rFonts w:ascii="Arial" w:hAnsi="Arial" w:cs="Arial"/>
        </w:rPr>
        <w:t xml:space="preserve"> sterility in </w:t>
      </w:r>
      <w:r w:rsidR="0014314B" w:rsidRPr="005C1291">
        <w:rPr>
          <w:rFonts w:ascii="Arial" w:hAnsi="Arial" w:cs="Arial"/>
        </w:rPr>
        <w:t>the seedless mutant</w:t>
      </w:r>
      <w:r w:rsidR="004309EA" w:rsidRPr="005C1291">
        <w:rPr>
          <w:rFonts w:ascii="Arial" w:hAnsi="Arial" w:cs="Arial"/>
        </w:rPr>
        <w:t xml:space="preserve">. Macrogametophyte </w:t>
      </w:r>
      <w:r w:rsidR="0014314B" w:rsidRPr="005C1291">
        <w:rPr>
          <w:rFonts w:ascii="Arial" w:hAnsi="Arial" w:cs="Arial"/>
        </w:rPr>
        <w:t>in the seedless mutant</w:t>
      </w:r>
      <w:r w:rsidR="004309EA" w:rsidRPr="005C1291">
        <w:rPr>
          <w:rFonts w:ascii="Arial" w:hAnsi="Arial" w:cs="Arial"/>
        </w:rPr>
        <w:t xml:space="preserve"> </w:t>
      </w:r>
      <w:r w:rsidR="0014314B" w:rsidRPr="005C1291">
        <w:rPr>
          <w:rFonts w:ascii="Arial" w:hAnsi="Arial" w:cs="Arial"/>
        </w:rPr>
        <w:t>was significantly</w:t>
      </w:r>
      <w:r w:rsidR="004309EA" w:rsidRPr="005C1291">
        <w:rPr>
          <w:rFonts w:ascii="Arial" w:hAnsi="Arial" w:cs="Arial"/>
        </w:rPr>
        <w:t xml:space="preserve"> smaller </w:t>
      </w:r>
      <w:r w:rsidR="0014314B" w:rsidRPr="005C1291">
        <w:rPr>
          <w:rFonts w:ascii="Arial" w:hAnsi="Arial" w:cs="Arial"/>
        </w:rPr>
        <w:t xml:space="preserve">than its </w:t>
      </w:r>
      <w:r w:rsidR="005C1291" w:rsidRPr="005C1291">
        <w:rPr>
          <w:rFonts w:ascii="Arial" w:hAnsi="Arial" w:cs="Arial"/>
        </w:rPr>
        <w:t>wild type</w:t>
      </w:r>
      <w:r w:rsidR="004309EA" w:rsidRPr="005C1291">
        <w:rPr>
          <w:rFonts w:ascii="Arial" w:hAnsi="Arial" w:cs="Arial"/>
        </w:rPr>
        <w:t>.</w:t>
      </w:r>
      <w:r w:rsidRPr="005C1291">
        <w:rPr>
          <w:rFonts w:ascii="Arial" w:hAnsi="Arial" w:cs="Arial"/>
        </w:rPr>
        <w:t xml:space="preserve"> </w:t>
      </w:r>
      <w:r w:rsidR="0014314B" w:rsidRPr="005C1291">
        <w:rPr>
          <w:rFonts w:ascii="Arial" w:hAnsi="Arial" w:cs="Arial"/>
        </w:rPr>
        <w:t>Transcriptomic comparisons were carried out during three developmental stages (E-L-15, E-L-23, and E-L-31) to characterize altered developmental processes in the seedless mutant and wild-type ARI 516. Several genes with differential expression were identified. Interestingly, genes coding proteins involved in pollen formation, pollen cell wall formation, pollen tube elongation, pollen-related signaling pathways, pollen germination, and ovary development were downregulated in a seedless mutant which may be the cause for pollen sterility as well as the reduction in the size of ovary and ovule. RNAseq data were validated with qRT-PCR, which showed a good correlation between both methods. Further investigations of the RNAseq data are in progress.</w:t>
      </w:r>
    </w:p>
    <w:p w14:paraId="5BA9EE5B" w14:textId="2ECE26CD" w:rsidR="007B60ED" w:rsidRPr="005C1291" w:rsidRDefault="000B5871" w:rsidP="00426C98">
      <w:pPr>
        <w:jc w:val="both"/>
        <w:rPr>
          <w:rFonts w:ascii="Arial" w:hAnsi="Arial" w:cs="Arial"/>
        </w:rPr>
      </w:pPr>
      <w:r w:rsidRPr="005C1291">
        <w:rPr>
          <w:rFonts w:ascii="Arial" w:eastAsia="Calibri" w:hAnsi="Arial" w:cs="Arial"/>
          <w:b/>
          <w:bCs/>
          <w:lang w:val="en-US"/>
        </w:rPr>
        <w:t>Conclusion:</w:t>
      </w:r>
      <w:r w:rsidRPr="005C1291">
        <w:rPr>
          <w:rFonts w:ascii="Arial" w:eastAsia="Calibri" w:hAnsi="Arial" w:cs="Arial"/>
          <w:lang w:val="en-US"/>
        </w:rPr>
        <w:t xml:space="preserve"> </w:t>
      </w:r>
      <w:r w:rsidR="0014314B" w:rsidRPr="005C1291">
        <w:rPr>
          <w:rFonts w:ascii="Arial" w:eastAsia="Calibri" w:hAnsi="Arial" w:cs="Arial"/>
          <w:lang w:val="en-US"/>
        </w:rPr>
        <w:t xml:space="preserve">The study confirms the association of pollen sterility with seedlessness in grapes. </w:t>
      </w:r>
      <w:r w:rsidR="007B60ED" w:rsidRPr="005C1291">
        <w:rPr>
          <w:rFonts w:ascii="Arial" w:hAnsi="Arial" w:cs="Arial"/>
          <w:lang w:val="en-US"/>
        </w:rPr>
        <w:t xml:space="preserve">The examination of gene expression patterns will provide insights into the possible molecular mechanism and key pathways </w:t>
      </w:r>
      <w:r w:rsidR="0014314B" w:rsidRPr="005C1291">
        <w:rPr>
          <w:rFonts w:ascii="Arial" w:hAnsi="Arial" w:cs="Arial"/>
          <w:lang w:val="en-US"/>
        </w:rPr>
        <w:t>having their role in seed</w:t>
      </w:r>
      <w:r w:rsidR="007B60ED" w:rsidRPr="005C1291">
        <w:rPr>
          <w:rFonts w:ascii="Arial" w:hAnsi="Arial" w:cs="Arial"/>
          <w:lang w:val="en-US"/>
        </w:rPr>
        <w:t xml:space="preserve"> development.</w:t>
      </w:r>
      <w:r w:rsidR="00277F50" w:rsidRPr="005C1291">
        <w:rPr>
          <w:rFonts w:ascii="Arial" w:hAnsi="Arial" w:cs="Arial"/>
        </w:rPr>
        <w:t xml:space="preserve"> </w:t>
      </w:r>
    </w:p>
    <w:p w14:paraId="794A52F7" w14:textId="14B8F9E4" w:rsidR="000B5871" w:rsidRPr="005C1291" w:rsidRDefault="007B60ED" w:rsidP="00426C98">
      <w:pPr>
        <w:jc w:val="both"/>
        <w:rPr>
          <w:rFonts w:ascii="Arial" w:hAnsi="Arial" w:cs="Arial"/>
        </w:rPr>
      </w:pPr>
      <w:r w:rsidRPr="005C1291">
        <w:rPr>
          <w:rFonts w:ascii="Arial" w:eastAsia="Calibri" w:hAnsi="Arial" w:cs="Arial"/>
          <w:b/>
          <w:bCs/>
          <w:lang w:val="en-US"/>
        </w:rPr>
        <w:t>Keywords:</w:t>
      </w:r>
      <w:r w:rsidRPr="005C1291">
        <w:rPr>
          <w:rFonts w:ascii="Arial" w:eastAsia="Times New Roman" w:hAnsi="Arial" w:cs="Arial"/>
          <w:bCs/>
          <w:color w:val="000000"/>
        </w:rPr>
        <w:t xml:space="preserve"> </w:t>
      </w:r>
      <w:r w:rsidR="000B5871" w:rsidRPr="005C1291">
        <w:rPr>
          <w:rFonts w:ascii="Arial" w:hAnsi="Arial" w:cs="Arial"/>
          <w:i/>
          <w:iCs/>
        </w:rPr>
        <w:t>Vitis vinifera</w:t>
      </w:r>
      <w:r w:rsidR="000B5871" w:rsidRPr="005C1291">
        <w:rPr>
          <w:rFonts w:ascii="Arial" w:hAnsi="Arial" w:cs="Arial"/>
        </w:rPr>
        <w:t>, Seed</w:t>
      </w:r>
      <w:r w:rsidRPr="005C1291">
        <w:rPr>
          <w:rFonts w:ascii="Arial" w:hAnsi="Arial" w:cs="Arial"/>
        </w:rPr>
        <w:t>lessness,</w:t>
      </w:r>
      <w:r w:rsidR="000B5871" w:rsidRPr="005C1291">
        <w:rPr>
          <w:rFonts w:ascii="Arial" w:hAnsi="Arial" w:cs="Arial"/>
        </w:rPr>
        <w:t xml:space="preserve"> </w:t>
      </w:r>
      <w:r w:rsidR="0014314B" w:rsidRPr="005C1291">
        <w:rPr>
          <w:rFonts w:ascii="Arial" w:hAnsi="Arial" w:cs="Arial"/>
        </w:rPr>
        <w:t>Gametogenesis, pollen sterility</w:t>
      </w:r>
      <w:r w:rsidRPr="005C1291">
        <w:rPr>
          <w:rFonts w:ascii="Arial" w:hAnsi="Arial" w:cs="Arial"/>
        </w:rPr>
        <w:t>.</w:t>
      </w:r>
    </w:p>
    <w:p w14:paraId="2E611384" w14:textId="77777777" w:rsidR="00785862" w:rsidRPr="005C1291" w:rsidRDefault="00785862" w:rsidP="000B5871">
      <w:pPr>
        <w:rPr>
          <w:rFonts w:ascii="Arial" w:eastAsia="Times New Roman" w:hAnsi="Arial" w:cs="Arial"/>
          <w:bCs/>
          <w:color w:val="000000"/>
        </w:rPr>
      </w:pPr>
    </w:p>
    <w:p w14:paraId="48D9E438" w14:textId="77777777" w:rsidR="000B5871" w:rsidRPr="005C1291" w:rsidRDefault="000B5871" w:rsidP="00A72666">
      <w:pPr>
        <w:rPr>
          <w:rFonts w:ascii="Arial" w:eastAsia="Calibri" w:hAnsi="Arial" w:cs="Arial"/>
        </w:rPr>
      </w:pPr>
    </w:p>
    <w:p w14:paraId="19100488" w14:textId="0CCCED07" w:rsidR="00566725" w:rsidRPr="00E8022B" w:rsidRDefault="00566725" w:rsidP="00A72666">
      <w:pPr>
        <w:rPr>
          <w:rFonts w:ascii="Times New Roman" w:hAnsi="Times New Roman" w:cs="Times New Roman"/>
          <w:sz w:val="24"/>
          <w:szCs w:val="24"/>
        </w:rPr>
      </w:pPr>
    </w:p>
    <w:p w14:paraId="2CC9C5CD" w14:textId="53B619B8" w:rsidR="005C3C58" w:rsidRDefault="005C3C58"/>
    <w:p w14:paraId="0C05964B" w14:textId="77777777" w:rsidR="005C3C58" w:rsidRDefault="005C3C58"/>
    <w:sectPr w:rsidR="005C3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wtzCwNDMxMrE0NzdX0lEKTi0uzszPAykwrAUADML1vCwAAAA="/>
  </w:docVars>
  <w:rsids>
    <w:rsidRoot w:val="005C3C58"/>
    <w:rsid w:val="000B5871"/>
    <w:rsid w:val="0014314B"/>
    <w:rsid w:val="001B4666"/>
    <w:rsid w:val="00260B01"/>
    <w:rsid w:val="00277F50"/>
    <w:rsid w:val="003F5F20"/>
    <w:rsid w:val="00426C98"/>
    <w:rsid w:val="004309EA"/>
    <w:rsid w:val="00566725"/>
    <w:rsid w:val="00586761"/>
    <w:rsid w:val="005C1291"/>
    <w:rsid w:val="005C3C58"/>
    <w:rsid w:val="00607FD6"/>
    <w:rsid w:val="006D3DE5"/>
    <w:rsid w:val="007832AE"/>
    <w:rsid w:val="00785862"/>
    <w:rsid w:val="007B60ED"/>
    <w:rsid w:val="00A72666"/>
    <w:rsid w:val="00B07498"/>
    <w:rsid w:val="00B14CD3"/>
    <w:rsid w:val="00CD0D50"/>
    <w:rsid w:val="00D656BA"/>
    <w:rsid w:val="00E8022B"/>
    <w:rsid w:val="00F62043"/>
    <w:rsid w:val="00F7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C02A"/>
  <w15:chartTrackingRefBased/>
  <w15:docId w15:val="{C0BECADC-DC31-48BD-9593-09F5B7F9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74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49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C12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mpatil@aripun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386</Words>
  <Characters>2259</Characters>
  <Application>Microsoft Office Word</Application>
  <DocSecurity>0</DocSecurity>
  <Lines>32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</dc:creator>
  <cp:keywords/>
  <dc:description/>
  <cp:lastModifiedBy>siddhi</cp:lastModifiedBy>
  <cp:revision>4</cp:revision>
  <dcterms:created xsi:type="dcterms:W3CDTF">2023-01-13T11:21:00Z</dcterms:created>
  <dcterms:modified xsi:type="dcterms:W3CDTF">2023-01-13T12:33:00Z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cdb71850-3fe0-4ad2-a755-d1d08ab273f7</vt:lpwstr>
  </property>
</Properties>
</file>