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7F5CD" w14:textId="510378FA" w:rsidR="009366F2" w:rsidRPr="00054BC1" w:rsidRDefault="001431F1" w:rsidP="00801D00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054BC1">
        <w:rPr>
          <w:rFonts w:ascii="Arial" w:hAnsi="Arial" w:cs="Arial"/>
          <w:b/>
          <w:bCs/>
          <w:sz w:val="24"/>
          <w:szCs w:val="24"/>
          <w:lang w:val="en-US"/>
        </w:rPr>
        <w:t xml:space="preserve">Screening of </w:t>
      </w:r>
      <w:r w:rsidRPr="00054BC1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Fusarium</w:t>
      </w:r>
      <w:r w:rsidRPr="00054BC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2E1BD7" w:rsidRPr="00054BC1">
        <w:rPr>
          <w:rFonts w:ascii="Arial" w:hAnsi="Arial" w:cs="Arial"/>
          <w:b/>
          <w:bCs/>
          <w:sz w:val="24"/>
          <w:szCs w:val="24"/>
          <w:lang w:val="en-US"/>
        </w:rPr>
        <w:t xml:space="preserve">graminearum </w:t>
      </w:r>
      <w:r w:rsidRPr="00054BC1">
        <w:rPr>
          <w:rFonts w:ascii="Arial" w:hAnsi="Arial" w:cs="Arial"/>
          <w:b/>
          <w:bCs/>
          <w:sz w:val="24"/>
          <w:szCs w:val="24"/>
          <w:lang w:val="en-US"/>
        </w:rPr>
        <w:t xml:space="preserve">isolates based on molecular studies and sensitivity to </w:t>
      </w:r>
      <w:r w:rsidR="002E1BD7" w:rsidRPr="00054BC1">
        <w:rPr>
          <w:rFonts w:ascii="Arial" w:hAnsi="Arial" w:cs="Arial"/>
          <w:b/>
          <w:bCs/>
          <w:sz w:val="24"/>
          <w:szCs w:val="24"/>
          <w:lang w:val="en-US"/>
        </w:rPr>
        <w:t xml:space="preserve">Tebuconazole </w:t>
      </w:r>
      <w:r w:rsidRPr="00054BC1">
        <w:rPr>
          <w:rFonts w:ascii="Arial" w:hAnsi="Arial" w:cs="Arial"/>
          <w:b/>
          <w:bCs/>
          <w:sz w:val="24"/>
          <w:szCs w:val="24"/>
          <w:lang w:val="en-US"/>
        </w:rPr>
        <w:t>fungicide</w:t>
      </w:r>
    </w:p>
    <w:p w14:paraId="052D62B0" w14:textId="3A4CD9D0" w:rsidR="009366F2" w:rsidRPr="00054BC1" w:rsidRDefault="00A230AC" w:rsidP="00A230AC">
      <w:pPr>
        <w:spacing w:line="240" w:lineRule="auto"/>
        <w:rPr>
          <w:rFonts w:ascii="Arial" w:hAnsi="Arial" w:cs="Arial"/>
          <w:vertAlign w:val="superscript"/>
          <w:lang w:val="en-US"/>
        </w:rPr>
      </w:pPr>
      <w:r w:rsidRPr="00054BC1">
        <w:rPr>
          <w:rFonts w:ascii="Arial" w:hAnsi="Arial" w:cs="Arial"/>
          <w:lang w:val="en-US"/>
        </w:rPr>
        <w:t>K</w:t>
      </w:r>
      <w:r w:rsidR="00995EC0" w:rsidRPr="00054BC1">
        <w:rPr>
          <w:rFonts w:ascii="Arial" w:hAnsi="Arial" w:cs="Arial"/>
          <w:lang w:val="en-US"/>
        </w:rPr>
        <w:t>atkuri</w:t>
      </w:r>
      <w:r w:rsidRPr="00054BC1">
        <w:rPr>
          <w:rFonts w:ascii="Arial" w:hAnsi="Arial" w:cs="Arial"/>
          <w:lang w:val="en-US"/>
        </w:rPr>
        <w:t xml:space="preserve"> Balakrishn</w:t>
      </w:r>
      <w:r w:rsidR="002212B9" w:rsidRPr="00054BC1">
        <w:rPr>
          <w:rFonts w:ascii="Arial" w:hAnsi="Arial" w:cs="Arial"/>
          <w:lang w:val="en-US"/>
        </w:rPr>
        <w:t>a</w:t>
      </w:r>
      <w:r w:rsidR="00C43D5E" w:rsidRPr="00054BC1">
        <w:rPr>
          <w:rFonts w:ascii="Arial" w:hAnsi="Arial" w:cs="Arial"/>
          <w:vertAlign w:val="superscript"/>
          <w:lang w:val="en-US"/>
        </w:rPr>
        <w:t>1</w:t>
      </w:r>
      <w:r w:rsidRPr="00054BC1">
        <w:rPr>
          <w:rFonts w:ascii="Arial" w:hAnsi="Arial" w:cs="Arial"/>
          <w:lang w:val="en-US"/>
        </w:rPr>
        <w:t>, Sristishila</w:t>
      </w:r>
      <w:r w:rsidR="002E1BD7" w:rsidRPr="00054BC1">
        <w:rPr>
          <w:rFonts w:ascii="Arial" w:hAnsi="Arial" w:cs="Arial"/>
          <w:lang w:val="en-US"/>
        </w:rPr>
        <w:t xml:space="preserve"> Baruah</w:t>
      </w:r>
      <w:r w:rsidR="00C43D5E" w:rsidRPr="00054BC1">
        <w:rPr>
          <w:rFonts w:ascii="Arial" w:hAnsi="Arial" w:cs="Arial"/>
          <w:vertAlign w:val="superscript"/>
          <w:lang w:val="en-US"/>
        </w:rPr>
        <w:t>2</w:t>
      </w:r>
      <w:r w:rsidRPr="00054BC1">
        <w:rPr>
          <w:rFonts w:ascii="Arial" w:hAnsi="Arial" w:cs="Arial"/>
          <w:lang w:val="en-US"/>
        </w:rPr>
        <w:t>, Mas</w:t>
      </w:r>
      <w:r w:rsidR="002E1BD7" w:rsidRPr="00054BC1">
        <w:rPr>
          <w:rFonts w:ascii="Arial" w:hAnsi="Arial" w:cs="Arial"/>
          <w:lang w:val="en-US"/>
        </w:rPr>
        <w:t>sa</w:t>
      </w:r>
      <w:r w:rsidRPr="00054BC1">
        <w:rPr>
          <w:rFonts w:ascii="Arial" w:hAnsi="Arial" w:cs="Arial"/>
          <w:lang w:val="en-US"/>
        </w:rPr>
        <w:t>rat Fatima</w:t>
      </w:r>
      <w:r w:rsidR="00C43D5E" w:rsidRPr="00054BC1">
        <w:rPr>
          <w:rFonts w:ascii="Arial" w:hAnsi="Arial" w:cs="Arial"/>
          <w:vertAlign w:val="superscript"/>
          <w:lang w:val="en-US"/>
        </w:rPr>
        <w:t>3</w:t>
      </w:r>
      <w:r w:rsidRPr="00054BC1">
        <w:rPr>
          <w:rFonts w:ascii="Arial" w:hAnsi="Arial" w:cs="Arial"/>
          <w:lang w:val="en-US"/>
        </w:rPr>
        <w:t xml:space="preserve">, Hanan Anjum </w:t>
      </w:r>
      <w:r w:rsidR="002212B9" w:rsidRPr="00054BC1">
        <w:rPr>
          <w:rFonts w:ascii="Arial" w:hAnsi="Arial" w:cs="Arial"/>
          <w:lang w:val="en-US"/>
        </w:rPr>
        <w:t>B</w:t>
      </w:r>
      <w:r w:rsidRPr="00054BC1">
        <w:rPr>
          <w:rFonts w:ascii="Arial" w:hAnsi="Arial" w:cs="Arial"/>
          <w:lang w:val="en-US"/>
        </w:rPr>
        <w:t>hat</w:t>
      </w:r>
      <w:r w:rsidR="00C43D5E" w:rsidRPr="00054BC1">
        <w:rPr>
          <w:rFonts w:ascii="Arial" w:hAnsi="Arial" w:cs="Arial"/>
          <w:vertAlign w:val="superscript"/>
          <w:lang w:val="en-US"/>
        </w:rPr>
        <w:t>4</w:t>
      </w:r>
      <w:r w:rsidRPr="00054BC1">
        <w:rPr>
          <w:rFonts w:ascii="Arial" w:hAnsi="Arial" w:cs="Arial"/>
          <w:lang w:val="en-US"/>
        </w:rPr>
        <w:t xml:space="preserve">, </w:t>
      </w:r>
      <w:r w:rsidR="002E1BD7" w:rsidRPr="00054BC1">
        <w:rPr>
          <w:rFonts w:ascii="Arial" w:hAnsi="Arial" w:cs="Arial"/>
          <w:lang w:val="en-US"/>
        </w:rPr>
        <w:t xml:space="preserve">J. </w:t>
      </w:r>
      <w:r w:rsidRPr="00054BC1">
        <w:rPr>
          <w:rFonts w:ascii="Arial" w:hAnsi="Arial" w:cs="Arial"/>
          <w:lang w:val="en-US"/>
        </w:rPr>
        <w:t>Nagabushanam</w:t>
      </w:r>
      <w:r w:rsidR="00C43D5E" w:rsidRPr="00054BC1">
        <w:rPr>
          <w:rFonts w:ascii="Arial" w:hAnsi="Arial" w:cs="Arial"/>
          <w:vertAlign w:val="superscript"/>
          <w:lang w:val="en-US"/>
        </w:rPr>
        <w:t>5</w:t>
      </w:r>
      <w:r w:rsidRPr="00054BC1">
        <w:rPr>
          <w:rFonts w:ascii="Arial" w:hAnsi="Arial" w:cs="Arial"/>
          <w:lang w:val="en-US"/>
        </w:rPr>
        <w:t>, and Ragiba Makandar</w:t>
      </w:r>
      <w:r w:rsidR="00C43D5E" w:rsidRPr="00054BC1">
        <w:rPr>
          <w:rFonts w:ascii="Arial" w:hAnsi="Arial" w:cs="Arial"/>
          <w:vertAlign w:val="superscript"/>
          <w:lang w:val="en-US"/>
        </w:rPr>
        <w:t>1</w:t>
      </w:r>
      <w:r w:rsidR="00054BC1" w:rsidRPr="00054BC1">
        <w:rPr>
          <w:rFonts w:ascii="Arial" w:hAnsi="Arial" w:cs="Arial"/>
          <w:vertAlign w:val="superscript"/>
          <w:lang w:val="en-US"/>
        </w:rPr>
        <w:t>*</w:t>
      </w:r>
    </w:p>
    <w:p w14:paraId="392FA9AB" w14:textId="279E6D11" w:rsidR="009366F2" w:rsidRPr="00054BC1" w:rsidRDefault="00A230AC" w:rsidP="00A230AC">
      <w:pPr>
        <w:spacing w:line="240" w:lineRule="auto"/>
        <w:rPr>
          <w:rFonts w:ascii="Arial" w:hAnsi="Arial" w:cs="Arial"/>
          <w:i/>
          <w:iCs/>
          <w:lang w:val="en-US"/>
        </w:rPr>
      </w:pPr>
      <w:r w:rsidRPr="00054BC1">
        <w:rPr>
          <w:rFonts w:ascii="Arial" w:hAnsi="Arial" w:cs="Arial"/>
          <w:i/>
          <w:iCs/>
          <w:lang w:val="en-US"/>
        </w:rPr>
        <w:t>Department of Plant sciences, School of Life Sciences, University of Hyderabad, Gachibowli, Hyderabad, 500046</w:t>
      </w:r>
    </w:p>
    <w:p w14:paraId="748CD3A5" w14:textId="03CAFE92" w:rsidR="009366F2" w:rsidRPr="00054BC1" w:rsidRDefault="00A230AC" w:rsidP="00A230AC">
      <w:pPr>
        <w:spacing w:line="240" w:lineRule="auto"/>
        <w:rPr>
          <w:rFonts w:ascii="Arial" w:hAnsi="Arial" w:cs="Arial"/>
          <w:lang w:val="en-US"/>
        </w:rPr>
      </w:pPr>
      <w:r w:rsidRPr="00054BC1">
        <w:rPr>
          <w:rFonts w:ascii="Arial" w:hAnsi="Arial" w:cs="Arial"/>
          <w:lang w:val="en-US"/>
        </w:rPr>
        <w:t xml:space="preserve">Email: </w:t>
      </w:r>
      <w:hyperlink r:id="rId5" w:history="1">
        <w:r w:rsidR="009366F2" w:rsidRPr="00054BC1">
          <w:rPr>
            <w:rStyle w:val="Hyperlink"/>
            <w:rFonts w:ascii="Arial" w:hAnsi="Arial" w:cs="Arial"/>
            <w:lang w:val="en-US"/>
          </w:rPr>
          <w:t>katkuribalu5@gmail.com</w:t>
        </w:r>
      </w:hyperlink>
    </w:p>
    <w:p w14:paraId="64E2F840" w14:textId="0952904D" w:rsidR="001431F1" w:rsidRPr="00054BC1" w:rsidRDefault="00163404" w:rsidP="009366F2">
      <w:pPr>
        <w:spacing w:line="360" w:lineRule="auto"/>
        <w:jc w:val="both"/>
        <w:rPr>
          <w:rFonts w:ascii="Arial" w:hAnsi="Arial" w:cs="Arial"/>
        </w:rPr>
      </w:pPr>
      <w:r w:rsidRPr="00054BC1">
        <w:rPr>
          <w:rFonts w:ascii="Arial" w:hAnsi="Arial" w:cs="Arial"/>
          <w:i/>
          <w:iCs/>
        </w:rPr>
        <w:t xml:space="preserve">Fusarium graminearum </w:t>
      </w:r>
      <w:r w:rsidRPr="00054BC1">
        <w:rPr>
          <w:rFonts w:ascii="Arial" w:hAnsi="Arial" w:cs="Arial"/>
        </w:rPr>
        <w:t>is a fungal pathogen, which causes Fusarium head blight (FHB)</w:t>
      </w:r>
      <w:r w:rsidR="00F07A53" w:rsidRPr="00054BC1">
        <w:rPr>
          <w:rFonts w:ascii="Arial" w:hAnsi="Arial" w:cs="Arial"/>
        </w:rPr>
        <w:t>, a common and devasting disease</w:t>
      </w:r>
      <w:r w:rsidRPr="00054BC1">
        <w:rPr>
          <w:rFonts w:ascii="Arial" w:hAnsi="Arial" w:cs="Arial"/>
        </w:rPr>
        <w:t xml:space="preserve"> in cereal cr</w:t>
      </w:r>
      <w:r w:rsidR="002E1BD7" w:rsidRPr="00054BC1">
        <w:rPr>
          <w:rFonts w:ascii="Arial" w:hAnsi="Arial" w:cs="Arial"/>
        </w:rPr>
        <w:t xml:space="preserve">ops such as wheat, oats, maize and </w:t>
      </w:r>
      <w:r w:rsidRPr="00054BC1">
        <w:rPr>
          <w:rFonts w:ascii="Arial" w:hAnsi="Arial" w:cs="Arial"/>
        </w:rPr>
        <w:t>barley.</w:t>
      </w:r>
      <w:r w:rsidR="00F07A53" w:rsidRPr="00054BC1">
        <w:rPr>
          <w:rFonts w:ascii="Arial" w:hAnsi="Arial" w:cs="Arial"/>
        </w:rPr>
        <w:t xml:space="preserve"> It reduces crop yield</w:t>
      </w:r>
      <w:r w:rsidR="005C5181" w:rsidRPr="00054BC1">
        <w:rPr>
          <w:rFonts w:ascii="Arial" w:hAnsi="Arial" w:cs="Arial"/>
        </w:rPr>
        <w:t xml:space="preserve"> and productivity</w:t>
      </w:r>
      <w:r w:rsidR="00F07A53" w:rsidRPr="00054BC1">
        <w:rPr>
          <w:rFonts w:ascii="Arial" w:hAnsi="Arial" w:cs="Arial"/>
        </w:rPr>
        <w:t xml:space="preserve"> by producing mycotoxins such as deoxy</w:t>
      </w:r>
      <w:r w:rsidR="002E1BD7" w:rsidRPr="00054BC1">
        <w:rPr>
          <w:rFonts w:ascii="Arial" w:hAnsi="Arial" w:cs="Arial"/>
        </w:rPr>
        <w:t xml:space="preserve">nivalenol (DON), nivalenol, </w:t>
      </w:r>
      <w:r w:rsidR="00F07A53" w:rsidRPr="00054BC1">
        <w:rPr>
          <w:rFonts w:ascii="Arial" w:hAnsi="Arial" w:cs="Arial"/>
        </w:rPr>
        <w:t>zearalenone</w:t>
      </w:r>
      <w:r w:rsidR="002E1BD7" w:rsidRPr="00054BC1">
        <w:rPr>
          <w:rFonts w:ascii="Arial" w:hAnsi="Arial" w:cs="Arial"/>
        </w:rPr>
        <w:t xml:space="preserve"> etc.,</w:t>
      </w:r>
      <w:r w:rsidR="00F07A53" w:rsidRPr="00054BC1">
        <w:rPr>
          <w:rFonts w:ascii="Arial" w:hAnsi="Arial" w:cs="Arial"/>
        </w:rPr>
        <w:t xml:space="preserve"> which cause adverse effects to human and animal health. Lack of cultural practices and resistant cultivars controlli</w:t>
      </w:r>
      <w:r w:rsidR="002E1BD7" w:rsidRPr="00054BC1">
        <w:rPr>
          <w:rFonts w:ascii="Arial" w:hAnsi="Arial" w:cs="Arial"/>
        </w:rPr>
        <w:t xml:space="preserve">ng of FHB is the major problem globally. At present </w:t>
      </w:r>
      <w:r w:rsidR="00F07A53" w:rsidRPr="00054BC1">
        <w:rPr>
          <w:rFonts w:ascii="Arial" w:hAnsi="Arial" w:cs="Arial"/>
        </w:rPr>
        <w:t xml:space="preserve">application of fungicides is </w:t>
      </w:r>
      <w:r w:rsidR="002E1BD7" w:rsidRPr="00054BC1">
        <w:rPr>
          <w:rFonts w:ascii="Arial" w:hAnsi="Arial" w:cs="Arial"/>
        </w:rPr>
        <w:t xml:space="preserve">practiced as a </w:t>
      </w:r>
      <w:r w:rsidR="00F07A53" w:rsidRPr="00054BC1">
        <w:rPr>
          <w:rFonts w:ascii="Arial" w:hAnsi="Arial" w:cs="Arial"/>
        </w:rPr>
        <w:t>principal method of controlling FHB</w:t>
      </w:r>
      <w:r w:rsidR="002E1BD7" w:rsidRPr="00054BC1">
        <w:rPr>
          <w:rFonts w:ascii="Arial" w:hAnsi="Arial" w:cs="Arial"/>
        </w:rPr>
        <w:t xml:space="preserve"> preferably using the Azole group of fungicides which includes Tebuconazole. </w:t>
      </w:r>
      <w:r w:rsidR="007B29A0" w:rsidRPr="00054BC1">
        <w:rPr>
          <w:rFonts w:ascii="Arial" w:hAnsi="Arial" w:cs="Arial"/>
        </w:rPr>
        <w:t xml:space="preserve"> </w:t>
      </w:r>
      <w:r w:rsidR="002E1BD7" w:rsidRPr="00054BC1">
        <w:rPr>
          <w:rFonts w:ascii="Arial" w:hAnsi="Arial" w:cs="Arial"/>
        </w:rPr>
        <w:t xml:space="preserve">Thirty two isolates of </w:t>
      </w:r>
      <w:r w:rsidR="002E1BD7" w:rsidRPr="00054BC1">
        <w:rPr>
          <w:rFonts w:ascii="Arial" w:hAnsi="Arial" w:cs="Arial"/>
          <w:i/>
        </w:rPr>
        <w:t>Fusarium graminearum</w:t>
      </w:r>
      <w:r w:rsidR="002E1BD7" w:rsidRPr="00054BC1">
        <w:rPr>
          <w:rFonts w:ascii="Arial" w:hAnsi="Arial" w:cs="Arial"/>
        </w:rPr>
        <w:t xml:space="preserve"> have been collected form wheat growing regions of India and have been analysed for variation in mycotoxin producing genes and virulence in plants. </w:t>
      </w:r>
      <w:r w:rsidR="00136605" w:rsidRPr="00054BC1">
        <w:rPr>
          <w:rFonts w:ascii="Arial" w:hAnsi="Arial" w:cs="Arial"/>
        </w:rPr>
        <w:t>The minimum inhibitory concentration</w:t>
      </w:r>
      <w:r w:rsidR="00612792" w:rsidRPr="00054BC1">
        <w:rPr>
          <w:rFonts w:ascii="Arial" w:hAnsi="Arial" w:cs="Arial"/>
        </w:rPr>
        <w:t xml:space="preserve"> (EC50-Effective concentration)</w:t>
      </w:r>
      <w:r w:rsidR="00136605" w:rsidRPr="00054BC1">
        <w:rPr>
          <w:rFonts w:ascii="Arial" w:hAnsi="Arial" w:cs="Arial"/>
        </w:rPr>
        <w:t xml:space="preserve"> of </w:t>
      </w:r>
      <w:r w:rsidR="0007355E" w:rsidRPr="00054BC1">
        <w:rPr>
          <w:rFonts w:ascii="Arial" w:hAnsi="Arial" w:cs="Arial"/>
        </w:rPr>
        <w:t xml:space="preserve">Tebuconazole for inhibition of </w:t>
      </w:r>
      <w:r w:rsidR="00136605" w:rsidRPr="00054BC1">
        <w:rPr>
          <w:rFonts w:ascii="Arial" w:hAnsi="Arial" w:cs="Arial"/>
        </w:rPr>
        <w:t>mycelial growth and spore germination</w:t>
      </w:r>
      <w:r w:rsidR="00801D00" w:rsidRPr="00054BC1">
        <w:rPr>
          <w:rFonts w:ascii="Arial" w:hAnsi="Arial" w:cs="Arial"/>
        </w:rPr>
        <w:t xml:space="preserve"> </w:t>
      </w:r>
      <w:r w:rsidR="006A49FD">
        <w:rPr>
          <w:rFonts w:ascii="Arial" w:hAnsi="Arial" w:cs="Arial"/>
        </w:rPr>
        <w:t>here</w:t>
      </w:r>
      <w:r w:rsidR="00136605" w:rsidRPr="00054BC1">
        <w:rPr>
          <w:rFonts w:ascii="Arial" w:hAnsi="Arial" w:cs="Arial"/>
        </w:rPr>
        <w:t xml:space="preserve"> </w:t>
      </w:r>
      <w:r w:rsidR="00BD4079" w:rsidRPr="00054BC1">
        <w:rPr>
          <w:rFonts w:ascii="Arial" w:hAnsi="Arial" w:cs="Arial"/>
        </w:rPr>
        <w:t>based on solid and liquid media</w:t>
      </w:r>
      <w:r w:rsidR="00136605" w:rsidRPr="00054BC1">
        <w:rPr>
          <w:rFonts w:ascii="Arial" w:hAnsi="Arial" w:cs="Arial"/>
        </w:rPr>
        <w:t xml:space="preserve">. </w:t>
      </w:r>
      <w:r w:rsidR="007B29A0" w:rsidRPr="00054BC1">
        <w:rPr>
          <w:rFonts w:ascii="Arial" w:hAnsi="Arial" w:cs="Arial"/>
        </w:rPr>
        <w:t xml:space="preserve">Tebuconazole based screening of </w:t>
      </w:r>
      <w:r w:rsidR="007B29A0" w:rsidRPr="00054BC1">
        <w:rPr>
          <w:rFonts w:ascii="Arial" w:hAnsi="Arial" w:cs="Arial"/>
          <w:i/>
          <w:iCs/>
        </w:rPr>
        <w:t xml:space="preserve">Fusarium </w:t>
      </w:r>
      <w:r w:rsidR="007B29A0" w:rsidRPr="00054BC1">
        <w:rPr>
          <w:rFonts w:ascii="Arial" w:hAnsi="Arial" w:cs="Arial"/>
        </w:rPr>
        <w:t xml:space="preserve">isolates </w:t>
      </w:r>
      <w:r w:rsidR="002E1BD7" w:rsidRPr="00054BC1">
        <w:rPr>
          <w:rFonts w:ascii="Arial" w:hAnsi="Arial" w:cs="Arial"/>
        </w:rPr>
        <w:t xml:space="preserve">based </w:t>
      </w:r>
      <w:r w:rsidR="00136605" w:rsidRPr="00054BC1">
        <w:rPr>
          <w:rFonts w:ascii="Arial" w:hAnsi="Arial" w:cs="Arial"/>
        </w:rPr>
        <w:t xml:space="preserve">on </w:t>
      </w:r>
      <w:r w:rsidR="00612792" w:rsidRPr="00054BC1">
        <w:rPr>
          <w:rFonts w:ascii="Arial" w:hAnsi="Arial" w:cs="Arial"/>
        </w:rPr>
        <w:t>EC50</w:t>
      </w:r>
      <w:r w:rsidR="00136605" w:rsidRPr="00054BC1">
        <w:rPr>
          <w:rFonts w:ascii="Arial" w:hAnsi="Arial" w:cs="Arial"/>
        </w:rPr>
        <w:t xml:space="preserve"> </w:t>
      </w:r>
      <w:r w:rsidR="007B29A0" w:rsidRPr="00054BC1">
        <w:rPr>
          <w:rFonts w:ascii="Arial" w:hAnsi="Arial" w:cs="Arial"/>
        </w:rPr>
        <w:t xml:space="preserve">revealed the </w:t>
      </w:r>
      <w:r w:rsidR="002E1BD7" w:rsidRPr="00054BC1">
        <w:rPr>
          <w:rFonts w:ascii="Arial" w:hAnsi="Arial" w:cs="Arial"/>
        </w:rPr>
        <w:t xml:space="preserve">highly aggressive and non-aggressive </w:t>
      </w:r>
      <w:r w:rsidR="002075BC" w:rsidRPr="00054BC1">
        <w:rPr>
          <w:rFonts w:ascii="Arial" w:hAnsi="Arial" w:cs="Arial"/>
        </w:rPr>
        <w:t>i</w:t>
      </w:r>
      <w:r w:rsidR="002E1BD7" w:rsidRPr="00054BC1">
        <w:rPr>
          <w:rFonts w:ascii="Arial" w:hAnsi="Arial" w:cs="Arial"/>
        </w:rPr>
        <w:t>solates</w:t>
      </w:r>
      <w:r w:rsidR="007B29A0" w:rsidRPr="00054BC1">
        <w:rPr>
          <w:rFonts w:ascii="Arial" w:hAnsi="Arial" w:cs="Arial"/>
        </w:rPr>
        <w:t xml:space="preserve"> </w:t>
      </w:r>
      <w:r w:rsidR="002075BC" w:rsidRPr="00054BC1">
        <w:rPr>
          <w:rFonts w:ascii="Arial" w:hAnsi="Arial" w:cs="Arial"/>
        </w:rPr>
        <w:t xml:space="preserve">of </w:t>
      </w:r>
      <w:r w:rsidR="002075BC" w:rsidRPr="00054BC1">
        <w:rPr>
          <w:rFonts w:ascii="Arial" w:hAnsi="Arial" w:cs="Arial"/>
          <w:i/>
        </w:rPr>
        <w:t xml:space="preserve">Fusarium graminearum. </w:t>
      </w:r>
      <w:r w:rsidR="002075BC" w:rsidRPr="00054BC1">
        <w:rPr>
          <w:rFonts w:ascii="Arial" w:hAnsi="Arial" w:cs="Arial"/>
        </w:rPr>
        <w:t xml:space="preserve"> </w:t>
      </w:r>
      <w:r w:rsidR="007B29A0" w:rsidRPr="00054BC1">
        <w:rPr>
          <w:rFonts w:ascii="Arial" w:hAnsi="Arial" w:cs="Arial"/>
        </w:rPr>
        <w:t>Molecular studies</w:t>
      </w:r>
      <w:r w:rsidR="003445EB" w:rsidRPr="00054BC1">
        <w:rPr>
          <w:rFonts w:ascii="Arial" w:hAnsi="Arial" w:cs="Arial"/>
        </w:rPr>
        <w:t>,</w:t>
      </w:r>
      <w:r w:rsidR="005C5181" w:rsidRPr="00054BC1">
        <w:rPr>
          <w:rFonts w:ascii="Arial" w:hAnsi="Arial" w:cs="Arial"/>
        </w:rPr>
        <w:t xml:space="preserve"> phylogenetic analysis</w:t>
      </w:r>
      <w:r w:rsidR="003445EB" w:rsidRPr="00054BC1">
        <w:rPr>
          <w:rFonts w:ascii="Arial" w:hAnsi="Arial" w:cs="Arial"/>
        </w:rPr>
        <w:t xml:space="preserve">, and </w:t>
      </w:r>
      <w:r w:rsidR="002075BC" w:rsidRPr="00054BC1">
        <w:rPr>
          <w:rFonts w:ascii="Arial" w:hAnsi="Arial" w:cs="Arial"/>
        </w:rPr>
        <w:t xml:space="preserve">bioassay for </w:t>
      </w:r>
      <w:r w:rsidR="00BD4079" w:rsidRPr="00054BC1">
        <w:rPr>
          <w:rFonts w:ascii="Arial" w:hAnsi="Arial" w:cs="Arial"/>
        </w:rPr>
        <w:t xml:space="preserve">virulence </w:t>
      </w:r>
      <w:r w:rsidR="002075BC" w:rsidRPr="00054BC1">
        <w:rPr>
          <w:rFonts w:ascii="Arial" w:hAnsi="Arial" w:cs="Arial"/>
        </w:rPr>
        <w:t>showed variation among these isolates</w:t>
      </w:r>
      <w:r w:rsidR="007B29A0" w:rsidRPr="00054BC1">
        <w:rPr>
          <w:rFonts w:ascii="Arial" w:hAnsi="Arial" w:cs="Arial"/>
        </w:rPr>
        <w:t>.</w:t>
      </w:r>
      <w:r w:rsidR="00BD4079" w:rsidRPr="00054BC1">
        <w:rPr>
          <w:rFonts w:ascii="Arial" w:hAnsi="Arial" w:cs="Arial"/>
        </w:rPr>
        <w:t xml:space="preserve"> </w:t>
      </w:r>
      <w:r w:rsidR="005C5181" w:rsidRPr="00054BC1">
        <w:rPr>
          <w:rFonts w:ascii="Arial" w:hAnsi="Arial" w:cs="Arial"/>
        </w:rPr>
        <w:t>T</w:t>
      </w:r>
      <w:r w:rsidR="0007355E" w:rsidRPr="00054BC1">
        <w:rPr>
          <w:rFonts w:ascii="Arial" w:hAnsi="Arial" w:cs="Arial"/>
        </w:rPr>
        <w:t>he present</w:t>
      </w:r>
      <w:r w:rsidR="005C5181" w:rsidRPr="00054BC1">
        <w:rPr>
          <w:rFonts w:ascii="Arial" w:hAnsi="Arial" w:cs="Arial"/>
        </w:rPr>
        <w:t xml:space="preserve"> study is to understand </w:t>
      </w:r>
      <w:r w:rsidR="002075BC" w:rsidRPr="00054BC1">
        <w:rPr>
          <w:rFonts w:ascii="Arial" w:hAnsi="Arial" w:cs="Arial"/>
        </w:rPr>
        <w:t>biochemical and molecular responses of the pathogen isolates to Te</w:t>
      </w:r>
      <w:r w:rsidR="00577621" w:rsidRPr="00054BC1">
        <w:rPr>
          <w:rFonts w:ascii="Arial" w:hAnsi="Arial" w:cs="Arial"/>
        </w:rPr>
        <w:t>buconazole</w:t>
      </w:r>
      <w:r w:rsidR="005C5181" w:rsidRPr="00054BC1">
        <w:rPr>
          <w:rFonts w:ascii="Arial" w:hAnsi="Arial" w:cs="Arial"/>
        </w:rPr>
        <w:t xml:space="preserve"> </w:t>
      </w:r>
      <w:r w:rsidR="002075BC" w:rsidRPr="00054BC1">
        <w:rPr>
          <w:rFonts w:ascii="Arial" w:hAnsi="Arial" w:cs="Arial"/>
        </w:rPr>
        <w:t xml:space="preserve">to explore the </w:t>
      </w:r>
      <w:r w:rsidR="00577621" w:rsidRPr="00054BC1">
        <w:rPr>
          <w:rFonts w:ascii="Arial" w:hAnsi="Arial" w:cs="Arial"/>
        </w:rPr>
        <w:t>mechanism of Tebucon</w:t>
      </w:r>
      <w:r w:rsidR="00C43D5E" w:rsidRPr="00054BC1">
        <w:rPr>
          <w:rFonts w:ascii="Arial" w:hAnsi="Arial" w:cs="Arial"/>
        </w:rPr>
        <w:t>a</w:t>
      </w:r>
      <w:r w:rsidR="00577621" w:rsidRPr="00054BC1">
        <w:rPr>
          <w:rFonts w:ascii="Arial" w:hAnsi="Arial" w:cs="Arial"/>
        </w:rPr>
        <w:t xml:space="preserve">zole-induced responses for combating </w:t>
      </w:r>
      <w:r w:rsidR="00577621" w:rsidRPr="00054BC1">
        <w:rPr>
          <w:rFonts w:ascii="Arial" w:hAnsi="Arial" w:cs="Arial"/>
          <w:i/>
          <w:iCs/>
        </w:rPr>
        <w:t>Fusarium gr</w:t>
      </w:r>
      <w:r w:rsidR="00C43D5E" w:rsidRPr="00054BC1">
        <w:rPr>
          <w:rFonts w:ascii="Arial" w:hAnsi="Arial" w:cs="Arial"/>
          <w:i/>
          <w:iCs/>
        </w:rPr>
        <w:t>a</w:t>
      </w:r>
      <w:r w:rsidR="00577621" w:rsidRPr="00054BC1">
        <w:rPr>
          <w:rFonts w:ascii="Arial" w:hAnsi="Arial" w:cs="Arial"/>
          <w:i/>
          <w:iCs/>
        </w:rPr>
        <w:t>minearum</w:t>
      </w:r>
      <w:r w:rsidR="00577621" w:rsidRPr="00054BC1">
        <w:rPr>
          <w:rFonts w:ascii="Arial" w:hAnsi="Arial" w:cs="Arial"/>
        </w:rPr>
        <w:t xml:space="preserve"> infection in crop plants.  </w:t>
      </w:r>
    </w:p>
    <w:p w14:paraId="794C2914" w14:textId="16DD2FA7" w:rsidR="00B702DA" w:rsidRPr="00054BC1" w:rsidRDefault="00B702DA" w:rsidP="00F07A53">
      <w:pPr>
        <w:jc w:val="both"/>
        <w:rPr>
          <w:rFonts w:ascii="Arial" w:hAnsi="Arial" w:cs="Arial"/>
        </w:rPr>
      </w:pPr>
      <w:r w:rsidRPr="00054BC1">
        <w:rPr>
          <w:rFonts w:ascii="Arial" w:hAnsi="Arial" w:cs="Arial"/>
          <w:b/>
          <w:bCs/>
        </w:rPr>
        <w:t xml:space="preserve">Key words: </w:t>
      </w:r>
      <w:r w:rsidRPr="00054BC1">
        <w:rPr>
          <w:rFonts w:ascii="Arial" w:hAnsi="Arial" w:cs="Arial"/>
        </w:rPr>
        <w:t xml:space="preserve">Tebuconazole, </w:t>
      </w:r>
      <w:r w:rsidR="00C43D5E" w:rsidRPr="00054BC1">
        <w:rPr>
          <w:rFonts w:ascii="Arial" w:hAnsi="Arial" w:cs="Arial"/>
        </w:rPr>
        <w:t>M</w:t>
      </w:r>
      <w:r w:rsidRPr="00054BC1">
        <w:rPr>
          <w:rFonts w:ascii="Arial" w:hAnsi="Arial" w:cs="Arial"/>
        </w:rPr>
        <w:t>inimum inhibitory concentration, EC50, deoxynivalenol, mycotoxins, cereal crops.</w:t>
      </w:r>
    </w:p>
    <w:p w14:paraId="7BA306EC" w14:textId="77777777" w:rsidR="001431F1" w:rsidRPr="00054BC1" w:rsidRDefault="001431F1">
      <w:pPr>
        <w:rPr>
          <w:rFonts w:ascii="Arial" w:hAnsi="Arial" w:cs="Arial"/>
        </w:rPr>
      </w:pPr>
    </w:p>
    <w:sectPr w:rsidR="001431F1" w:rsidRPr="00054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8876CD"/>
    <w:multiLevelType w:val="hybridMultilevel"/>
    <w:tmpl w:val="E2A67616"/>
    <w:lvl w:ilvl="0" w:tplc="B590C7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E4A1A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6CE4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4A1C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2CDD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A2C8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DE39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34B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E0C8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489663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42C"/>
    <w:rsid w:val="00054BC1"/>
    <w:rsid w:val="00063AB0"/>
    <w:rsid w:val="0007355E"/>
    <w:rsid w:val="00095871"/>
    <w:rsid w:val="000D1D4D"/>
    <w:rsid w:val="0013182E"/>
    <w:rsid w:val="00136605"/>
    <w:rsid w:val="001431F1"/>
    <w:rsid w:val="00163404"/>
    <w:rsid w:val="002075BC"/>
    <w:rsid w:val="002212B9"/>
    <w:rsid w:val="00275EC3"/>
    <w:rsid w:val="002E1BD7"/>
    <w:rsid w:val="003445EB"/>
    <w:rsid w:val="0052236D"/>
    <w:rsid w:val="00577621"/>
    <w:rsid w:val="005C5181"/>
    <w:rsid w:val="00612792"/>
    <w:rsid w:val="006A328E"/>
    <w:rsid w:val="006A49FD"/>
    <w:rsid w:val="007B29A0"/>
    <w:rsid w:val="00801D00"/>
    <w:rsid w:val="008A0727"/>
    <w:rsid w:val="009366F2"/>
    <w:rsid w:val="00995EC0"/>
    <w:rsid w:val="009D5668"/>
    <w:rsid w:val="00A230AC"/>
    <w:rsid w:val="00A428B8"/>
    <w:rsid w:val="00A850EA"/>
    <w:rsid w:val="00B702DA"/>
    <w:rsid w:val="00BD4079"/>
    <w:rsid w:val="00C43D5E"/>
    <w:rsid w:val="00C9542C"/>
    <w:rsid w:val="00D01A3F"/>
    <w:rsid w:val="00DE3E51"/>
    <w:rsid w:val="00E748F6"/>
    <w:rsid w:val="00E9723B"/>
    <w:rsid w:val="00F06C15"/>
    <w:rsid w:val="00F0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C888D"/>
  <w15:chartTrackingRefBased/>
  <w15:docId w15:val="{03E5965F-2B48-4AFD-9F49-078E62F8E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66F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216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47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7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tkuribalu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katkuri balakrishna</dc:creator>
  <cp:keywords/>
  <dc:description/>
  <cp:lastModifiedBy>katkuri balakrishna</cp:lastModifiedBy>
  <cp:revision>19</cp:revision>
  <dcterms:created xsi:type="dcterms:W3CDTF">2023-01-13T11:05:00Z</dcterms:created>
  <dcterms:modified xsi:type="dcterms:W3CDTF">2023-01-14T10:47:00Z</dcterms:modified>
</cp:coreProperties>
</file>