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Arial" w:cs="Arial" w:hAnsi="Arial" w:eastAsia="Arial"/>
          <w:sz w:val="24"/>
          <w:szCs w:val="24"/>
        </w:rPr>
      </w:pPr>
      <w:r>
        <w:rPr>
          <w:rFonts w:ascii="Arial" w:hAnsi="Arial"/>
          <w:sz w:val="24"/>
          <w:szCs w:val="24"/>
          <w:rtl w:val="0"/>
          <w:lang w:val="en-US"/>
        </w:rPr>
        <w:t>Detecting putative pathogenicity and virulence genes in</w:t>
      </w:r>
      <w:r>
        <w:rPr>
          <w:rFonts w:ascii="Arial" w:hAnsi="Arial"/>
          <w:i w:val="1"/>
          <w:iCs w:val="1"/>
          <w:sz w:val="24"/>
          <w:szCs w:val="24"/>
          <w:rtl w:val="0"/>
          <w:lang w:val="en-US"/>
        </w:rPr>
        <w:t xml:space="preserve"> Erysiphe pisi</w:t>
      </w:r>
      <w:r>
        <w:rPr>
          <w:rFonts w:ascii="Arial" w:hAnsi="Arial"/>
          <w:sz w:val="24"/>
          <w:szCs w:val="24"/>
          <w:rtl w:val="0"/>
          <w:lang w:val="en-US"/>
        </w:rPr>
        <w:t xml:space="preserve"> through genome-wide </w:t>
      </w:r>
      <w:r>
        <w:rPr>
          <w:rFonts w:ascii="Arial" w:hAnsi="Arial"/>
          <w:i w:val="1"/>
          <w:iCs w:val="1"/>
          <w:sz w:val="24"/>
          <w:szCs w:val="24"/>
          <w:rtl w:val="0"/>
          <w:lang w:val="en-US"/>
        </w:rPr>
        <w:t>in-silico</w:t>
      </w:r>
      <w:r>
        <w:rPr>
          <w:rFonts w:ascii="Arial" w:hAnsi="Arial"/>
          <w:sz w:val="24"/>
          <w:szCs w:val="24"/>
          <w:rtl w:val="0"/>
          <w:lang w:val="en-US"/>
        </w:rPr>
        <w:t xml:space="preserve"> search and differential host set analysis</w:t>
      </w:r>
    </w:p>
    <w:p>
      <w:pPr>
        <w:pStyle w:val="Title"/>
        <w:rPr>
          <w:rFonts w:ascii="Arial" w:cs="Arial" w:hAnsi="Arial" w:eastAsia="Arial"/>
          <w:sz w:val="24"/>
          <w:szCs w:val="24"/>
        </w:rPr>
      </w:pPr>
      <w:r>
        <w:rPr>
          <w:rFonts w:ascii="Arial" w:hAnsi="Arial"/>
          <w:sz w:val="24"/>
          <w:szCs w:val="24"/>
          <w:rtl w:val="0"/>
          <w:lang w:val="en-US"/>
        </w:rPr>
        <w:t xml:space="preserve">  </w:t>
      </w:r>
    </w:p>
    <w:p>
      <w:pPr>
        <w:pStyle w:val="Body"/>
        <w:rPr>
          <w:rFonts w:ascii="Arial" w:cs="Arial" w:hAnsi="Arial" w:eastAsia="Arial"/>
          <w:vertAlign w:val="superscript"/>
        </w:rPr>
      </w:pPr>
      <w:r>
        <w:rPr>
          <w:rFonts w:ascii="Arial" w:hAnsi="Arial"/>
          <w:b w:val="1"/>
          <w:bCs w:val="1"/>
          <w:u w:val="single"/>
          <w:rtl w:val="0"/>
        </w:rPr>
        <w:t>Payal Kumari</w:t>
      </w:r>
      <w:r>
        <w:rPr>
          <w:rFonts w:ascii="Arial" w:hAnsi="Arial"/>
          <w:vertAlign w:val="superscript"/>
          <w:rtl w:val="0"/>
        </w:rPr>
        <w:t xml:space="preserve">1, </w:t>
      </w:r>
      <w:r>
        <w:rPr>
          <w:rFonts w:ascii="Arial" w:hAnsi="Arial"/>
          <w:rtl w:val="0"/>
        </w:rPr>
        <w:t>Priyambada</w:t>
      </w:r>
      <w:r>
        <w:rPr>
          <w:rFonts w:ascii="Arial" w:hAnsi="Arial"/>
          <w:vertAlign w:val="superscript"/>
          <w:rtl w:val="0"/>
        </w:rPr>
        <w:t>1</w:t>
      </w:r>
      <w:r>
        <w:rPr>
          <w:rFonts w:ascii="Arial" w:hAnsi="Arial"/>
          <w:rtl w:val="0"/>
          <w:lang w:val="en-US"/>
        </w:rPr>
        <w:t xml:space="preserve"> and</w:t>
      </w:r>
      <w:r>
        <w:rPr>
          <w:rFonts w:ascii="Arial" w:hAnsi="Arial"/>
          <w:b w:val="1"/>
          <w:bCs w:val="1"/>
          <w:rtl w:val="0"/>
        </w:rPr>
        <w:t xml:space="preserve"> </w:t>
      </w:r>
      <w:r>
        <w:rPr>
          <w:rFonts w:ascii="Arial" w:hAnsi="Arial"/>
          <w:rtl w:val="0"/>
        </w:rPr>
        <w:t>Ragiba Makandar*</w:t>
      </w:r>
      <w:r>
        <w:rPr>
          <w:rFonts w:ascii="Arial" w:hAnsi="Arial"/>
          <w:vertAlign w:val="superscript"/>
          <w:rtl w:val="0"/>
        </w:rPr>
        <w:t>1</w:t>
      </w:r>
    </w:p>
    <w:p>
      <w:pPr>
        <w:pStyle w:val="Body A"/>
        <w:rPr>
          <w:rFonts w:ascii="Arial" w:cs="Arial" w:hAnsi="Arial" w:eastAsia="Arial"/>
          <w:sz w:val="24"/>
          <w:szCs w:val="24"/>
        </w:rPr>
      </w:pPr>
      <w:r>
        <w:rPr>
          <w:rFonts w:ascii="Arial" w:hAnsi="Arial"/>
          <w:sz w:val="24"/>
          <w:szCs w:val="24"/>
          <w:rtl w:val="0"/>
          <w:lang w:val="en-US"/>
        </w:rPr>
        <w:t xml:space="preserve">  </w:t>
      </w:r>
    </w:p>
    <w:p>
      <w:pPr>
        <w:pStyle w:val="Body A"/>
        <w:rPr>
          <w:rFonts w:ascii="Times New Roman" w:cs="Times New Roman" w:hAnsi="Times New Roman" w:eastAsia="Times New Roman"/>
          <w:sz w:val="24"/>
          <w:szCs w:val="24"/>
        </w:rPr>
      </w:pPr>
    </w:p>
    <w:p>
      <w:pPr>
        <w:pStyle w:val="Body A"/>
        <w:rPr>
          <w:rFonts w:ascii="Arial" w:cs="Arial" w:hAnsi="Arial" w:eastAsia="Arial"/>
        </w:rPr>
      </w:pPr>
      <w:r>
        <w:rPr>
          <w:rFonts w:ascii="Arial" w:hAnsi="Arial"/>
          <w:position w:val="20"/>
          <w:rtl w:val="0"/>
          <w:lang w:val="en-US"/>
        </w:rPr>
        <w:t>1</w:t>
      </w:r>
      <w:r>
        <w:rPr>
          <w:rFonts w:ascii="Arial" w:hAnsi="Arial"/>
          <w:rtl w:val="0"/>
          <w:lang w:val="en-US"/>
        </w:rPr>
        <w:t>Department of plant sciences, School of life sciences, University of Hyderabad-500046, India.</w:t>
      </w:r>
    </w:p>
    <w:p>
      <w:pPr>
        <w:pStyle w:val="Title"/>
        <w:rPr>
          <w:rFonts w:ascii="Arial" w:cs="Arial" w:hAnsi="Arial" w:eastAsia="Arial"/>
          <w:sz w:val="22"/>
          <w:szCs w:val="22"/>
        </w:rPr>
      </w:pPr>
    </w:p>
    <w:p>
      <w:pPr>
        <w:pStyle w:val="Body A"/>
        <w:rPr>
          <w:rFonts w:ascii="Arial" w:cs="Arial" w:hAnsi="Arial" w:eastAsia="Arial"/>
        </w:rPr>
      </w:pPr>
      <w:r>
        <w:rPr>
          <w:rFonts w:ascii="Arial" w:hAnsi="Arial"/>
          <w:rtl w:val="0"/>
          <w:lang w:val="en-US"/>
        </w:rPr>
        <w:t>*E-mail id: mragiba@uohyd.ac.in</w:t>
      </w:r>
    </w:p>
    <w:p>
      <w:pPr>
        <w:pStyle w:val="Title"/>
        <w:rPr>
          <w:rFonts w:ascii="Arial" w:cs="Arial" w:hAnsi="Arial" w:eastAsia="Arial"/>
          <w:sz w:val="22"/>
          <w:szCs w:val="22"/>
        </w:rPr>
      </w:pPr>
      <w:r>
        <w:rPr>
          <w:rFonts w:ascii="Arial" w:hAnsi="Arial"/>
          <w:sz w:val="22"/>
          <w:szCs w:val="22"/>
          <w:rtl w:val="0"/>
          <w:lang w:val="en-US"/>
        </w:rPr>
        <w:t xml:space="preserve">        </w:t>
      </w:r>
    </w:p>
    <w:p>
      <w:pPr>
        <w:pStyle w:val="Title"/>
        <w:rPr>
          <w:rFonts w:ascii="Arial" w:cs="Arial" w:hAnsi="Arial" w:eastAsia="Arial"/>
          <w:sz w:val="22"/>
          <w:szCs w:val="22"/>
        </w:rPr>
      </w:pPr>
      <w:r>
        <w:rPr>
          <w:rFonts w:ascii="Arial" w:hAnsi="Arial"/>
          <w:sz w:val="22"/>
          <w:szCs w:val="22"/>
          <w:rtl w:val="0"/>
          <w:lang w:val="en-US"/>
        </w:rPr>
        <w:t>Abstract</w:t>
      </w:r>
    </w:p>
    <w:p>
      <w:pPr>
        <w:pStyle w:val="Default"/>
        <w:spacing w:line="312" w:lineRule="auto"/>
        <w:jc w:val="both"/>
        <w:rPr>
          <w:rFonts w:ascii="Arial" w:cs="Arial" w:hAnsi="Arial" w:eastAsia="Arial"/>
        </w:rPr>
      </w:pPr>
    </w:p>
    <w:p>
      <w:pPr>
        <w:pStyle w:val="Default"/>
        <w:spacing w:line="360" w:lineRule="auto"/>
        <w:jc w:val="both"/>
        <w:rPr>
          <w:rFonts w:ascii="Arial" w:cs="Arial" w:hAnsi="Arial" w:eastAsia="Arial"/>
          <w:color w:val="0e101a"/>
          <w:u w:color="0e101a"/>
        </w:rPr>
      </w:pPr>
      <w:r>
        <w:rPr>
          <w:rFonts w:ascii="Arial" w:hAnsi="Arial"/>
          <w:rtl w:val="0"/>
          <w:lang w:val="en-US"/>
        </w:rPr>
        <w:t xml:space="preserve">The powdery mildew causing fungi are obligate biotrophic pathogens requiring a living host for their survival in plants. Though </w:t>
      </w:r>
      <w:r>
        <w:rPr>
          <w:rFonts w:ascii="Arial" w:hAnsi="Arial"/>
          <w:i w:val="1"/>
          <w:iCs w:val="1"/>
          <w:rtl w:val="0"/>
          <w:lang w:val="en-US"/>
        </w:rPr>
        <w:t>Erysiphe pisi</w:t>
      </w:r>
      <w:r>
        <w:rPr>
          <w:rFonts w:ascii="Arial" w:hAnsi="Arial"/>
          <w:rtl w:val="0"/>
          <w:lang w:val="en-US"/>
        </w:rPr>
        <w:t xml:space="preserve"> is the chief causal agent which infects garden pea, of late studies suggest that it forms a complex with other member species like, </w:t>
      </w:r>
      <w:r>
        <w:rPr>
          <w:rFonts w:ascii="Arial" w:hAnsi="Arial"/>
          <w:i w:val="1"/>
          <w:iCs w:val="1"/>
          <w:rtl w:val="0"/>
          <w:lang w:val="en-US"/>
        </w:rPr>
        <w:t>E. trifoli</w:t>
      </w:r>
      <w:r>
        <w:rPr>
          <w:rFonts w:ascii="Arial" w:hAnsi="Arial"/>
          <w:rtl w:val="0"/>
          <w:lang w:val="en-US"/>
        </w:rPr>
        <w:t xml:space="preserve">, </w:t>
      </w:r>
      <w:r>
        <w:rPr>
          <w:rFonts w:ascii="Arial" w:hAnsi="Arial"/>
          <w:i w:val="1"/>
          <w:iCs w:val="1"/>
          <w:rtl w:val="0"/>
          <w:lang w:val="en-US"/>
        </w:rPr>
        <w:t>E. baumeleri</w:t>
      </w:r>
      <w:r>
        <w:rPr>
          <w:rFonts w:ascii="Arial" w:hAnsi="Arial"/>
          <w:rtl w:val="0"/>
          <w:lang w:val="en-US"/>
        </w:rPr>
        <w:t xml:space="preserve"> etc. Our understanding of pathogenicity and virulence of the pathogen is very limited. Moreover, the fungal members of the powdery mildew causing pathogen appears to exhibit host specificity providing evidence of the mechanism of adapted host-pathogen interaction between garden pea and </w:t>
      </w:r>
      <w:r>
        <w:rPr>
          <w:rFonts w:ascii="Arial" w:hAnsi="Arial"/>
          <w:i w:val="1"/>
          <w:iCs w:val="1"/>
          <w:rtl w:val="0"/>
          <w:lang w:val="en-US"/>
        </w:rPr>
        <w:t>E. pisi</w:t>
      </w:r>
      <w:r>
        <w:rPr>
          <w:rFonts w:ascii="Arial" w:hAnsi="Arial"/>
          <w:rtl w:val="0"/>
          <w:lang w:val="en-US"/>
        </w:rPr>
        <w:t xml:space="preserve">. </w:t>
      </w:r>
      <w:r>
        <w:rPr>
          <w:rFonts w:ascii="Arial" w:hAnsi="Arial"/>
          <w:color w:val="0e101a"/>
          <w:u w:color="0e101a"/>
          <w:rtl w:val="0"/>
          <w:lang w:val="en-US"/>
        </w:rPr>
        <w:t>Pathogenicity associated genes are mandatory for the completion of the pathogen</w:t>
      </w:r>
      <w:r>
        <w:rPr>
          <w:rFonts w:ascii="Arial" w:hAnsi="Arial" w:hint="default"/>
          <w:color w:val="0e101a"/>
          <w:u w:color="0e101a"/>
          <w:rtl w:val="0"/>
          <w:lang w:val="en-US"/>
        </w:rPr>
        <w:t>’</w:t>
      </w:r>
      <w:r>
        <w:rPr>
          <w:rFonts w:ascii="Arial" w:hAnsi="Arial"/>
          <w:color w:val="0e101a"/>
          <w:u w:color="0e101a"/>
          <w:rtl w:val="0"/>
          <w:lang w:val="en-US"/>
        </w:rPr>
        <w:t xml:space="preserve">s life cycle. Preliminary findings from a genome-wide </w:t>
      </w:r>
      <w:r>
        <w:rPr>
          <w:rFonts w:ascii="Arial" w:hAnsi="Arial"/>
          <w:i w:val="1"/>
          <w:iCs w:val="1"/>
          <w:color w:val="0e101a"/>
          <w:u w:color="0e101a"/>
          <w:rtl w:val="0"/>
          <w:lang w:val="en-US"/>
        </w:rPr>
        <w:t>in-silico</w:t>
      </w:r>
      <w:r>
        <w:rPr>
          <w:rFonts w:ascii="Arial" w:hAnsi="Arial"/>
          <w:color w:val="0e101a"/>
          <w:u w:color="0e101a"/>
          <w:rtl w:val="0"/>
          <w:lang w:val="en-US"/>
        </w:rPr>
        <w:t xml:space="preserve"> analysis has led to the detection of 23 putative pathogenicity gene sequences from the genome data available in public domain of other related  powdery mildew causing pathogens, which include </w:t>
      </w:r>
      <w:r>
        <w:rPr>
          <w:rFonts w:ascii="Arial" w:hAnsi="Arial"/>
          <w:i w:val="1"/>
          <w:iCs w:val="1"/>
          <w:color w:val="0e101a"/>
          <w:u w:color="0e101a"/>
          <w:rtl w:val="0"/>
          <w:lang w:val="en-US"/>
        </w:rPr>
        <w:t>Blumeria graminis, Erysiphe necator, Erysiphe pulchra, Uncinula necator</w:t>
      </w:r>
      <w:r>
        <w:rPr>
          <w:rFonts w:ascii="Arial" w:hAnsi="Arial"/>
          <w:color w:val="0e101a"/>
          <w:u w:color="0e101a"/>
          <w:rtl w:val="0"/>
          <w:lang w:val="en-US"/>
        </w:rPr>
        <w:t xml:space="preserve">. Of these, 13 candidate genes showed high conservancy with </w:t>
      </w:r>
      <w:r>
        <w:rPr>
          <w:rFonts w:ascii="Arial" w:hAnsi="Arial"/>
          <w:i w:val="1"/>
          <w:iCs w:val="1"/>
          <w:color w:val="0e101a"/>
          <w:u w:color="0e101a"/>
          <w:rtl w:val="0"/>
          <w:lang w:val="en-US"/>
        </w:rPr>
        <w:t>E. pisi</w:t>
      </w:r>
      <w:r>
        <w:rPr>
          <w:rFonts w:ascii="Arial" w:hAnsi="Arial"/>
          <w:color w:val="0e101a"/>
          <w:u w:color="0e101a"/>
          <w:rtl w:val="0"/>
          <w:lang w:val="en-US"/>
        </w:rPr>
        <w:t xml:space="preserve"> and are being validated through genomic polymerase chain reactions (PCRs) and reverse transcriptase (</w:t>
      </w:r>
      <w:r>
        <w:rPr>
          <w:rFonts w:ascii="Arial" w:hAnsi="Arial"/>
          <w:rtl w:val="0"/>
          <w:lang w:val="en-US"/>
        </w:rPr>
        <w:t>RT)-PCR</w:t>
      </w:r>
      <w:r>
        <w:rPr>
          <w:rFonts w:ascii="Arial" w:hAnsi="Arial"/>
          <w:color w:val="0e101a"/>
          <w:u w:color="0e101a"/>
          <w:rtl w:val="0"/>
          <w:lang w:val="en-US"/>
        </w:rPr>
        <w:t xml:space="preserve">. A set of host differentials comprising of highly resistant (HR), resistant (R), moderately resistant (MR), moderately susceptible (MS), susceptible (S) and highly susceptible (HS) will be screened for expression of these putative gene sequences to confirm the pathogenicity and virulence of </w:t>
      </w:r>
      <w:r>
        <w:rPr>
          <w:rFonts w:ascii="Arial" w:hAnsi="Arial"/>
          <w:i w:val="1"/>
          <w:iCs w:val="1"/>
          <w:color w:val="0e101a"/>
          <w:u w:color="0e101a"/>
          <w:rtl w:val="0"/>
          <w:lang w:val="en-US"/>
        </w:rPr>
        <w:t>E. pisi</w:t>
      </w:r>
      <w:r>
        <w:rPr>
          <w:rFonts w:ascii="Arial" w:hAnsi="Arial"/>
          <w:color w:val="0e101a"/>
          <w:u w:color="0e101a"/>
          <w:rtl w:val="0"/>
          <w:lang w:val="en-US"/>
        </w:rPr>
        <w:t xml:space="preserve"> pathogen through host-pathogen interaction and the study shall be presented.</w:t>
      </w:r>
    </w:p>
    <w:p>
      <w:pPr>
        <w:pStyle w:val="Default"/>
        <w:spacing w:line="360" w:lineRule="auto"/>
        <w:jc w:val="both"/>
        <w:rPr>
          <w:rFonts w:ascii="Arial" w:cs="Arial" w:hAnsi="Arial" w:eastAsia="Arial"/>
          <w:color w:val="0e101a"/>
          <w:u w:color="0e101a"/>
        </w:rPr>
      </w:pPr>
    </w:p>
    <w:p>
      <w:pPr>
        <w:pStyle w:val="Default"/>
        <w:spacing w:line="360" w:lineRule="auto"/>
        <w:jc w:val="both"/>
        <w:rPr>
          <w:rFonts w:ascii="Arial" w:cs="Arial" w:hAnsi="Arial" w:eastAsia="Arial"/>
          <w:color w:val="0e101a"/>
          <w:u w:color="0e101a"/>
        </w:rPr>
      </w:pPr>
    </w:p>
    <w:p>
      <w:pPr>
        <w:pStyle w:val="Default"/>
        <w:spacing w:line="360" w:lineRule="auto"/>
        <w:jc w:val="both"/>
        <w:rPr>
          <w:rFonts w:ascii="Arial" w:cs="Arial" w:hAnsi="Arial" w:eastAsia="Arial"/>
          <w:color w:val="0e101a"/>
          <w:u w:color="0e101a"/>
        </w:rPr>
      </w:pPr>
      <w:r>
        <w:rPr>
          <w:rFonts w:ascii="Arial" w:hAnsi="Arial"/>
          <w:b w:val="1"/>
          <w:bCs w:val="1"/>
          <w:color w:val="0e101a"/>
          <w:u w:color="0e101a"/>
          <w:rtl w:val="0"/>
          <w:lang w:val="en-US"/>
        </w:rPr>
        <w:t>Key words:</w:t>
      </w:r>
      <w:r>
        <w:rPr>
          <w:rFonts w:ascii="Arial" w:hAnsi="Arial"/>
          <w:color w:val="0e101a"/>
          <w:u w:color="0e101a"/>
          <w:rtl w:val="0"/>
          <w:lang w:val="en-US"/>
        </w:rPr>
        <w:t xml:space="preserve"> Garden pea, Pathogenicity, virulence</w:t>
      </w:r>
      <w:r>
        <w:rPr>
          <w:rFonts w:ascii="Arial" w:hAnsi="Arial"/>
          <w:i w:val="1"/>
          <w:iCs w:val="1"/>
          <w:color w:val="0e101a"/>
          <w:u w:color="0e101a"/>
          <w:rtl w:val="0"/>
          <w:lang w:val="en-US"/>
        </w:rPr>
        <w:t>, in-silico</w:t>
      </w:r>
      <w:r>
        <w:rPr>
          <w:rFonts w:ascii="Arial" w:hAnsi="Arial"/>
          <w:color w:val="0e101a"/>
          <w:u w:color="0e101a"/>
          <w:rtl w:val="0"/>
          <w:lang w:val="en-US"/>
        </w:rPr>
        <w:t>, genome-wide search, differential hosts</w:t>
      </w:r>
    </w:p>
    <w:p>
      <w:pPr>
        <w:pStyle w:val="Default"/>
        <w:spacing w:line="360" w:lineRule="auto"/>
        <w:jc w:val="both"/>
        <w:rPr>
          <w:rFonts w:ascii="Arial" w:cs="Arial" w:hAnsi="Arial" w:eastAsia="Arial"/>
          <w:color w:val="0e101a"/>
          <w:u w:color="0e101a"/>
        </w:rPr>
      </w:pPr>
    </w:p>
    <w:p>
      <w:pPr>
        <w:pStyle w:val="Default"/>
        <w:spacing w:line="312" w:lineRule="auto"/>
        <w:jc w:val="both"/>
        <w:rPr>
          <w:rFonts w:ascii="Arial" w:cs="Arial" w:hAnsi="Arial" w:eastAsia="Arial"/>
          <w:color w:val="0e101a"/>
          <w:u w:color="0e101a"/>
        </w:rPr>
      </w:pPr>
      <w:r>
        <w:rPr>
          <w:rFonts w:ascii="Arial" w:hAnsi="Arial"/>
          <w:color w:val="0e101a"/>
          <w:u w:color="0e101a"/>
          <w:rtl w:val="0"/>
          <w:lang w:val="en-US"/>
        </w:rPr>
        <w:t xml:space="preserve"> </w:t>
      </w:r>
    </w:p>
    <w:p>
      <w:pPr>
        <w:pStyle w:val="Default"/>
        <w:spacing w:line="312" w:lineRule="auto"/>
        <w:jc w:val="both"/>
        <w:rPr>
          <w:rFonts w:ascii="Arial" w:cs="Arial" w:hAnsi="Arial" w:eastAsia="Arial"/>
          <w:color w:val="0e101a"/>
          <w:u w:color="0e101a"/>
        </w:rPr>
      </w:pPr>
    </w:p>
    <w:p>
      <w:pPr>
        <w:pStyle w:val="Default"/>
        <w:spacing w:line="312" w:lineRule="auto"/>
        <w:jc w:val="both"/>
        <w:rPr>
          <w:rFonts w:ascii="Times New Roman" w:cs="Times New Roman" w:hAnsi="Times New Roman" w:eastAsia="Times New Roman"/>
          <w:color w:val="0e101a"/>
          <w:sz w:val="24"/>
          <w:szCs w:val="24"/>
          <w:u w:color="0e101a"/>
        </w:rPr>
      </w:pPr>
    </w:p>
    <w:p>
      <w:pPr>
        <w:pStyle w:val="Default"/>
        <w:spacing w:line="312" w:lineRule="auto"/>
        <w:jc w:val="both"/>
        <w:rPr>
          <w:rFonts w:ascii="Times New Roman" w:cs="Times New Roman" w:hAnsi="Times New Roman" w:eastAsia="Times New Roman"/>
          <w:color w:val="0e101a"/>
          <w:sz w:val="24"/>
          <w:szCs w:val="24"/>
          <w:u w:color="0e101a"/>
        </w:rPr>
      </w:pPr>
    </w:p>
    <w:p>
      <w:pPr>
        <w:pStyle w:val="Default"/>
        <w:spacing w:line="312" w:lineRule="auto"/>
        <w:jc w:val="both"/>
        <w:rPr>
          <w:rFonts w:ascii="Times New Roman" w:cs="Times New Roman" w:hAnsi="Times New Roman" w:eastAsia="Times New Roman"/>
          <w:color w:val="0e101a"/>
          <w:sz w:val="24"/>
          <w:szCs w:val="24"/>
          <w:u w:color="0e101a"/>
        </w:rPr>
      </w:pPr>
    </w:p>
    <w:p>
      <w:pPr>
        <w:pStyle w:val="Default"/>
        <w:spacing w:line="312" w:lineRule="auto"/>
        <w:jc w:val="both"/>
        <w:rPr>
          <w:rFonts w:ascii="Times New Roman" w:cs="Times New Roman" w:hAnsi="Times New Roman" w:eastAsia="Times New Roman"/>
          <w:color w:val="0e101a"/>
          <w:sz w:val="24"/>
          <w:szCs w:val="24"/>
          <w:u w:color="0e101a"/>
        </w:rPr>
      </w:pPr>
    </w:p>
    <w:p>
      <w:pPr>
        <w:pStyle w:val="Default"/>
        <w:spacing w:line="312" w:lineRule="auto"/>
        <w:jc w:val="both"/>
        <w:rPr>
          <w:rFonts w:ascii="Times New Roman" w:cs="Times New Roman" w:hAnsi="Times New Roman" w:eastAsia="Times New Roman"/>
          <w:color w:val="0e101a"/>
          <w:sz w:val="24"/>
          <w:szCs w:val="24"/>
          <w:u w:color="0e101a"/>
        </w:rPr>
      </w:pPr>
    </w:p>
    <w:p>
      <w:pPr>
        <w:pStyle w:val="Default"/>
        <w:spacing w:after="240" w:line="200" w:lineRule="atLeast"/>
        <w:rPr>
          <w:rFonts w:ascii="Times New Roman" w:cs="Times New Roman" w:hAnsi="Times New Roman" w:eastAsia="Times New Roman"/>
          <w:sz w:val="24"/>
          <w:szCs w:val="24"/>
        </w:rPr>
      </w:pPr>
    </w:p>
    <w:p>
      <w:pPr>
        <w:pStyle w:val="Default"/>
        <w:spacing w:after="240" w:line="200" w:lineRule="atLeast"/>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p>
    <w:p>
      <w:pPr>
        <w:pStyle w:val="Body A"/>
      </w:pPr>
      <w:r>
        <w:rPr>
          <w:rFonts w:ascii="Times New Roman" w:cs="Times New Roman" w:hAnsi="Times New Roman" w:eastAsia="Times New Roman"/>
          <w:sz w:val="24"/>
          <w:szCs w:val="24"/>
        </w:rPr>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vertAlign w:val="baseline"/>
      <w:lang w:val="en-US"/>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