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both"/>
        <w:rPr>
          <w:rFonts w:hint="default" w:ascii="Arial" w:hAnsi="Arial" w:cs="Arial"/>
          <w:b/>
          <w:sz w:val="24"/>
          <w:szCs w:val="24"/>
        </w:rPr>
      </w:pPr>
      <w:r>
        <w:rPr>
          <w:rFonts w:hint="default" w:ascii="Arial" w:hAnsi="Arial" w:cs="Arial"/>
          <w:b/>
          <w:sz w:val="24"/>
          <w:szCs w:val="24"/>
        </w:rPr>
        <w:t xml:space="preserve">Mobile </w:t>
      </w:r>
      <w:r>
        <w:rPr>
          <w:rFonts w:hint="default" w:ascii="Arial" w:hAnsi="Arial" w:cs="Arial"/>
          <w:b/>
          <w:sz w:val="24"/>
          <w:szCs w:val="24"/>
          <w:lang w:val="en-US"/>
        </w:rPr>
        <w:t>RNA</w:t>
      </w:r>
      <w:r>
        <w:rPr>
          <w:rFonts w:hint="default" w:ascii="Arial" w:hAnsi="Arial" w:cs="Arial"/>
          <w:b/>
          <w:sz w:val="24"/>
          <w:szCs w:val="24"/>
        </w:rPr>
        <w:t xml:space="preserve"> and </w:t>
      </w:r>
      <w:r>
        <w:rPr>
          <w:rFonts w:hint="default" w:ascii="Arial" w:hAnsi="Arial" w:cs="Arial"/>
          <w:b/>
          <w:sz w:val="24"/>
          <w:szCs w:val="24"/>
          <w:lang w:val="en-US"/>
        </w:rPr>
        <w:t>RNA</w:t>
      </w:r>
      <w:r>
        <w:rPr>
          <w:rFonts w:hint="default" w:ascii="Arial" w:hAnsi="Arial" w:cs="Arial"/>
          <w:b/>
          <w:sz w:val="24"/>
          <w:szCs w:val="24"/>
        </w:rPr>
        <w:t xml:space="preserve"> binding proteins </w:t>
      </w:r>
      <w:bookmarkStart w:id="0" w:name="_GoBack"/>
      <w:bookmarkEnd w:id="0"/>
      <w:r>
        <w:rPr>
          <w:rFonts w:hint="default" w:ascii="Arial" w:hAnsi="Arial" w:cs="Arial"/>
          <w:b/>
          <w:sz w:val="24"/>
          <w:szCs w:val="24"/>
        </w:rPr>
        <w:t>in tandem enhances tuber yield in potato through a gene stacking approach</w:t>
      </w:r>
    </w:p>
    <w:p>
      <w:pPr>
        <w:spacing w:line="276" w:lineRule="auto"/>
        <w:jc w:val="both"/>
        <w:rPr>
          <w:rFonts w:hint="default" w:ascii="Arial" w:hAnsi="Arial" w:cs="Arial"/>
          <w:b/>
          <w:sz w:val="22"/>
          <w:szCs w:val="22"/>
        </w:rPr>
      </w:pPr>
    </w:p>
    <w:p>
      <w:pPr>
        <w:autoSpaceDE w:val="0"/>
        <w:autoSpaceDN w:val="0"/>
        <w:adjustRightInd w:val="0"/>
        <w:spacing w:line="276" w:lineRule="auto"/>
        <w:contextualSpacing/>
        <w:jc w:val="both"/>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Kirtikumar R. Kondhare</w:t>
      </w:r>
      <w:r>
        <w:rPr>
          <w:rFonts w:hint="default" w:ascii="Arial" w:hAnsi="Arial" w:cs="Arial"/>
          <w:color w:val="000000" w:themeColor="text1"/>
          <w:sz w:val="22"/>
          <w:szCs w:val="22"/>
          <w:vertAlign w:val="superscript"/>
          <w14:textFill>
            <w14:solidFill>
              <w14:schemeClr w14:val="tx1"/>
            </w14:solidFill>
          </w14:textFill>
        </w:rPr>
        <w:t>1,2</w:t>
      </w:r>
      <w:r>
        <w:rPr>
          <w:rFonts w:hint="default" w:ascii="Arial" w:hAnsi="Arial" w:cs="Arial"/>
          <w:color w:val="000000" w:themeColor="text1"/>
          <w:sz w:val="22"/>
          <w:szCs w:val="22"/>
          <w14:textFill>
            <w14:solidFill>
              <w14:schemeClr w14:val="tx1"/>
            </w14:solidFill>
          </w14:textFill>
        </w:rPr>
        <w:t xml:space="preserve">, </w:t>
      </w:r>
      <w:r>
        <w:rPr>
          <w:rFonts w:hint="default" w:ascii="Arial" w:hAnsi="Arial" w:cs="Arial"/>
          <w:b/>
          <w:color w:val="000000" w:themeColor="text1"/>
          <w:sz w:val="22"/>
          <w:szCs w:val="22"/>
          <w:u w:val="single"/>
          <w14:textFill>
            <w14:solidFill>
              <w14:schemeClr w14:val="tx1"/>
            </w14:solidFill>
          </w14:textFill>
        </w:rPr>
        <w:t>Nikita S. Patil</w:t>
      </w:r>
      <w:r>
        <w:rPr>
          <w:rFonts w:hint="default" w:ascii="Arial" w:hAnsi="Arial" w:cs="Arial"/>
          <w:b/>
          <w:color w:val="000000" w:themeColor="text1"/>
          <w:sz w:val="22"/>
          <w:szCs w:val="22"/>
          <w:u w:val="single"/>
          <w:vertAlign w:val="superscript"/>
          <w14:textFill>
            <w14:solidFill>
              <w14:schemeClr w14:val="tx1"/>
            </w14:solidFill>
          </w14:textFill>
        </w:rPr>
        <w:t>1</w:t>
      </w:r>
      <w:r>
        <w:rPr>
          <w:rFonts w:hint="default" w:ascii="Arial" w:hAnsi="Arial" w:cs="Arial"/>
          <w:color w:val="000000" w:themeColor="text1"/>
          <w:sz w:val="22"/>
          <w:szCs w:val="22"/>
          <w14:textFill>
            <w14:solidFill>
              <w14:schemeClr w14:val="tx1"/>
            </w14:solidFill>
          </w14:textFill>
        </w:rPr>
        <w:t>, Sundaresha Siddappa</w:t>
      </w:r>
      <w:r>
        <w:rPr>
          <w:rFonts w:hint="default" w:ascii="Arial" w:hAnsi="Arial" w:cs="Arial"/>
          <w:color w:val="000000" w:themeColor="text1"/>
          <w:sz w:val="22"/>
          <w:szCs w:val="22"/>
          <w:vertAlign w:val="superscript"/>
          <w14:textFill>
            <w14:solidFill>
              <w14:schemeClr w14:val="tx1"/>
            </w14:solidFill>
          </w14:textFill>
        </w:rPr>
        <w:t>3</w:t>
      </w:r>
      <w:r>
        <w:rPr>
          <w:rFonts w:hint="default" w:ascii="Arial" w:hAnsi="Arial" w:cs="Arial"/>
          <w:color w:val="000000" w:themeColor="text1"/>
          <w:sz w:val="22"/>
          <w:szCs w:val="22"/>
          <w14:textFill>
            <w14:solidFill>
              <w14:schemeClr w14:val="tx1"/>
            </w14:solidFill>
          </w14:textFill>
        </w:rPr>
        <w:t>, Anjan K. Banerjee</w:t>
      </w:r>
      <w:r>
        <w:rPr>
          <w:rFonts w:hint="default" w:ascii="Arial" w:hAnsi="Arial" w:cs="Arial"/>
          <w:color w:val="000000" w:themeColor="text1"/>
          <w:sz w:val="22"/>
          <w:szCs w:val="22"/>
          <w:vertAlign w:val="superscript"/>
          <w14:textFill>
            <w14:solidFill>
              <w14:schemeClr w14:val="tx1"/>
            </w14:solidFill>
          </w14:textFill>
        </w:rPr>
        <w:t>1*</w:t>
      </w:r>
      <w:r>
        <w:rPr>
          <w:rFonts w:hint="default" w:ascii="Arial" w:hAnsi="Arial" w:cs="Arial"/>
          <w:color w:val="000000" w:themeColor="text1"/>
          <w:sz w:val="22"/>
          <w:szCs w:val="22"/>
          <w14:textFill>
            <w14:solidFill>
              <w14:schemeClr w14:val="tx1"/>
            </w14:solidFill>
          </w14:textFill>
        </w:rPr>
        <w:t xml:space="preserve"> &amp; David J. Hannapel</w:t>
      </w:r>
      <w:r>
        <w:rPr>
          <w:rFonts w:hint="default" w:ascii="Arial" w:hAnsi="Arial" w:cs="Arial"/>
          <w:color w:val="000000" w:themeColor="text1"/>
          <w:sz w:val="22"/>
          <w:szCs w:val="22"/>
          <w:vertAlign w:val="superscript"/>
          <w14:textFill>
            <w14:solidFill>
              <w14:schemeClr w14:val="tx1"/>
            </w14:solidFill>
          </w14:textFill>
        </w:rPr>
        <w:t>4*</w:t>
      </w:r>
    </w:p>
    <w:p>
      <w:pPr>
        <w:autoSpaceDE w:val="0"/>
        <w:autoSpaceDN w:val="0"/>
        <w:adjustRightInd w:val="0"/>
        <w:spacing w:line="276" w:lineRule="auto"/>
        <w:contextualSpacing/>
        <w:jc w:val="both"/>
        <w:rPr>
          <w:rFonts w:hint="default" w:ascii="Arial" w:hAnsi="Arial" w:cs="Arial"/>
          <w:color w:val="000000" w:themeColor="text1"/>
          <w:sz w:val="22"/>
          <w:szCs w:val="22"/>
          <w14:textFill>
            <w14:solidFill>
              <w14:schemeClr w14:val="tx1"/>
            </w14:solidFill>
          </w14:textFill>
        </w:rPr>
      </w:pPr>
    </w:p>
    <w:p>
      <w:pPr>
        <w:autoSpaceDE w:val="0"/>
        <w:autoSpaceDN w:val="0"/>
        <w:adjustRightInd w:val="0"/>
        <w:spacing w:line="276" w:lineRule="auto"/>
        <w:contextualSpacing/>
        <w:jc w:val="both"/>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vertAlign w:val="superscript"/>
          <w14:textFill>
            <w14:solidFill>
              <w14:schemeClr w14:val="tx1"/>
            </w14:solidFill>
          </w14:textFill>
        </w:rPr>
        <w:t>1</w:t>
      </w:r>
      <w:r>
        <w:rPr>
          <w:rFonts w:hint="default" w:ascii="Arial" w:hAnsi="Arial" w:cs="Arial"/>
          <w:color w:val="000000" w:themeColor="text1"/>
          <w:sz w:val="22"/>
          <w:szCs w:val="22"/>
          <w14:textFill>
            <w14:solidFill>
              <w14:schemeClr w14:val="tx1"/>
            </w14:solidFill>
          </w14:textFill>
        </w:rPr>
        <w:t>Biology Division, Indian Institute of Science Education and Research (IISER) Pune, Dr. Homi Bhabha Road, Maharashtra, India - 411008</w:t>
      </w:r>
    </w:p>
    <w:p>
      <w:pPr>
        <w:autoSpaceDE w:val="0"/>
        <w:autoSpaceDN w:val="0"/>
        <w:adjustRightInd w:val="0"/>
        <w:spacing w:line="276" w:lineRule="auto"/>
        <w:contextualSpacing/>
        <w:jc w:val="both"/>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vertAlign w:val="superscript"/>
          <w14:textFill>
            <w14:solidFill>
              <w14:schemeClr w14:val="tx1"/>
            </w14:solidFill>
          </w14:textFill>
        </w:rPr>
        <w:t>2</w:t>
      </w:r>
      <w:r>
        <w:rPr>
          <w:rFonts w:hint="default" w:ascii="Arial" w:hAnsi="Arial" w:cs="Arial"/>
          <w:color w:val="000000" w:themeColor="text1"/>
          <w:sz w:val="22"/>
          <w:szCs w:val="22"/>
          <w14:textFill>
            <w14:solidFill>
              <w14:schemeClr w14:val="tx1"/>
            </w14:solidFill>
          </w14:textFill>
        </w:rPr>
        <w:t>Biochemical Sciences Division, CSIR-National Chemical Laboratory (NCL), Dr. Homi Bhabha Road, Pune, Maharashtra, India – 411008 (Current address)</w:t>
      </w:r>
    </w:p>
    <w:p>
      <w:pPr>
        <w:autoSpaceDE w:val="0"/>
        <w:autoSpaceDN w:val="0"/>
        <w:adjustRightInd w:val="0"/>
        <w:spacing w:line="276" w:lineRule="auto"/>
        <w:contextualSpacing/>
        <w:jc w:val="both"/>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vertAlign w:val="superscript"/>
          <w14:textFill>
            <w14:solidFill>
              <w14:schemeClr w14:val="tx1"/>
            </w14:solidFill>
          </w14:textFill>
        </w:rPr>
        <w:t>3</w:t>
      </w:r>
      <w:r>
        <w:rPr>
          <w:rFonts w:hint="default" w:ascii="Arial" w:hAnsi="Arial" w:cs="Arial"/>
          <w:color w:val="000000" w:themeColor="text1"/>
          <w:sz w:val="22"/>
          <w:szCs w:val="22"/>
          <w14:textFill>
            <w14:solidFill>
              <w14:schemeClr w14:val="tx1"/>
            </w14:solidFill>
          </w14:textFill>
        </w:rPr>
        <w:t>Crop Improvement Division, Central Potato Research Institute (CPRI), Shimla, Himachal Pradesh 171001, India</w:t>
      </w:r>
    </w:p>
    <w:p>
      <w:pPr>
        <w:autoSpaceDE w:val="0"/>
        <w:autoSpaceDN w:val="0"/>
        <w:adjustRightInd w:val="0"/>
        <w:spacing w:line="276" w:lineRule="auto"/>
        <w:contextualSpacing/>
        <w:jc w:val="both"/>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vertAlign w:val="superscript"/>
          <w14:textFill>
            <w14:solidFill>
              <w14:schemeClr w14:val="tx1"/>
            </w14:solidFill>
          </w14:textFill>
        </w:rPr>
        <w:t>4</w:t>
      </w:r>
      <w:r>
        <w:rPr>
          <w:rFonts w:hint="default" w:ascii="Arial" w:hAnsi="Arial" w:cs="Arial"/>
          <w:color w:val="000000" w:themeColor="text1"/>
          <w:sz w:val="22"/>
          <w:szCs w:val="22"/>
          <w14:textFill>
            <w14:solidFill>
              <w14:schemeClr w14:val="tx1"/>
            </w14:solidFill>
          </w14:textFill>
        </w:rPr>
        <w:t>Plant Biology Major, 253 Horticulture Hall, Iowa State University (ISU), Ames, IA, United States</w:t>
      </w:r>
    </w:p>
    <w:p>
      <w:pPr>
        <w:spacing w:line="276" w:lineRule="auto"/>
        <w:jc w:val="both"/>
        <w:rPr>
          <w:rFonts w:hint="default" w:ascii="Arial" w:hAnsi="Arial" w:cs="Arial"/>
          <w:b/>
          <w:sz w:val="22"/>
          <w:szCs w:val="22"/>
        </w:rPr>
      </w:pPr>
    </w:p>
    <w:p>
      <w:pPr>
        <w:spacing w:line="276" w:lineRule="auto"/>
        <w:jc w:val="both"/>
        <w:rPr>
          <w:rFonts w:hint="default" w:ascii="Arial" w:hAnsi="Arial" w:cs="Arial"/>
          <w:sz w:val="22"/>
          <w:szCs w:val="22"/>
        </w:rPr>
      </w:pPr>
      <w:r>
        <w:rPr>
          <w:rFonts w:hint="default" w:ascii="Arial" w:hAnsi="Arial" w:cs="Arial"/>
          <w:sz w:val="22"/>
          <w:szCs w:val="22"/>
        </w:rPr>
        <w:t xml:space="preserve">Long-distance signaling mechanism enables plant to integrate several intrinsic and extrinsic cues to orchestrate growth and development. Full-length mRNAs, proteins, small RNAs, phytohormones and several chemical compounds travel to distant tissues and act as messengers to relay signals governing growth, development, stress and defense phenomena. In potato, </w:t>
      </w:r>
      <w:r>
        <w:rPr>
          <w:rFonts w:hint="default" w:ascii="Arial" w:hAnsi="Arial" w:cs="Arial"/>
          <w:i/>
          <w:sz w:val="22"/>
          <w:szCs w:val="22"/>
        </w:rPr>
        <w:t>StBEL5</w:t>
      </w:r>
      <w:r>
        <w:rPr>
          <w:rFonts w:hint="default" w:ascii="Arial" w:hAnsi="Arial" w:cs="Arial"/>
          <w:sz w:val="22"/>
          <w:szCs w:val="22"/>
        </w:rPr>
        <w:t xml:space="preserve"> was discovered to be the first mobile regulator of tuberization. Under tuber inductive conditions, two RNA binding proteins (RBPs), StPTB1 and -6 bind to the UTRs of </w:t>
      </w:r>
      <w:r>
        <w:rPr>
          <w:rFonts w:hint="default" w:ascii="Arial" w:hAnsi="Arial" w:cs="Arial"/>
          <w:i/>
          <w:iCs/>
          <w:sz w:val="22"/>
          <w:szCs w:val="22"/>
        </w:rPr>
        <w:t>StBEL5</w:t>
      </w:r>
      <w:r>
        <w:rPr>
          <w:rFonts w:hint="default" w:ascii="Arial" w:hAnsi="Arial" w:cs="Arial"/>
          <w:sz w:val="22"/>
          <w:szCs w:val="22"/>
        </w:rPr>
        <w:t xml:space="preserve"> to provide stability to the transcript and facilitate its transport </w:t>
      </w:r>
      <w:r>
        <w:rPr>
          <w:rFonts w:hint="default" w:ascii="Arial" w:hAnsi="Arial" w:cs="Arial"/>
          <w:i/>
          <w:sz w:val="22"/>
          <w:szCs w:val="22"/>
        </w:rPr>
        <w:t>via</w:t>
      </w:r>
      <w:r>
        <w:rPr>
          <w:rFonts w:hint="default" w:ascii="Arial" w:hAnsi="Arial" w:cs="Arial"/>
          <w:sz w:val="22"/>
          <w:szCs w:val="22"/>
        </w:rPr>
        <w:t xml:space="preserve"> the phloem conduit from leaves to belowground stolon (modified stem). In stolons, </w:t>
      </w:r>
      <w:r>
        <w:rPr>
          <w:rFonts w:hint="default" w:ascii="Arial" w:hAnsi="Arial" w:cs="Arial"/>
          <w:i/>
          <w:sz w:val="22"/>
          <w:szCs w:val="22"/>
        </w:rPr>
        <w:t>StBEL5</w:t>
      </w:r>
      <w:r>
        <w:rPr>
          <w:rFonts w:hint="default" w:ascii="Arial" w:hAnsi="Arial" w:cs="Arial"/>
          <w:sz w:val="22"/>
          <w:szCs w:val="22"/>
        </w:rPr>
        <w:t xml:space="preserve"> mRNA is translated into protein and acts as a positive regulator of tuber initiation and development. To achieve improved and efficient long-distance delivery of </w:t>
      </w:r>
      <w:r>
        <w:rPr>
          <w:rFonts w:hint="default" w:ascii="Arial" w:hAnsi="Arial" w:cs="Arial"/>
          <w:i/>
          <w:iCs/>
          <w:sz w:val="22"/>
          <w:szCs w:val="22"/>
        </w:rPr>
        <w:t>StBEL5</w:t>
      </w:r>
      <w:r>
        <w:rPr>
          <w:rFonts w:hint="default" w:ascii="Arial" w:hAnsi="Arial" w:cs="Arial"/>
          <w:sz w:val="22"/>
          <w:szCs w:val="22"/>
        </w:rPr>
        <w:t xml:space="preserve"> to stolons, we employed a gene-stacking approach utilizing a mobile RNA </w:t>
      </w:r>
      <w:r>
        <w:rPr>
          <w:rFonts w:hint="default" w:ascii="Arial" w:hAnsi="Arial" w:cs="Arial"/>
          <w:i/>
          <w:sz w:val="22"/>
          <w:szCs w:val="22"/>
        </w:rPr>
        <w:t>StBEL5</w:t>
      </w:r>
      <w:r>
        <w:rPr>
          <w:rFonts w:hint="default" w:ascii="Arial" w:hAnsi="Arial" w:cs="Arial"/>
          <w:sz w:val="22"/>
          <w:szCs w:val="22"/>
        </w:rPr>
        <w:t xml:space="preserve"> and two RBPs (StPTB1 and -6)</w:t>
      </w:r>
      <w:r>
        <w:rPr>
          <w:rFonts w:hint="default" w:ascii="Arial" w:hAnsi="Arial" w:cs="Arial"/>
          <w:iCs/>
          <w:sz w:val="22"/>
          <w:szCs w:val="22"/>
        </w:rPr>
        <w:t>.</w:t>
      </w:r>
      <w:r>
        <w:rPr>
          <w:rFonts w:hint="default" w:ascii="Arial" w:hAnsi="Arial" w:cs="Arial"/>
          <w:sz w:val="22"/>
          <w:szCs w:val="22"/>
        </w:rPr>
        <w:t xml:space="preserve"> We generated three synergistic constructs (SCs): SC-1, SC-2 and SC-3. In SCs, StBEL5 and StPTB1 and/or StPTB6 were expressed under their native promoters and stacked in a binary vector in combinations. Stable transgenic lines of two potato (</w:t>
      </w:r>
      <w:r>
        <w:rPr>
          <w:rFonts w:hint="default" w:ascii="Arial" w:hAnsi="Arial" w:cs="Arial"/>
          <w:i/>
          <w:iCs/>
          <w:sz w:val="22"/>
          <w:szCs w:val="22"/>
        </w:rPr>
        <w:t>Solanum tuberosum)</w:t>
      </w:r>
      <w:r>
        <w:rPr>
          <w:rFonts w:hint="default" w:ascii="Arial" w:hAnsi="Arial" w:cs="Arial"/>
          <w:sz w:val="22"/>
          <w:szCs w:val="22"/>
        </w:rPr>
        <w:t xml:space="preserve"> cultivars, </w:t>
      </w:r>
      <w:r>
        <w:rPr>
          <w:rFonts w:hint="default" w:ascii="Arial" w:hAnsi="Arial" w:cs="Arial"/>
          <w:bCs/>
          <w:iCs/>
          <w:sz w:val="22"/>
          <w:szCs w:val="22"/>
        </w:rPr>
        <w:t>Désirée</w:t>
      </w:r>
      <w:r>
        <w:rPr>
          <w:rFonts w:hint="default" w:ascii="Arial" w:hAnsi="Arial" w:cs="Arial"/>
          <w:bCs/>
          <w:i/>
          <w:iCs/>
          <w:sz w:val="22"/>
          <w:szCs w:val="22"/>
        </w:rPr>
        <w:t xml:space="preserve"> </w:t>
      </w:r>
      <w:r>
        <w:rPr>
          <w:rFonts w:hint="default" w:ascii="Arial" w:hAnsi="Arial" w:cs="Arial"/>
          <w:sz w:val="22"/>
          <w:szCs w:val="22"/>
        </w:rPr>
        <w:t xml:space="preserve">and </w:t>
      </w:r>
      <w:r>
        <w:rPr>
          <w:rFonts w:hint="default" w:ascii="Arial" w:hAnsi="Arial" w:cs="Arial"/>
          <w:iCs/>
          <w:sz w:val="22"/>
          <w:szCs w:val="22"/>
        </w:rPr>
        <w:t>Andigena</w:t>
      </w:r>
      <w:r>
        <w:rPr>
          <w:rFonts w:hint="default" w:ascii="Arial" w:hAnsi="Arial" w:cs="Arial"/>
          <w:i/>
          <w:iCs/>
          <w:sz w:val="22"/>
          <w:szCs w:val="22"/>
        </w:rPr>
        <w:t xml:space="preserve"> </w:t>
      </w:r>
      <w:r>
        <w:rPr>
          <w:rFonts w:hint="default" w:ascii="Arial" w:hAnsi="Arial" w:cs="Arial"/>
          <w:sz w:val="22"/>
          <w:szCs w:val="22"/>
        </w:rPr>
        <w:t xml:space="preserve">were generated. Selective </w:t>
      </w:r>
      <w:r>
        <w:rPr>
          <w:rFonts w:hint="default" w:ascii="Arial" w:hAnsi="Arial" w:cs="Arial"/>
          <w:bCs/>
          <w:iCs/>
          <w:sz w:val="22"/>
          <w:szCs w:val="22"/>
        </w:rPr>
        <w:t>Désirée</w:t>
      </w:r>
      <w:r>
        <w:rPr>
          <w:rFonts w:hint="default" w:ascii="Arial" w:hAnsi="Arial" w:cs="Arial"/>
          <w:bCs/>
          <w:i/>
          <w:iCs/>
          <w:sz w:val="22"/>
          <w:szCs w:val="22"/>
        </w:rPr>
        <w:t xml:space="preserve"> </w:t>
      </w:r>
      <w:r>
        <w:rPr>
          <w:rFonts w:hint="default" w:ascii="Arial" w:hAnsi="Arial" w:cs="Arial"/>
          <w:sz w:val="22"/>
          <w:szCs w:val="22"/>
        </w:rPr>
        <w:t xml:space="preserve">lines of each construct were assessed for their tuber yield parameters, such as earliness for tuberization, stolon-forming capacity, tuber number and weight. All the transgenic lines exhibited earliness for tuberization under </w:t>
      </w:r>
      <w:r>
        <w:rPr>
          <w:rFonts w:hint="default" w:ascii="Arial" w:hAnsi="Arial" w:cs="Arial"/>
          <w:iCs/>
          <w:sz w:val="22"/>
          <w:szCs w:val="22"/>
        </w:rPr>
        <w:t>in vitro</w:t>
      </w:r>
      <w:r>
        <w:rPr>
          <w:rFonts w:hint="default" w:ascii="Arial" w:hAnsi="Arial" w:cs="Arial"/>
          <w:sz w:val="22"/>
          <w:szCs w:val="22"/>
        </w:rPr>
        <w:t xml:space="preserve"> as well as greenhouse conditions. Plants grown in soil revealed that the transgenic lines generate more number of stolons as compared to the WT plants. T</w:t>
      </w:r>
      <w:r>
        <w:rPr>
          <w:rFonts w:hint="default" w:ascii="Arial" w:hAnsi="Arial" w:cs="Arial"/>
          <w:bCs/>
          <w:sz w:val="22"/>
          <w:szCs w:val="22"/>
        </w:rPr>
        <w:t xml:space="preserve">uber yields in the </w:t>
      </w:r>
      <w:r>
        <w:rPr>
          <w:rFonts w:hint="default" w:ascii="Arial" w:hAnsi="Arial" w:cs="Arial"/>
          <w:bCs/>
          <w:iCs/>
          <w:sz w:val="22"/>
          <w:szCs w:val="22"/>
        </w:rPr>
        <w:t xml:space="preserve">Désirée </w:t>
      </w:r>
      <w:r>
        <w:rPr>
          <w:rFonts w:hint="default" w:ascii="Arial" w:hAnsi="Arial" w:cs="Arial"/>
          <w:bCs/>
          <w:sz w:val="22"/>
          <w:szCs w:val="22"/>
        </w:rPr>
        <w:t>transgenic lines were two- to ten-fold greater than non-transgenic controls depending on the construct. Further, under field conditions, the average tuber weight of SC transgenic tubers was 1.5 to 4.8 folds higher when compared to transgenic vector line. In summary, the transgenic lines generated using these synergistic constructs performed better than previously reported single-gene, constitutive promoter over expression lines under greenhouse and field conditions. Our study highlights the translational potential of this innovative gene-stacking approach in enhancing potato tuberization – an important agronomic trait, to address the global food security issues.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3206"/>
    <w:rsid w:val="00067F39"/>
    <w:rsid w:val="002450AD"/>
    <w:rsid w:val="003478EC"/>
    <w:rsid w:val="003E0A7D"/>
    <w:rsid w:val="005107D3"/>
    <w:rsid w:val="005169A0"/>
    <w:rsid w:val="005737A9"/>
    <w:rsid w:val="00573817"/>
    <w:rsid w:val="005B69AA"/>
    <w:rsid w:val="008165AE"/>
    <w:rsid w:val="0086779A"/>
    <w:rsid w:val="008816FD"/>
    <w:rsid w:val="0089710C"/>
    <w:rsid w:val="008D522B"/>
    <w:rsid w:val="008F55C3"/>
    <w:rsid w:val="0092776D"/>
    <w:rsid w:val="00973206"/>
    <w:rsid w:val="00976A46"/>
    <w:rsid w:val="00B17695"/>
    <w:rsid w:val="00BA4FD0"/>
    <w:rsid w:val="00BD4F24"/>
    <w:rsid w:val="00C216B3"/>
    <w:rsid w:val="00C650F3"/>
    <w:rsid w:val="00D12496"/>
    <w:rsid w:val="00E87AAC"/>
    <w:rsid w:val="00EB349B"/>
    <w:rsid w:val="00EF01DD"/>
    <w:rsid w:val="00F064BD"/>
    <w:rsid w:val="00F06D89"/>
    <w:rsid w:val="01B01C6D"/>
    <w:rsid w:val="140E60DB"/>
    <w:rsid w:val="1B057A50"/>
    <w:rsid w:val="1E2E4087"/>
    <w:rsid w:val="22A67A97"/>
    <w:rsid w:val="23AB5501"/>
    <w:rsid w:val="27F2329F"/>
    <w:rsid w:val="286E727E"/>
    <w:rsid w:val="2DF35743"/>
    <w:rsid w:val="2EE7693B"/>
    <w:rsid w:val="3AFC1DFF"/>
    <w:rsid w:val="3B977E56"/>
    <w:rsid w:val="3D5531A1"/>
    <w:rsid w:val="43652656"/>
    <w:rsid w:val="5ACE14FA"/>
    <w:rsid w:val="5DAB08C3"/>
    <w:rsid w:val="610A4A62"/>
    <w:rsid w:val="6604617B"/>
    <w:rsid w:val="660A0257"/>
    <w:rsid w:val="716F74E6"/>
    <w:rsid w:val="722D4EEC"/>
    <w:rsid w:val="72DF007F"/>
    <w:rsid w:val="74D661E8"/>
    <w:rsid w:val="74E7523A"/>
    <w:rsid w:val="79FD7CBB"/>
    <w:rsid w:val="7C660C1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8"/>
    <w:semiHidden/>
    <w:unhideWhenUsed/>
    <w:uiPriority w:val="0"/>
    <w:rPr>
      <w:rFonts w:ascii="Segoe UI" w:hAnsi="Segoe UI" w:cs="Segoe UI"/>
      <w:sz w:val="18"/>
      <w:szCs w:val="18"/>
    </w:rPr>
  </w:style>
  <w:style w:type="character" w:styleId="5">
    <w:name w:val="annotation reference"/>
    <w:basedOn w:val="2"/>
    <w:semiHidden/>
    <w:unhideWhenUsed/>
    <w:uiPriority w:val="0"/>
    <w:rPr>
      <w:sz w:val="16"/>
      <w:szCs w:val="16"/>
    </w:rPr>
  </w:style>
  <w:style w:type="paragraph" w:styleId="6">
    <w:name w:val="annotation text"/>
    <w:basedOn w:val="1"/>
    <w:link w:val="9"/>
    <w:semiHidden/>
    <w:unhideWhenUsed/>
    <w:uiPriority w:val="0"/>
  </w:style>
  <w:style w:type="paragraph" w:styleId="7">
    <w:name w:val="annotation subject"/>
    <w:basedOn w:val="6"/>
    <w:next w:val="6"/>
    <w:link w:val="10"/>
    <w:semiHidden/>
    <w:unhideWhenUsed/>
    <w:qFormat/>
    <w:uiPriority w:val="0"/>
    <w:rPr>
      <w:b/>
      <w:bCs/>
    </w:rPr>
  </w:style>
  <w:style w:type="character" w:customStyle="1" w:styleId="8">
    <w:name w:val="Balloon Text Char"/>
    <w:basedOn w:val="2"/>
    <w:link w:val="4"/>
    <w:semiHidden/>
    <w:uiPriority w:val="0"/>
    <w:rPr>
      <w:rFonts w:ascii="Segoe UI" w:hAnsi="Segoe UI" w:cs="Segoe UI"/>
      <w:sz w:val="18"/>
      <w:szCs w:val="18"/>
      <w:lang w:val="en-US" w:eastAsia="zh-CN"/>
    </w:rPr>
  </w:style>
  <w:style w:type="character" w:customStyle="1" w:styleId="9">
    <w:name w:val="Comment Text Char"/>
    <w:basedOn w:val="2"/>
    <w:link w:val="6"/>
    <w:semiHidden/>
    <w:qFormat/>
    <w:uiPriority w:val="0"/>
    <w:rPr>
      <w:lang w:val="en-US" w:eastAsia="zh-CN"/>
    </w:rPr>
  </w:style>
  <w:style w:type="character" w:customStyle="1" w:styleId="10">
    <w:name w:val="Comment Subject Char"/>
    <w:basedOn w:val="9"/>
    <w:link w:val="7"/>
    <w:semiHidden/>
    <w:uiPriority w:val="0"/>
    <w:rPr>
      <w:b/>
      <w:bCs/>
      <w:lang w:val="en-US" w:eastAsia="zh-C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 Company</Company>
  <Pages>1</Pages>
  <Words>463</Words>
  <Characters>2645</Characters>
  <Lines>22</Lines>
  <Paragraphs>6</Paragraphs>
  <TotalTime>42</TotalTime>
  <ScaleCrop>false</ScaleCrop>
  <LinksUpToDate>false</LinksUpToDate>
  <CharactersWithSpaces>3102</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2023-01-11T02:55:00Z</dcterms:created>
  <dc:creator>nikps</dc:creator>
  <cp:lastModifiedBy>Nikita Patil</cp:lastModifiedBy>
  <dcterms:modified xsi:type="dcterms:W3CDTF">2023-01-15T13:38:40Z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06DD995FEF0C434CAE5E11320AAF1D4E</vt:lpwstr>
  </property>
</Properties>
</file>