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933" w:rsidRPr="00F01A2E" w:rsidRDefault="002E1933" w:rsidP="002E1933">
      <w:pPr>
        <w:rPr>
          <w:rFonts w:ascii="Arial" w:hAnsi="Arial" w:cs="Arial"/>
          <w:b/>
          <w:sz w:val="24"/>
          <w:szCs w:val="24"/>
        </w:rPr>
      </w:pPr>
      <w:bookmarkStart w:id="0" w:name="_GoBack"/>
      <w:bookmarkEnd w:id="0"/>
      <w:r w:rsidRPr="00F01A2E">
        <w:rPr>
          <w:rFonts w:ascii="Arial" w:hAnsi="Arial" w:cs="Arial"/>
          <w:b/>
          <w:color w:val="333333"/>
          <w:sz w:val="24"/>
          <w:szCs w:val="24"/>
          <w:shd w:val="clear" w:color="auto" w:fill="FFFFFF"/>
        </w:rPr>
        <w:t>Promoter activation by ACGT cis regulatory elements is differentially regulated by the spacing between two copies of the motif</w:t>
      </w:r>
    </w:p>
    <w:p w:rsidR="002E1933" w:rsidRPr="00C47321" w:rsidRDefault="002E1933" w:rsidP="002E1933">
      <w:pPr>
        <w:rPr>
          <w:vertAlign w:val="superscript"/>
        </w:rPr>
      </w:pPr>
      <w:r>
        <w:t xml:space="preserve">Rajesh </w:t>
      </w:r>
      <w:proofErr w:type="gramStart"/>
      <w:r>
        <w:t>Mehrotra</w:t>
      </w:r>
      <w:r>
        <w:rPr>
          <w:vertAlign w:val="superscript"/>
        </w:rPr>
        <w:t>1</w:t>
      </w:r>
      <w:r>
        <w:t xml:space="preserve"> ,Pinky</w:t>
      </w:r>
      <w:proofErr w:type="gramEnd"/>
      <w:r>
        <w:t xml:space="preserve"> </w:t>
      </w:r>
      <w:proofErr w:type="spellStart"/>
      <w:r>
        <w:t>Dhatterwal</w:t>
      </w:r>
      <w:proofErr w:type="spellEnd"/>
      <w:r>
        <w:t xml:space="preserve"> </w:t>
      </w:r>
      <w:r>
        <w:rPr>
          <w:vertAlign w:val="superscript"/>
        </w:rPr>
        <w:t>1</w:t>
      </w:r>
      <w:r>
        <w:t>and Sandhya Mehrotra</w:t>
      </w:r>
      <w:r>
        <w:rPr>
          <w:vertAlign w:val="superscript"/>
        </w:rPr>
        <w:t>1</w:t>
      </w:r>
    </w:p>
    <w:p w:rsidR="002E1933" w:rsidRDefault="002E1933" w:rsidP="002E1933">
      <w:r>
        <w:t xml:space="preserve">Department of Biological </w:t>
      </w:r>
      <w:proofErr w:type="spellStart"/>
      <w:r>
        <w:t>Sciences</w:t>
      </w:r>
      <w:proofErr w:type="gramStart"/>
      <w:r>
        <w:t>,BITS,Pilani,KK</w:t>
      </w:r>
      <w:proofErr w:type="spellEnd"/>
      <w:proofErr w:type="gramEnd"/>
      <w:r>
        <w:t xml:space="preserve"> Birla Goa </w:t>
      </w:r>
      <w:proofErr w:type="spellStart"/>
      <w:r>
        <w:t>campus,Zuarinagar,Goa</w:t>
      </w:r>
      <w:proofErr w:type="spellEnd"/>
      <w:r>
        <w:t xml:space="preserve"> 403726</w:t>
      </w:r>
    </w:p>
    <w:p w:rsidR="002E1933" w:rsidRPr="00F01A2E" w:rsidRDefault="00F01A2E" w:rsidP="002E1933">
      <w:pPr>
        <w:spacing w:line="360" w:lineRule="auto"/>
        <w:jc w:val="both"/>
        <w:rPr>
          <w:rFonts w:ascii="Arial" w:hAnsi="Arial" w:cs="Arial"/>
        </w:rPr>
      </w:pPr>
      <w:r>
        <w:rPr>
          <w:rFonts w:ascii="Arial" w:eastAsia="Times New Roman" w:hAnsi="Arial" w:cs="Arial"/>
        </w:rPr>
        <w:t xml:space="preserve">The transcription control of gene expression is a fundamental </w:t>
      </w:r>
      <w:proofErr w:type="spellStart"/>
      <w:r>
        <w:rPr>
          <w:rFonts w:ascii="Arial" w:eastAsia="Times New Roman" w:hAnsi="Arial" w:cs="Arial"/>
        </w:rPr>
        <w:t>process.The</w:t>
      </w:r>
      <w:proofErr w:type="spellEnd"/>
      <w:r>
        <w:rPr>
          <w:rFonts w:ascii="Arial" w:eastAsia="Times New Roman" w:hAnsi="Arial" w:cs="Arial"/>
        </w:rPr>
        <w:t xml:space="preserve"> interactions between cis regulatory elements and transcriptional factors </w:t>
      </w:r>
      <w:proofErr w:type="gramStart"/>
      <w:r>
        <w:rPr>
          <w:rFonts w:ascii="Arial" w:eastAsia="Times New Roman" w:hAnsi="Arial" w:cs="Arial"/>
        </w:rPr>
        <w:t>are  central</w:t>
      </w:r>
      <w:proofErr w:type="gramEnd"/>
      <w:r>
        <w:rPr>
          <w:rFonts w:ascii="Arial" w:eastAsia="Times New Roman" w:hAnsi="Arial" w:cs="Arial"/>
        </w:rPr>
        <w:t xml:space="preserve"> to the gene expression process. The ACGT </w:t>
      </w:r>
      <w:r w:rsidR="002E1933" w:rsidRPr="00F01A2E">
        <w:rPr>
          <w:rFonts w:ascii="Arial" w:eastAsia="Times New Roman" w:hAnsi="Arial" w:cs="Arial"/>
        </w:rPr>
        <w:t xml:space="preserve">core sequence has been established as a functionally important </w:t>
      </w:r>
      <w:r w:rsidR="002E1933" w:rsidRPr="00F01A2E">
        <w:rPr>
          <w:rFonts w:ascii="Arial" w:eastAsia="Times New Roman" w:hAnsi="Arial" w:cs="Arial"/>
          <w:i/>
        </w:rPr>
        <w:t>cis</w:t>
      </w:r>
      <w:r w:rsidR="002E1933" w:rsidRPr="00F01A2E">
        <w:rPr>
          <w:rFonts w:ascii="Arial" w:eastAsia="Times New Roman" w:hAnsi="Arial" w:cs="Arial"/>
        </w:rPr>
        <w:t xml:space="preserve"> element in several promoters that respond to different stimuli like light, </w:t>
      </w:r>
      <w:proofErr w:type="spellStart"/>
      <w:r w:rsidR="002E1933" w:rsidRPr="00F01A2E">
        <w:rPr>
          <w:rFonts w:ascii="Arial" w:eastAsia="Times New Roman" w:hAnsi="Arial" w:cs="Arial"/>
        </w:rPr>
        <w:t>anaerobiosis</w:t>
      </w:r>
      <w:proofErr w:type="spellEnd"/>
      <w:r w:rsidR="002E1933" w:rsidRPr="00F01A2E">
        <w:rPr>
          <w:rFonts w:ascii="Arial" w:eastAsia="Times New Roman" w:hAnsi="Arial" w:cs="Arial"/>
        </w:rPr>
        <w:t xml:space="preserve"> and hormones. It frequently regulates </w:t>
      </w:r>
      <w:hyperlink r:id="rId6" w:tgtFrame="_blank" w:history="1">
        <w:r w:rsidR="002E1933" w:rsidRPr="00F01A2E">
          <w:rPr>
            <w:rFonts w:ascii="Arial" w:eastAsia="Times New Roman" w:hAnsi="Arial" w:cs="Arial"/>
            <w:bCs/>
          </w:rPr>
          <w:t>gene expression</w:t>
        </w:r>
      </w:hyperlink>
      <w:r w:rsidR="002E1933" w:rsidRPr="00F01A2E">
        <w:rPr>
          <w:rFonts w:ascii="Arial" w:eastAsia="Times New Roman" w:hAnsi="Arial" w:cs="Arial"/>
        </w:rPr>
        <w:t xml:space="preserve"> in synergy with other cis elements.  Our research is aimed at understanding the </w:t>
      </w:r>
      <w:proofErr w:type="spellStart"/>
      <w:r w:rsidR="002E1933" w:rsidRPr="00F01A2E">
        <w:rPr>
          <w:rFonts w:ascii="Arial" w:eastAsia="Times New Roman" w:hAnsi="Arial" w:cs="Arial"/>
        </w:rPr>
        <w:t>mechanistics</w:t>
      </w:r>
      <w:proofErr w:type="spellEnd"/>
      <w:r w:rsidR="002E1933" w:rsidRPr="00F01A2E">
        <w:rPr>
          <w:rFonts w:ascii="Arial" w:eastAsia="Times New Roman" w:hAnsi="Arial" w:cs="Arial"/>
        </w:rPr>
        <w:t xml:space="preserve"> of transcriptional </w:t>
      </w:r>
      <w:hyperlink r:id="rId7" w:tgtFrame="_blank" w:history="1">
        <w:r w:rsidR="002E1933" w:rsidRPr="00F01A2E">
          <w:rPr>
            <w:rFonts w:ascii="Arial" w:eastAsia="Times New Roman" w:hAnsi="Arial" w:cs="Arial"/>
            <w:bCs/>
          </w:rPr>
          <w:t>regulation</w:t>
        </w:r>
      </w:hyperlink>
      <w:r w:rsidR="002E1933" w:rsidRPr="00F01A2E">
        <w:rPr>
          <w:rFonts w:ascii="Arial" w:eastAsia="Times New Roman" w:hAnsi="Arial" w:cs="Arial"/>
        </w:rPr>
        <w:t xml:space="preserve">, focusing on the role of cis regulatory modules in regulation of gene expression. We did comparative genomic analysis of </w:t>
      </w:r>
      <w:r>
        <w:rPr>
          <w:rFonts w:ascii="Arial" w:eastAsia="Times New Roman" w:hAnsi="Arial" w:cs="Arial"/>
        </w:rPr>
        <w:t xml:space="preserve">cis regulatory </w:t>
      </w:r>
      <w:proofErr w:type="spellStart"/>
      <w:r>
        <w:rPr>
          <w:rFonts w:ascii="Arial" w:eastAsia="Times New Roman" w:hAnsi="Arial" w:cs="Arial"/>
        </w:rPr>
        <w:t>elemets</w:t>
      </w:r>
      <w:proofErr w:type="spellEnd"/>
      <w:r>
        <w:rPr>
          <w:rFonts w:ascii="Arial" w:eastAsia="Times New Roman" w:hAnsi="Arial" w:cs="Arial"/>
        </w:rPr>
        <w:t xml:space="preserve"> across </w:t>
      </w:r>
      <w:r w:rsidR="002E1933" w:rsidRPr="00F01A2E">
        <w:rPr>
          <w:rFonts w:ascii="Arial" w:eastAsia="Times New Roman" w:hAnsi="Arial" w:cs="Arial"/>
        </w:rPr>
        <w:t>four different plant genomes.</w:t>
      </w:r>
      <w:r w:rsidR="002E1933" w:rsidRPr="00F01A2E">
        <w:rPr>
          <w:rFonts w:ascii="Arial" w:hAnsi="Arial" w:cs="Arial"/>
        </w:rPr>
        <w:t xml:space="preserve"> Our data indicated specific predominant spacer lengths between co-occurring ACGT elements, but these lengths were not universally conserved across all species under analysis. However, the frequency distribution indicated local regions of high correlation among monocots and dicots. Our data indicated specific predominant spacer lengths between co-occurring ACGT elements, but these lengths were not universally conserved across all species under analysis. However, the frequency distribution indicated local regions of high correlation among monocots and dicots. Sequence specificity data clearly revealed a preference for G at the first and C at the terminal position of a spacer sequence, suggesting that the G-box motif is the most prevalent for the ACGT class of promoters. Using gene expression databases, we also observed trends suggesting that co-occurring ACGT elements are responsible for gene regulation in response to exogenous stress. These findings were experimentally validated and the data obtained will be presented in the meeting.</w:t>
      </w:r>
    </w:p>
    <w:p w:rsidR="002E1933" w:rsidRPr="00F01A2E" w:rsidRDefault="002E1933" w:rsidP="002E1933">
      <w:pPr>
        <w:numPr>
          <w:ilvl w:val="0"/>
          <w:numId w:val="1"/>
        </w:numPr>
        <w:shd w:val="clear" w:color="auto" w:fill="FFFFFF"/>
        <w:spacing w:after="0" w:line="240" w:lineRule="auto"/>
        <w:ind w:left="0"/>
        <w:jc w:val="both"/>
        <w:textAlignment w:val="baseline"/>
        <w:rPr>
          <w:rFonts w:ascii="Arial" w:eastAsia="Times New Roman" w:hAnsi="Arial" w:cs="Arial"/>
          <w:color w:val="333333"/>
        </w:rPr>
      </w:pPr>
      <w:r w:rsidRPr="00F01A2E">
        <w:rPr>
          <w:rFonts w:ascii="Arial" w:eastAsia="Times New Roman" w:hAnsi="Arial" w:cs="Arial"/>
          <w:color w:val="333333"/>
          <w:bdr w:val="none" w:sz="0" w:space="0" w:color="auto" w:frame="1"/>
        </w:rPr>
        <w:t xml:space="preserve">P </w:t>
      </w:r>
      <w:proofErr w:type="spellStart"/>
      <w:r w:rsidRPr="00F01A2E">
        <w:rPr>
          <w:rFonts w:ascii="Arial" w:eastAsia="Times New Roman" w:hAnsi="Arial" w:cs="Arial"/>
          <w:color w:val="333333"/>
          <w:bdr w:val="none" w:sz="0" w:space="0" w:color="auto" w:frame="1"/>
        </w:rPr>
        <w:t>Dhatterwal</w:t>
      </w:r>
      <w:proofErr w:type="spellEnd"/>
      <w:r w:rsidRPr="00F01A2E">
        <w:rPr>
          <w:rFonts w:ascii="Arial" w:eastAsia="Times New Roman" w:hAnsi="Arial" w:cs="Arial"/>
          <w:color w:val="333333"/>
          <w:bdr w:val="none" w:sz="0" w:space="0" w:color="auto" w:frame="1"/>
        </w:rPr>
        <w:t xml:space="preserve">, S </w:t>
      </w:r>
      <w:proofErr w:type="spellStart"/>
      <w:r w:rsidRPr="00F01A2E">
        <w:rPr>
          <w:rFonts w:ascii="Arial" w:eastAsia="Times New Roman" w:hAnsi="Arial" w:cs="Arial"/>
          <w:color w:val="333333"/>
          <w:bdr w:val="none" w:sz="0" w:space="0" w:color="auto" w:frame="1"/>
        </w:rPr>
        <w:t>Mehrotra</w:t>
      </w:r>
      <w:proofErr w:type="spellEnd"/>
      <w:r w:rsidRPr="00F01A2E">
        <w:rPr>
          <w:rFonts w:ascii="Arial" w:eastAsia="Times New Roman" w:hAnsi="Arial" w:cs="Arial"/>
          <w:color w:val="333333"/>
          <w:bdr w:val="none" w:sz="0" w:space="0" w:color="auto" w:frame="1"/>
        </w:rPr>
        <w:t xml:space="preserve">, AJ Miller, Ravi </w:t>
      </w:r>
      <w:proofErr w:type="spellStart"/>
      <w:r w:rsidRPr="00F01A2E">
        <w:rPr>
          <w:rFonts w:ascii="Arial" w:eastAsia="Times New Roman" w:hAnsi="Arial" w:cs="Arial"/>
          <w:color w:val="333333"/>
          <w:bdr w:val="none" w:sz="0" w:space="0" w:color="auto" w:frame="1"/>
        </w:rPr>
        <w:t>Aduri</w:t>
      </w:r>
      <w:proofErr w:type="spellEnd"/>
      <w:r w:rsidRPr="00F01A2E">
        <w:rPr>
          <w:rFonts w:ascii="Arial" w:eastAsia="Times New Roman" w:hAnsi="Arial" w:cs="Arial"/>
          <w:color w:val="333333"/>
          <w:bdr w:val="none" w:sz="0" w:space="0" w:color="auto" w:frame="1"/>
        </w:rPr>
        <w:t xml:space="preserve">, R </w:t>
      </w:r>
      <w:proofErr w:type="spellStart"/>
      <w:r w:rsidRPr="00F01A2E">
        <w:rPr>
          <w:rFonts w:ascii="Arial" w:eastAsia="Times New Roman" w:hAnsi="Arial" w:cs="Arial"/>
          <w:color w:val="333333"/>
          <w:bdr w:val="none" w:sz="0" w:space="0" w:color="auto" w:frame="1"/>
        </w:rPr>
        <w:t>Mehrotra</w:t>
      </w:r>
      <w:proofErr w:type="spellEnd"/>
      <w:r w:rsidRPr="00F01A2E">
        <w:rPr>
          <w:rFonts w:ascii="Arial" w:eastAsia="Times New Roman" w:hAnsi="Arial" w:cs="Arial"/>
          <w:color w:val="333333"/>
          <w:bdr w:val="none" w:sz="0" w:space="0" w:color="auto" w:frame="1"/>
        </w:rPr>
        <w:t>, Effect of ACGT motif in spatiotemporal regulation of AtAVT6D, which improves tolerance to osmotic stress and nitrogen-starvation,2022 Plant Molecular Biology.</w:t>
      </w:r>
    </w:p>
    <w:p w:rsidR="002E1933" w:rsidRPr="00F01A2E" w:rsidRDefault="002E1933" w:rsidP="002E1933">
      <w:pPr>
        <w:numPr>
          <w:ilvl w:val="0"/>
          <w:numId w:val="1"/>
        </w:numPr>
        <w:shd w:val="clear" w:color="auto" w:fill="FFFFFF"/>
        <w:spacing w:after="0" w:line="240" w:lineRule="auto"/>
        <w:ind w:left="0"/>
        <w:jc w:val="both"/>
        <w:textAlignment w:val="baseline"/>
        <w:rPr>
          <w:rFonts w:ascii="Arial" w:eastAsia="Times New Roman" w:hAnsi="Arial" w:cs="Arial"/>
          <w:color w:val="333333"/>
        </w:rPr>
      </w:pPr>
      <w:r w:rsidRPr="00F01A2E">
        <w:rPr>
          <w:rFonts w:ascii="Arial" w:eastAsia="Times New Roman" w:hAnsi="Arial" w:cs="Arial"/>
          <w:color w:val="333333"/>
          <w:bdr w:val="none" w:sz="0" w:space="0" w:color="auto" w:frame="1"/>
        </w:rPr>
        <w:t xml:space="preserve">P </w:t>
      </w:r>
      <w:proofErr w:type="spellStart"/>
      <w:r w:rsidRPr="00F01A2E">
        <w:rPr>
          <w:rFonts w:ascii="Arial" w:eastAsia="Times New Roman" w:hAnsi="Arial" w:cs="Arial"/>
          <w:color w:val="333333"/>
          <w:bdr w:val="none" w:sz="0" w:space="0" w:color="auto" w:frame="1"/>
        </w:rPr>
        <w:t>Dhatterwal</w:t>
      </w:r>
      <w:proofErr w:type="spellEnd"/>
      <w:r w:rsidRPr="00F01A2E">
        <w:rPr>
          <w:rFonts w:ascii="Arial" w:eastAsia="Times New Roman" w:hAnsi="Arial" w:cs="Arial"/>
          <w:color w:val="333333"/>
          <w:bdr w:val="none" w:sz="0" w:space="0" w:color="auto" w:frame="1"/>
        </w:rPr>
        <w:t xml:space="preserve">, S </w:t>
      </w:r>
      <w:proofErr w:type="spellStart"/>
      <w:r w:rsidRPr="00F01A2E">
        <w:rPr>
          <w:rFonts w:ascii="Arial" w:eastAsia="Times New Roman" w:hAnsi="Arial" w:cs="Arial"/>
          <w:color w:val="333333"/>
          <w:bdr w:val="none" w:sz="0" w:space="0" w:color="auto" w:frame="1"/>
        </w:rPr>
        <w:t>Mehrotra</w:t>
      </w:r>
      <w:proofErr w:type="spellEnd"/>
      <w:r w:rsidRPr="00F01A2E">
        <w:rPr>
          <w:rFonts w:ascii="Arial" w:eastAsia="Times New Roman" w:hAnsi="Arial" w:cs="Arial"/>
          <w:color w:val="333333"/>
          <w:bdr w:val="none" w:sz="0" w:space="0" w:color="auto" w:frame="1"/>
        </w:rPr>
        <w:t xml:space="preserve">, AJ Miller, R </w:t>
      </w:r>
      <w:proofErr w:type="spellStart"/>
      <w:r w:rsidRPr="00F01A2E">
        <w:rPr>
          <w:rFonts w:ascii="Arial" w:eastAsia="Times New Roman" w:hAnsi="Arial" w:cs="Arial"/>
          <w:color w:val="333333"/>
          <w:bdr w:val="none" w:sz="0" w:space="0" w:color="auto" w:frame="1"/>
        </w:rPr>
        <w:t>Mehrotra</w:t>
      </w:r>
      <w:proofErr w:type="spellEnd"/>
      <w:r w:rsidRPr="00F01A2E">
        <w:rPr>
          <w:rFonts w:ascii="Arial" w:eastAsia="Times New Roman" w:hAnsi="Arial" w:cs="Arial"/>
          <w:color w:val="333333"/>
          <w:bdr w:val="none" w:sz="0" w:space="0" w:color="auto" w:frame="1"/>
        </w:rPr>
        <w:t>, "Promoter profiling of Arabidopsis amino acid transporters: clues for improving crops.  Plant Molecular Biology, 2021 1-25; https://doi.org/10.1007/s11103-021-01193-1.</w:t>
      </w:r>
    </w:p>
    <w:p w:rsidR="002E1933" w:rsidRPr="00F01A2E" w:rsidRDefault="002E1933" w:rsidP="002E1933">
      <w:pPr>
        <w:rPr>
          <w:rFonts w:ascii="Arial" w:eastAsia="Times New Roman" w:hAnsi="Arial" w:cs="Arial"/>
        </w:rPr>
      </w:pPr>
    </w:p>
    <w:p w:rsidR="009E5D48" w:rsidRPr="00F01A2E" w:rsidRDefault="009E5D48">
      <w:pPr>
        <w:rPr>
          <w:rFonts w:ascii="Arial" w:hAnsi="Arial" w:cs="Arial"/>
        </w:rPr>
      </w:pPr>
    </w:p>
    <w:sectPr w:rsidR="009E5D48" w:rsidRPr="00F01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D53874"/>
    <w:multiLevelType w:val="multilevel"/>
    <w:tmpl w:val="FC30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933"/>
    <w:rsid w:val="002E1933"/>
    <w:rsid w:val="009E09E9"/>
    <w:rsid w:val="009E5D48"/>
    <w:rsid w:val="00EA686B"/>
    <w:rsid w:val="00F01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9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9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omicsonline.org/searchresult.php?keyword=regul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micsonline.org/searchresult.php?keyword=Gene_express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2023-01-23T05:38:00Z</dcterms:created>
  <dcterms:modified xsi:type="dcterms:W3CDTF">2023-01-23T05:38:00Z</dcterms:modified>
</cp:coreProperties>
</file>