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AB1D" w14:textId="1CE7425F" w:rsidR="008B37A2" w:rsidRPr="00C950CD" w:rsidRDefault="007E6D91" w:rsidP="008B37A2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bookmarkStart w:id="0" w:name="_Hlk184384433"/>
      <w:bookmarkStart w:id="1" w:name="_Hlk184385029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</w:t>
      </w:r>
      <w:r w:rsidR="000C1E5D" w:rsidRPr="00C950C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ore-shell nanofibers containing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chitosan nanoparticles encapsulated with an osteoinductive molecule</w:t>
      </w:r>
      <w:r w:rsidR="000C1E5D" w:rsidRPr="00C950C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for bone tissue engineering</w:t>
      </w:r>
    </w:p>
    <w:bookmarkEnd w:id="0"/>
    <w:p w14:paraId="43A965DA" w14:textId="454BBB6F" w:rsidR="00E225AF" w:rsidRDefault="008B37A2" w:rsidP="00E225AF">
      <w:pPr>
        <w:spacing w:after="100" w:afterAutospacing="1" w:line="276" w:lineRule="auto"/>
        <w:jc w:val="center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Sushma Babu</w:t>
      </w:r>
      <w:r w:rsidR="00C950CD" w:rsidRPr="00C950CD">
        <w:rPr>
          <w:rFonts w:ascii="Arial" w:eastAsia="Times New Roman" w:hAnsi="Arial" w:cs="Arial"/>
          <w:kern w:val="0"/>
          <w:vertAlign w:val="superscript"/>
          <w:lang w:eastAsia="en-IN"/>
          <w14:ligatures w14:val="none"/>
        </w:rPr>
        <w:t>1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N. Selvamurugan</w:t>
      </w:r>
      <w:proofErr w:type="gramStart"/>
      <w:r w:rsidR="00C950CD" w:rsidRPr="00C950CD">
        <w:rPr>
          <w:rFonts w:ascii="Arial" w:eastAsia="Times New Roman" w:hAnsi="Arial" w:cs="Arial"/>
          <w:kern w:val="0"/>
          <w:vertAlign w:val="superscript"/>
          <w:lang w:eastAsia="en-IN"/>
          <w14:ligatures w14:val="none"/>
        </w:rPr>
        <w:t>1,</w:t>
      </w:r>
      <w:r w:rsidR="00C950CD">
        <w:rPr>
          <w:rFonts w:ascii="Arial" w:eastAsia="Times New Roman" w:hAnsi="Arial" w:cs="Arial"/>
          <w:kern w:val="0"/>
          <w:lang w:eastAsia="en-IN"/>
          <w14:ligatures w14:val="none"/>
        </w:rPr>
        <w:t>*</w:t>
      </w:r>
      <w:proofErr w:type="gramEnd"/>
    </w:p>
    <w:p w14:paraId="5D2867A0" w14:textId="4038CB4A" w:rsidR="008B37A2" w:rsidRPr="00C950CD" w:rsidRDefault="00CB2B81" w:rsidP="009312E6">
      <w:pPr>
        <w:spacing w:after="100" w:afterAutospacing="1" w:line="276" w:lineRule="auto"/>
        <w:jc w:val="bot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B2B81">
        <w:rPr>
          <w:rFonts w:ascii="Arial" w:eastAsia="Times New Roman" w:hAnsi="Arial" w:cs="Arial"/>
          <w:kern w:val="0"/>
          <w:vertAlign w:val="superscript"/>
          <w:lang w:eastAsia="en-IN"/>
          <w14:ligatures w14:val="none"/>
        </w:rPr>
        <w:t>1</w:t>
      </w:r>
      <w:r w:rsidR="008B37A2" w:rsidRPr="00C950CD">
        <w:rPr>
          <w:rFonts w:ascii="Arial" w:eastAsia="Times New Roman" w:hAnsi="Arial" w:cs="Arial"/>
          <w:kern w:val="0"/>
          <w:lang w:eastAsia="en-IN"/>
          <w14:ligatures w14:val="none"/>
        </w:rPr>
        <w:t>Department of Biotechnology, School of Bioengineering, SRM Institute of Science and Technology, Kattankulathur 603203, Tamil Nadu, India</w:t>
      </w:r>
    </w:p>
    <w:p w14:paraId="7E327F25" w14:textId="393A5B4A" w:rsidR="004F3A31" w:rsidRDefault="009312E6" w:rsidP="009312E6">
      <w:pPr>
        <w:spacing w:after="100" w:afterAutospacing="1" w:line="276" w:lineRule="auto"/>
        <w:jc w:val="bot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*</w:t>
      </w:r>
      <w:r w:rsidR="004F3A31">
        <w:rPr>
          <w:rFonts w:ascii="Arial" w:eastAsia="Times New Roman" w:hAnsi="Arial" w:cs="Arial"/>
          <w:kern w:val="0"/>
          <w:lang w:eastAsia="en-IN"/>
          <w14:ligatures w14:val="none"/>
        </w:rPr>
        <w:t xml:space="preserve">Corresponding author </w:t>
      </w:r>
      <w:r w:rsidR="000C1E5D">
        <w:rPr>
          <w:rFonts w:ascii="Arial" w:eastAsia="Times New Roman" w:hAnsi="Arial" w:cs="Arial"/>
          <w:kern w:val="0"/>
          <w:lang w:eastAsia="en-IN"/>
          <w14:ligatures w14:val="none"/>
        </w:rPr>
        <w:t>E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mail</w:t>
      </w:r>
      <w:r w:rsidR="004F3A31">
        <w:rPr>
          <w:rFonts w:ascii="Arial" w:eastAsia="Times New Roman" w:hAnsi="Arial" w:cs="Arial"/>
          <w:kern w:val="0"/>
          <w:lang w:eastAsia="en-IN"/>
          <w14:ligatures w14:val="none"/>
        </w:rPr>
        <w:t xml:space="preserve"> ID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: </w:t>
      </w:r>
      <w:hyperlink r:id="rId4" w:history="1">
        <w:r w:rsidR="004F3A31" w:rsidRPr="00C71AFC">
          <w:rPr>
            <w:rStyle w:val="Hyperlink"/>
            <w:rFonts w:ascii="Arial" w:eastAsia="Times New Roman" w:hAnsi="Arial" w:cs="Arial"/>
            <w:kern w:val="0"/>
            <w:lang w:eastAsia="en-IN"/>
            <w14:ligatures w14:val="none"/>
          </w:rPr>
          <w:t>selvamun@srmist.edu.in</w:t>
        </w:r>
      </w:hyperlink>
    </w:p>
    <w:p w14:paraId="3D3F35F1" w14:textId="77777777" w:rsidR="004F3A31" w:rsidRPr="004F3A31" w:rsidRDefault="004F3A31" w:rsidP="009312E6">
      <w:pPr>
        <w:spacing w:after="100" w:afterAutospacing="1" w:line="276" w:lineRule="auto"/>
        <w:jc w:val="both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096BCC8" w14:textId="3C2E50C9" w:rsidR="00C950CD" w:rsidRDefault="00C950CD" w:rsidP="00C950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950CD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Abstract</w:t>
      </w:r>
    </w:p>
    <w:p w14:paraId="721C5B22" w14:textId="59D2F07D" w:rsidR="008B37A2" w:rsidRPr="00C950CD" w:rsidRDefault="008B37A2" w:rsidP="00C950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D-pinitol (DPN), a naturally occurring cyclitol with diverse bioactive properties</w:t>
      </w:r>
      <w:r w:rsidR="00445EE5" w:rsidRPr="00C950CD">
        <w:rPr>
          <w:rFonts w:ascii="Arial" w:eastAsia="Times New Roman" w:hAnsi="Arial" w:cs="Arial"/>
          <w:kern w:val="0"/>
          <w:lang w:eastAsia="en-IN"/>
          <w14:ligatures w14:val="none"/>
        </w:rPr>
        <w:t>,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remains largely uncharacterized for its osteogenic potential</w:t>
      </w:r>
      <w:r w:rsidR="00212D68" w:rsidRPr="00C950CD">
        <w:rPr>
          <w:rFonts w:ascii="Arial" w:eastAsia="Times New Roman" w:hAnsi="Arial" w:cs="Arial"/>
          <w:kern w:val="0"/>
          <w:lang w:eastAsia="en-IN"/>
          <w14:ligatures w14:val="none"/>
        </w:rPr>
        <w:t>. Moreover,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its limited bioavailability and hydrophobic nature, necessitating an advanced delivery system to achieve sustained and localized release. </w:t>
      </w:r>
      <w:r w:rsidR="00445EE5" w:rsidRPr="00C950CD">
        <w:rPr>
          <w:rFonts w:ascii="Arial" w:hAnsi="Arial" w:cs="Arial"/>
        </w:rPr>
        <w:t xml:space="preserve">This study addresses these challenges through the development of a </w:t>
      </w:r>
      <w:r w:rsidR="001D077D" w:rsidRPr="00C950CD">
        <w:rPr>
          <w:rFonts w:ascii="Arial" w:hAnsi="Arial" w:cs="Arial"/>
        </w:rPr>
        <w:t>novel</w:t>
      </w:r>
      <w:r w:rsidR="00445EE5" w:rsidRPr="00C950CD">
        <w:rPr>
          <w:rFonts w:ascii="Arial" w:hAnsi="Arial" w:cs="Arial"/>
        </w:rPr>
        <w:t xml:space="preserve"> delivery system leveraging chitosan nanoparticles (</w:t>
      </w:r>
      <w:proofErr w:type="spellStart"/>
      <w:r w:rsidR="00445EE5" w:rsidRPr="00C950CD">
        <w:rPr>
          <w:rFonts w:ascii="Arial" w:hAnsi="Arial" w:cs="Arial"/>
        </w:rPr>
        <w:t>nCS</w:t>
      </w:r>
      <w:proofErr w:type="spellEnd"/>
      <w:r w:rsidR="00445EE5" w:rsidRPr="00C950CD">
        <w:rPr>
          <w:rFonts w:ascii="Arial" w:hAnsi="Arial" w:cs="Arial"/>
        </w:rPr>
        <w:t>),</w:t>
      </w:r>
      <w:r w:rsidR="00445EE5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widely recognized for their high drug encapsulation efficiency, biodegradability, biocompatibility and mucoadhesive properties</w:t>
      </w:r>
      <w:r w:rsidR="00F03D65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  <w:r w:rsidR="00D1661C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hydrophobic DPN was encapsulated within </w:t>
      </w:r>
      <w:proofErr w:type="spellStart"/>
      <w:r w:rsidR="00D1661C" w:rsidRPr="00C950CD">
        <w:rPr>
          <w:rFonts w:ascii="Arial" w:eastAsia="Times New Roman" w:hAnsi="Arial" w:cs="Arial"/>
          <w:kern w:val="0"/>
          <w:lang w:eastAsia="en-IN"/>
          <w14:ligatures w14:val="none"/>
        </w:rPr>
        <w:t>nCS</w:t>
      </w:r>
      <w:proofErr w:type="spellEnd"/>
      <w:r w:rsidR="00D1661C" w:rsidRPr="00C950CD">
        <w:rPr>
          <w:rFonts w:ascii="Arial" w:eastAsia="Times New Roman" w:hAnsi="Arial" w:cs="Arial"/>
          <w:kern w:val="0"/>
          <w:lang w:eastAsia="en-IN"/>
          <w14:ligatures w14:val="none"/>
        </w:rPr>
        <w:t>,</w:t>
      </w:r>
      <w:r w:rsidR="00F03D65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D1661C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which </w:t>
      </w:r>
      <w:r w:rsidR="00F03D65" w:rsidRPr="00C950CD">
        <w:rPr>
          <w:rFonts w:ascii="Arial" w:eastAsia="Times New Roman" w:hAnsi="Arial" w:cs="Arial"/>
          <w:kern w:val="0"/>
          <w:lang w:eastAsia="en-IN"/>
          <w14:ligatures w14:val="none"/>
        </w:rPr>
        <w:t>w</w:t>
      </w:r>
      <w:r w:rsidR="00FB16C8" w:rsidRPr="00C950CD">
        <w:rPr>
          <w:rFonts w:ascii="Arial" w:eastAsia="Times New Roman" w:hAnsi="Arial" w:cs="Arial"/>
          <w:kern w:val="0"/>
          <w:lang w:eastAsia="en-IN"/>
          <w14:ligatures w14:val="none"/>
        </w:rPr>
        <w:t>ere integrated i</w:t>
      </w:r>
      <w:r w:rsidR="00F03D65" w:rsidRPr="00C950CD">
        <w:rPr>
          <w:rFonts w:ascii="Arial" w:eastAsia="Times New Roman" w:hAnsi="Arial" w:cs="Arial"/>
          <w:kern w:val="0"/>
          <w:lang w:eastAsia="en-IN"/>
          <w14:ligatures w14:val="none"/>
        </w:rPr>
        <w:t>n to a core-shell nanofiber</w:t>
      </w:r>
      <w:r w:rsidR="00FB16C8" w:rsidRPr="00C950CD">
        <w:rPr>
          <w:rFonts w:ascii="Arial" w:eastAsia="Times New Roman" w:hAnsi="Arial" w:cs="Arial"/>
          <w:kern w:val="0"/>
          <w:lang w:eastAsia="en-IN"/>
          <w14:ligatures w14:val="none"/>
        </w:rPr>
        <w:t>, meticulously engineered</w:t>
      </w:r>
      <w:r w:rsidR="00F03D65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using polycaprolactone (PCL)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F03D65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and 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poly (2-ethyl </w:t>
      </w:r>
      <w:proofErr w:type="spellStart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oxazoline</w:t>
      </w:r>
      <w:proofErr w:type="spellEnd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) via co-axial electrospinning. These </w:t>
      </w:r>
      <w:r w:rsidR="00FB16C8" w:rsidRPr="00C950CD">
        <w:rPr>
          <w:rFonts w:ascii="Arial" w:eastAsia="Times New Roman" w:hAnsi="Arial" w:cs="Arial"/>
          <w:kern w:val="0"/>
          <w:lang w:eastAsia="en-IN"/>
          <w14:ligatures w14:val="none"/>
        </w:rPr>
        <w:t>nanofibers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were </w:t>
      </w:r>
      <w:r w:rsidR="00FB16C8" w:rsidRPr="00C950CD">
        <w:rPr>
          <w:rFonts w:ascii="Arial" w:eastAsia="Times New Roman" w:hAnsi="Arial" w:cs="Arial"/>
          <w:kern w:val="0"/>
          <w:lang w:eastAsia="en-IN"/>
          <w14:ligatures w14:val="none"/>
        </w:rPr>
        <w:t>designed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incorporate DPN-loaded </w:t>
      </w:r>
      <w:proofErr w:type="spellStart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nCS</w:t>
      </w:r>
      <w:proofErr w:type="spellEnd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within both </w:t>
      </w:r>
      <w:r w:rsidR="00445EE5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core and shell layers, enabling a sustained</w:t>
      </w:r>
      <w:r w:rsidR="009312E6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prolonged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drug release profile, which </w:t>
      </w:r>
      <w:r w:rsidR="007E6D91">
        <w:rPr>
          <w:rFonts w:ascii="Arial" w:eastAsia="Times New Roman" w:hAnsi="Arial" w:cs="Arial"/>
          <w:kern w:val="0"/>
          <w:lang w:eastAsia="en-IN"/>
          <w14:ligatures w14:val="none"/>
        </w:rPr>
        <w:t>was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demonstrated in the </w:t>
      </w:r>
      <w:r w:rsidRPr="00C950CD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in vitro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FB16C8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drug 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release studies.</w:t>
      </w:r>
      <w:r w:rsidR="00FB16C8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T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he scanning electron microscopy confirmed the uniform diameter of the nanofibers throughout the scaffold matrix</w:t>
      </w:r>
      <w:r w:rsidR="007E6D91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7E6D91">
        <w:rPr>
          <w:rFonts w:ascii="Arial" w:eastAsia="Times New Roman" w:hAnsi="Arial" w:cs="Arial"/>
          <w:kern w:val="0"/>
          <w:lang w:eastAsia="en-IN"/>
          <w14:ligatures w14:val="none"/>
        </w:rPr>
        <w:t>T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he inclusion of </w:t>
      </w:r>
      <w:proofErr w:type="spellStart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nCS</w:t>
      </w:r>
      <w:proofErr w:type="spellEnd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significantly enhanced the scaffolds’ protein adsorption capacity, swelling ratio, biomineralization, and biodegradation, although these properties were not notably influenced by the presence of DPN. </w:t>
      </w:r>
      <w:r w:rsidR="00C311FD" w:rsidRPr="00C950CD">
        <w:rPr>
          <w:rFonts w:ascii="Arial" w:eastAsia="Times New Roman" w:hAnsi="Arial" w:cs="Arial"/>
          <w:kern w:val="0"/>
          <w:lang w:eastAsia="en-IN"/>
          <w14:ligatures w14:val="none"/>
        </w:rPr>
        <w:t>In addition, the c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ytocompatibility assessments using mouse mesenchymal stem cells (</w:t>
      </w:r>
      <w:proofErr w:type="spellStart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mMSCs</w:t>
      </w:r>
      <w:proofErr w:type="spellEnd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="00212D68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human </w:t>
      </w:r>
      <w:proofErr w:type="spellStart"/>
      <w:r w:rsidR="00212D68" w:rsidRPr="00C950CD">
        <w:rPr>
          <w:rFonts w:ascii="Arial" w:eastAsia="Times New Roman" w:hAnsi="Arial" w:cs="Arial"/>
          <w:kern w:val="0"/>
          <w:lang w:eastAsia="en-IN"/>
          <w14:ligatures w14:val="none"/>
        </w:rPr>
        <w:t>umblicol</w:t>
      </w:r>
      <w:proofErr w:type="spellEnd"/>
      <w:r w:rsidR="00212D68"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derived mesenchymal stem cells (</w:t>
      </w:r>
      <w:proofErr w:type="spellStart"/>
      <w:r w:rsidR="00212D68" w:rsidRPr="00C950CD">
        <w:rPr>
          <w:rFonts w:ascii="Arial" w:eastAsia="Times New Roman" w:hAnsi="Arial" w:cs="Arial"/>
          <w:kern w:val="0"/>
          <w:lang w:eastAsia="en-IN"/>
          <w14:ligatures w14:val="none"/>
        </w:rPr>
        <w:t>hMSCs</w:t>
      </w:r>
      <w:proofErr w:type="spellEnd"/>
      <w:r w:rsidR="00212D68" w:rsidRPr="00C950CD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confirmed the biocompatibility of the </w:t>
      </w:r>
      <w:r w:rsidR="00FB16C8" w:rsidRPr="00C950CD">
        <w:rPr>
          <w:rFonts w:ascii="Arial" w:eastAsia="Times New Roman" w:hAnsi="Arial" w:cs="Arial"/>
          <w:kern w:val="0"/>
          <w:lang w:eastAsia="en-IN"/>
          <w14:ligatures w14:val="none"/>
        </w:rPr>
        <w:t>nanofibers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the cellular level analysis revealed that the controlled release of DPN facilitated </w:t>
      </w:r>
      <w:proofErr w:type="spellStart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mMSC</w:t>
      </w:r>
      <w:proofErr w:type="spellEnd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differentiation into osteoblasts, as evidenced by staining techniques. These findings underscore the osteoinductive potential of DPN and establish the PCL/POX/</w:t>
      </w:r>
      <w:proofErr w:type="spellStart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>nCS</w:t>
      </w:r>
      <w:proofErr w:type="spellEnd"/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-DPN </w:t>
      </w:r>
      <w:r w:rsidR="00C311FD" w:rsidRPr="00C950CD">
        <w:rPr>
          <w:rFonts w:ascii="Arial" w:eastAsia="Times New Roman" w:hAnsi="Arial" w:cs="Arial"/>
          <w:kern w:val="0"/>
          <w:lang w:eastAsia="en-IN"/>
          <w14:ligatures w14:val="none"/>
        </w:rPr>
        <w:t>nanofiber drug delivery</w:t>
      </w:r>
      <w:r w:rsidRPr="00C95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 system as a promising platform for applications in bone tissue engineering.</w:t>
      </w:r>
    </w:p>
    <w:p w14:paraId="00DF9E69" w14:textId="57FC4292" w:rsidR="00C950CD" w:rsidRPr="00C950CD" w:rsidRDefault="00C950CD" w:rsidP="008B37A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950CD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Keywords: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Bone </w:t>
      </w:r>
      <w:r w:rsidR="000C1E5D">
        <w:rPr>
          <w:rFonts w:ascii="Arial" w:eastAsia="Times New Roman" w:hAnsi="Arial" w:cs="Arial"/>
          <w:kern w:val="0"/>
          <w:lang w:eastAsia="en-IN"/>
          <w14:ligatures w14:val="none"/>
        </w:rPr>
        <w:t>t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issue </w:t>
      </w:r>
      <w:r w:rsidR="000C1E5D">
        <w:rPr>
          <w:rFonts w:ascii="Arial" w:eastAsia="Times New Roman" w:hAnsi="Arial" w:cs="Arial"/>
          <w:kern w:val="0"/>
          <w:lang w:eastAsia="en-IN"/>
          <w14:ligatures w14:val="none"/>
        </w:rPr>
        <w:t>e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ngineering, Core-shell nanofiber, </w:t>
      </w:r>
      <w:r w:rsidR="000C1E5D">
        <w:rPr>
          <w:rFonts w:ascii="Arial" w:eastAsia="Times New Roman" w:hAnsi="Arial" w:cs="Arial"/>
          <w:kern w:val="0"/>
          <w:lang w:eastAsia="en-IN"/>
          <w14:ligatures w14:val="none"/>
        </w:rPr>
        <w:t>D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rug delivery </w:t>
      </w:r>
      <w:r w:rsidR="00192002">
        <w:rPr>
          <w:rFonts w:ascii="Arial" w:eastAsia="Times New Roman" w:hAnsi="Arial" w:cs="Arial"/>
          <w:kern w:val="0"/>
          <w:lang w:eastAsia="en-IN"/>
          <w14:ligatures w14:val="none"/>
        </w:rPr>
        <w:t>system</w:t>
      </w:r>
    </w:p>
    <w:bookmarkEnd w:id="1"/>
    <w:p w14:paraId="363E7B0F" w14:textId="36487B75" w:rsidR="00103DCC" w:rsidRDefault="008B37A2">
      <w:r>
        <w:t xml:space="preserve">     </w:t>
      </w:r>
    </w:p>
    <w:sectPr w:rsidR="00103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A2"/>
    <w:rsid w:val="000C1E5D"/>
    <w:rsid w:val="00103DCC"/>
    <w:rsid w:val="00192002"/>
    <w:rsid w:val="001C31D1"/>
    <w:rsid w:val="001D077D"/>
    <w:rsid w:val="00212D68"/>
    <w:rsid w:val="00276D8C"/>
    <w:rsid w:val="002F4E0E"/>
    <w:rsid w:val="00445EE5"/>
    <w:rsid w:val="004755B7"/>
    <w:rsid w:val="004F3A31"/>
    <w:rsid w:val="007E6D91"/>
    <w:rsid w:val="008B37A2"/>
    <w:rsid w:val="009312E6"/>
    <w:rsid w:val="00C311FD"/>
    <w:rsid w:val="00C950CD"/>
    <w:rsid w:val="00CB2B81"/>
    <w:rsid w:val="00D1661C"/>
    <w:rsid w:val="00E225AF"/>
    <w:rsid w:val="00F03D65"/>
    <w:rsid w:val="00FB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59B9"/>
  <w15:chartTrackingRefBased/>
  <w15:docId w15:val="{EDBE82D4-02E0-46E3-9013-E80ECF6E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12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elvamun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Babu</dc:creator>
  <cp:keywords/>
  <dc:description/>
  <cp:lastModifiedBy>Sushma Babu</cp:lastModifiedBy>
  <cp:revision>2</cp:revision>
  <dcterms:created xsi:type="dcterms:W3CDTF">2024-12-27T10:30:00Z</dcterms:created>
  <dcterms:modified xsi:type="dcterms:W3CDTF">2024-12-27T10:30:00Z</dcterms:modified>
</cp:coreProperties>
</file>