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A53E3EC" w:rsidR="005B1483" w:rsidRPr="001C621C" w:rsidRDefault="003217AA" w:rsidP="003217AA">
      <w:pPr>
        <w:ind w:left="1" w:hanging="3"/>
        <w:jc w:val="center"/>
        <w:rPr>
          <w:sz w:val="32"/>
          <w:szCs w:val="32"/>
        </w:rPr>
      </w:pPr>
      <w:r w:rsidRPr="001C621C">
        <w:rPr>
          <w:b/>
          <w:sz w:val="32"/>
          <w:szCs w:val="32"/>
        </w:rPr>
        <w:t>Chitin-Polydioxanone</w:t>
      </w:r>
      <w:r w:rsidR="003B0EB9" w:rsidRPr="001C621C">
        <w:rPr>
          <w:b/>
          <w:sz w:val="32"/>
          <w:szCs w:val="32"/>
        </w:rPr>
        <w:t xml:space="preserve"> </w:t>
      </w:r>
      <w:r w:rsidR="005970E9" w:rsidRPr="001C621C">
        <w:rPr>
          <w:b/>
          <w:sz w:val="32"/>
          <w:szCs w:val="32"/>
        </w:rPr>
        <w:t>composite scaffold</w:t>
      </w:r>
      <w:r w:rsidRPr="001C621C">
        <w:rPr>
          <w:b/>
          <w:sz w:val="32"/>
          <w:szCs w:val="32"/>
        </w:rPr>
        <w:t>: The amalgam for</w:t>
      </w:r>
      <w:r w:rsidR="00BB10EC" w:rsidRPr="001C621C">
        <w:rPr>
          <w:b/>
          <w:sz w:val="32"/>
          <w:szCs w:val="32"/>
        </w:rPr>
        <w:t xml:space="preserve"> alveolar</w:t>
      </w:r>
      <w:r w:rsidRPr="001C621C">
        <w:rPr>
          <w:b/>
          <w:sz w:val="32"/>
          <w:szCs w:val="32"/>
        </w:rPr>
        <w:t xml:space="preserve"> bone regeneration</w:t>
      </w:r>
    </w:p>
    <w:p w14:paraId="00000002" w14:textId="77777777" w:rsidR="005B1483" w:rsidRPr="001C621C" w:rsidRDefault="005B1483">
      <w:pPr>
        <w:ind w:left="0" w:hanging="2"/>
        <w:rPr>
          <w:sz w:val="24"/>
          <w:szCs w:val="24"/>
        </w:rPr>
      </w:pPr>
    </w:p>
    <w:p w14:paraId="00000003" w14:textId="322F33C7" w:rsidR="005B1483" w:rsidRPr="001C621C" w:rsidRDefault="003217AA" w:rsidP="003217AA">
      <w:pPr>
        <w:ind w:left="0" w:hanging="2"/>
        <w:jc w:val="center"/>
        <w:rPr>
          <w:sz w:val="24"/>
          <w:szCs w:val="24"/>
        </w:rPr>
      </w:pPr>
      <w:r w:rsidRPr="001C621C">
        <w:rPr>
          <w:b/>
          <w:bCs/>
          <w:sz w:val="24"/>
          <w:szCs w:val="24"/>
          <w:u w:val="single"/>
        </w:rPr>
        <w:t>Kavipriya Murugaiyan</w:t>
      </w:r>
      <w:r w:rsidRPr="001C621C">
        <w:rPr>
          <w:sz w:val="24"/>
          <w:szCs w:val="24"/>
        </w:rPr>
        <w:t>, Arthi C</w:t>
      </w:r>
      <w:r w:rsidR="002F78F1" w:rsidRPr="001C621C">
        <w:rPr>
          <w:sz w:val="24"/>
          <w:szCs w:val="24"/>
        </w:rPr>
        <w:t>handramouli</w:t>
      </w:r>
      <w:r w:rsidRPr="001C621C">
        <w:rPr>
          <w:sz w:val="24"/>
          <w:szCs w:val="24"/>
        </w:rPr>
        <w:t>, Jayakumar Rangasamy</w:t>
      </w:r>
    </w:p>
    <w:p w14:paraId="00000004" w14:textId="77777777" w:rsidR="005B1483" w:rsidRPr="001C621C" w:rsidRDefault="005B1483" w:rsidP="003217AA">
      <w:pPr>
        <w:ind w:left="0" w:hanging="2"/>
        <w:jc w:val="center"/>
      </w:pPr>
    </w:p>
    <w:p w14:paraId="3377AF94" w14:textId="7D83F548" w:rsidR="003217AA" w:rsidRPr="001C621C" w:rsidRDefault="003217AA" w:rsidP="003217AA">
      <w:pPr>
        <w:spacing w:line="360" w:lineRule="auto"/>
        <w:ind w:left="-2" w:firstLineChars="0" w:firstLine="0"/>
        <w:jc w:val="center"/>
        <w:rPr>
          <w:rFonts w:ascii="Times New Roman" w:hAnsi="Times New Roman"/>
          <w:i/>
          <w:color w:val="000000" w:themeColor="text1"/>
          <w:sz w:val="24"/>
          <w:szCs w:val="24"/>
        </w:rPr>
      </w:pPr>
      <w:r w:rsidRPr="001C621C">
        <w:rPr>
          <w:rFonts w:ascii="Times New Roman" w:hAnsi="Times New Roman"/>
          <w:i/>
          <w:color w:val="000000" w:themeColor="text1"/>
          <w:sz w:val="24"/>
          <w:szCs w:val="24"/>
        </w:rPr>
        <w:t xml:space="preserve">Polymeric Biomaterials Lab, School of </w:t>
      </w:r>
      <w:proofErr w:type="spellStart"/>
      <w:r w:rsidRPr="001C621C">
        <w:rPr>
          <w:rFonts w:ascii="Times New Roman" w:hAnsi="Times New Roman"/>
          <w:i/>
          <w:color w:val="000000" w:themeColor="text1"/>
          <w:sz w:val="24"/>
          <w:szCs w:val="24"/>
        </w:rPr>
        <w:t>Nanosciences</w:t>
      </w:r>
      <w:proofErr w:type="spellEnd"/>
      <w:r w:rsidRPr="001C621C">
        <w:rPr>
          <w:rFonts w:ascii="Times New Roman" w:hAnsi="Times New Roman"/>
          <w:i/>
          <w:color w:val="000000" w:themeColor="text1"/>
          <w:sz w:val="24"/>
          <w:szCs w:val="24"/>
        </w:rPr>
        <w:t xml:space="preserve"> and Molecular Medicine,</w:t>
      </w:r>
    </w:p>
    <w:p w14:paraId="2437D115" w14:textId="3F4E21E9" w:rsidR="003217AA" w:rsidRPr="001C621C" w:rsidRDefault="003217AA" w:rsidP="003217AA">
      <w:pPr>
        <w:spacing w:line="360" w:lineRule="auto"/>
        <w:ind w:left="-2" w:firstLineChars="0" w:firstLine="0"/>
        <w:jc w:val="center"/>
        <w:rPr>
          <w:rFonts w:ascii="Times New Roman" w:hAnsi="Times New Roman"/>
          <w:i/>
          <w:color w:val="000000" w:themeColor="text1"/>
          <w:sz w:val="24"/>
          <w:szCs w:val="24"/>
        </w:rPr>
      </w:pPr>
      <w:r w:rsidRPr="001C621C">
        <w:rPr>
          <w:rFonts w:ascii="Times New Roman" w:hAnsi="Times New Roman"/>
          <w:i/>
          <w:color w:val="000000" w:themeColor="text1"/>
          <w:sz w:val="24"/>
          <w:szCs w:val="24"/>
        </w:rPr>
        <w:t>Amrita Vishwa Vidyapeetham, Kochi-682041, India</w:t>
      </w:r>
    </w:p>
    <w:p w14:paraId="00000007" w14:textId="77777777" w:rsidR="005B1483" w:rsidRPr="001C621C" w:rsidRDefault="005B1483" w:rsidP="003217AA">
      <w:pPr>
        <w:ind w:leftChars="0" w:left="0" w:firstLineChars="0" w:firstLine="0"/>
      </w:pPr>
    </w:p>
    <w:p w14:paraId="00000008" w14:textId="1019DD88" w:rsidR="005B1483" w:rsidRPr="001C621C" w:rsidRDefault="00000000">
      <w:pPr>
        <w:ind w:left="0" w:hanging="2"/>
      </w:pPr>
      <w:r w:rsidRPr="001C621C">
        <w:t xml:space="preserve">*Email: </w:t>
      </w:r>
      <w:r w:rsidR="003217AA" w:rsidRPr="001C621C">
        <w:t>rjayakumar@aims.amrita.edu</w:t>
      </w:r>
    </w:p>
    <w:p w14:paraId="00000009" w14:textId="77777777" w:rsidR="005B1483" w:rsidRPr="001C621C" w:rsidRDefault="005B1483">
      <w:pPr>
        <w:ind w:left="0" w:hanging="2"/>
      </w:pPr>
    </w:p>
    <w:p w14:paraId="0000000A" w14:textId="77777777" w:rsidR="005B1483" w:rsidRPr="001C621C" w:rsidRDefault="00000000">
      <w:pPr>
        <w:ind w:left="0" w:hanging="2"/>
      </w:pPr>
      <w:r w:rsidRPr="001C621C">
        <w:rPr>
          <w:b/>
        </w:rPr>
        <w:t>Abstract</w:t>
      </w:r>
    </w:p>
    <w:p w14:paraId="0000000B" w14:textId="77777777" w:rsidR="005B1483" w:rsidRPr="001C621C" w:rsidRDefault="005B1483">
      <w:pPr>
        <w:ind w:left="0" w:hanging="2"/>
      </w:pPr>
    </w:p>
    <w:p w14:paraId="0B53007C" w14:textId="1F296410" w:rsidR="003217AA" w:rsidRPr="00BB10EC" w:rsidRDefault="009445DA" w:rsidP="00735CA5">
      <w:pPr>
        <w:ind w:left="0" w:hanging="2"/>
        <w:jc w:val="both"/>
        <w:rPr>
          <w:rFonts w:cs="Arial"/>
          <w:sz w:val="24"/>
          <w:szCs w:val="24"/>
        </w:rPr>
      </w:pPr>
      <w:r w:rsidRPr="001C621C">
        <w:rPr>
          <w:rFonts w:cs="Arial"/>
          <w:sz w:val="24"/>
          <w:szCs w:val="24"/>
        </w:rPr>
        <w:t xml:space="preserve">Loss of alveolar bone due to periodontitis is prevalent among a wide range of population and is a major concern for oral health. Treatment of alveolar bone loss is aimed based on </w:t>
      </w:r>
      <w:r w:rsidR="002C5ABC" w:rsidRPr="001C621C">
        <w:rPr>
          <w:rFonts w:cs="Arial"/>
          <w:sz w:val="24"/>
          <w:szCs w:val="24"/>
        </w:rPr>
        <w:t>the</w:t>
      </w:r>
      <w:r w:rsidRPr="001C621C">
        <w:rPr>
          <w:rFonts w:cs="Arial"/>
          <w:sz w:val="24"/>
          <w:szCs w:val="24"/>
        </w:rPr>
        <w:t xml:space="preserve"> type of defect that has been formed.</w:t>
      </w:r>
      <w:r w:rsidR="00CB119E" w:rsidRPr="001C621C">
        <w:rPr>
          <w:rFonts w:cs="Arial"/>
          <w:sz w:val="24"/>
          <w:szCs w:val="24"/>
        </w:rPr>
        <w:t xml:space="preserve"> </w:t>
      </w:r>
      <w:r w:rsidRPr="001C621C">
        <w:rPr>
          <w:rFonts w:cs="Arial"/>
          <w:sz w:val="24"/>
          <w:szCs w:val="24"/>
        </w:rPr>
        <w:t>Nanocomposite hydrogel scaffolds for alveolar bone regeneration has gained significant attention due to their favorable properties such as stability, biocompatibility and enhanced regeneration. Chitin has been used for decades in biomedical applications owing to its good biological activity, biocompatibility and biodegradability. The addition of synthetic polymer such as polydi</w:t>
      </w:r>
      <w:r w:rsidR="00B658C8" w:rsidRPr="001C621C">
        <w:rPr>
          <w:rFonts w:cs="Arial"/>
          <w:sz w:val="24"/>
          <w:szCs w:val="24"/>
        </w:rPr>
        <w:t>o</w:t>
      </w:r>
      <w:r w:rsidRPr="001C621C">
        <w:rPr>
          <w:rFonts w:cs="Arial"/>
          <w:sz w:val="24"/>
          <w:szCs w:val="24"/>
        </w:rPr>
        <w:t>xanone</w:t>
      </w:r>
      <w:r w:rsidR="002C5ABC" w:rsidRPr="001C621C">
        <w:rPr>
          <w:rFonts w:cs="Arial"/>
          <w:sz w:val="24"/>
          <w:szCs w:val="24"/>
        </w:rPr>
        <w:t xml:space="preserve"> </w:t>
      </w:r>
      <w:r w:rsidR="005970E9" w:rsidRPr="001C621C">
        <w:rPr>
          <w:rFonts w:cs="Arial"/>
          <w:sz w:val="24"/>
          <w:szCs w:val="24"/>
        </w:rPr>
        <w:t>(PDO)</w:t>
      </w:r>
      <w:r w:rsidRPr="001C621C">
        <w:rPr>
          <w:rFonts w:cs="Arial"/>
          <w:sz w:val="24"/>
          <w:szCs w:val="24"/>
        </w:rPr>
        <w:t xml:space="preserve"> into chitin</w:t>
      </w:r>
      <w:r w:rsidR="002C5ABC" w:rsidRPr="001C621C">
        <w:rPr>
          <w:rFonts w:cs="Arial"/>
          <w:sz w:val="24"/>
          <w:szCs w:val="24"/>
        </w:rPr>
        <w:t xml:space="preserve"> </w:t>
      </w:r>
      <w:r w:rsidR="005970E9" w:rsidRPr="001C621C">
        <w:rPr>
          <w:rFonts w:cs="Arial"/>
          <w:sz w:val="24"/>
          <w:szCs w:val="24"/>
        </w:rPr>
        <w:t>(Ch)</w:t>
      </w:r>
      <w:r w:rsidRPr="001C621C">
        <w:rPr>
          <w:rFonts w:cs="Arial"/>
          <w:sz w:val="24"/>
          <w:szCs w:val="24"/>
        </w:rPr>
        <w:t xml:space="preserve"> alters the degradation properties and also enhances the biological properties such as osteogenesis</w:t>
      </w:r>
      <w:r w:rsidR="00B658C8" w:rsidRPr="001C621C">
        <w:rPr>
          <w:rFonts w:cs="Arial"/>
          <w:sz w:val="24"/>
          <w:szCs w:val="24"/>
        </w:rPr>
        <w:t>. We have prepared a composite</w:t>
      </w:r>
      <w:r w:rsidR="00583EB4" w:rsidRPr="001C621C">
        <w:rPr>
          <w:rFonts w:cs="Arial"/>
          <w:sz w:val="24"/>
          <w:szCs w:val="24"/>
        </w:rPr>
        <w:t xml:space="preserve"> Ch-PDO</w:t>
      </w:r>
      <w:r w:rsidR="00B658C8" w:rsidRPr="001C621C">
        <w:rPr>
          <w:rFonts w:cs="Arial"/>
          <w:sz w:val="24"/>
          <w:szCs w:val="24"/>
        </w:rPr>
        <w:t xml:space="preserve"> hydrogel</w:t>
      </w:r>
      <w:r w:rsidR="00CB119E" w:rsidRPr="001C621C">
        <w:rPr>
          <w:rFonts w:cs="Arial"/>
          <w:sz w:val="24"/>
          <w:szCs w:val="24"/>
        </w:rPr>
        <w:t xml:space="preserve"> </w:t>
      </w:r>
      <w:r w:rsidR="00B658C8" w:rsidRPr="001C621C">
        <w:rPr>
          <w:rFonts w:cs="Arial"/>
          <w:sz w:val="24"/>
          <w:szCs w:val="24"/>
        </w:rPr>
        <w:t xml:space="preserve">and </w:t>
      </w:r>
      <w:r w:rsidR="005970E9" w:rsidRPr="001C621C">
        <w:rPr>
          <w:rFonts w:cs="Arial"/>
          <w:sz w:val="24"/>
          <w:szCs w:val="24"/>
        </w:rPr>
        <w:t>characterized</w:t>
      </w:r>
      <w:r w:rsidR="00CB119E" w:rsidRPr="001C621C">
        <w:rPr>
          <w:rFonts w:cs="Arial"/>
          <w:sz w:val="24"/>
          <w:szCs w:val="24"/>
        </w:rPr>
        <w:t xml:space="preserve"> using FTIR, SEM and Rheology. The developed gel showed improved gel strength, good swelling ability and </w:t>
      </w:r>
      <w:r w:rsidR="00E10BC9" w:rsidRPr="001C621C">
        <w:rPr>
          <w:rFonts w:cs="Arial"/>
          <w:sz w:val="24"/>
          <w:szCs w:val="24"/>
        </w:rPr>
        <w:t>shear-thinning property</w:t>
      </w:r>
      <w:r w:rsidR="001C621C" w:rsidRPr="001C621C">
        <w:rPr>
          <w:rFonts w:cs="Arial"/>
          <w:sz w:val="24"/>
          <w:szCs w:val="24"/>
        </w:rPr>
        <w:t>. O</w:t>
      </w:r>
      <w:r w:rsidR="00CB119E" w:rsidRPr="001C621C">
        <w:rPr>
          <w:rFonts w:cs="Arial"/>
          <w:sz w:val="24"/>
          <w:szCs w:val="24"/>
        </w:rPr>
        <w:t xml:space="preserve">steogenic </w:t>
      </w:r>
      <w:r w:rsidR="002F78F1" w:rsidRPr="001C621C">
        <w:rPr>
          <w:rFonts w:cs="Arial"/>
          <w:sz w:val="24"/>
          <w:szCs w:val="24"/>
        </w:rPr>
        <w:t xml:space="preserve">mineralization and differentiation </w:t>
      </w:r>
      <w:r w:rsidR="00CB119E" w:rsidRPr="001C621C">
        <w:rPr>
          <w:rFonts w:cs="Arial"/>
          <w:sz w:val="24"/>
          <w:szCs w:val="24"/>
        </w:rPr>
        <w:t>studies</w:t>
      </w:r>
      <w:r w:rsidR="00E10BC9" w:rsidRPr="001C621C">
        <w:rPr>
          <w:rFonts w:cs="Arial"/>
          <w:sz w:val="24"/>
          <w:szCs w:val="24"/>
        </w:rPr>
        <w:t xml:space="preserve"> </w:t>
      </w:r>
      <w:r w:rsidR="002F78F1" w:rsidRPr="001C621C">
        <w:rPr>
          <w:rFonts w:cs="Arial"/>
          <w:sz w:val="24"/>
          <w:szCs w:val="24"/>
        </w:rPr>
        <w:t xml:space="preserve">of Ch-PDO hydrogel </w:t>
      </w:r>
      <w:r w:rsidR="001C621C" w:rsidRPr="001C621C">
        <w:rPr>
          <w:rFonts w:cs="Arial"/>
          <w:sz w:val="24"/>
          <w:szCs w:val="24"/>
        </w:rPr>
        <w:t xml:space="preserve">was </w:t>
      </w:r>
      <w:r w:rsidR="00E10BC9" w:rsidRPr="001C621C">
        <w:rPr>
          <w:rFonts w:cs="Arial"/>
          <w:sz w:val="24"/>
          <w:szCs w:val="24"/>
        </w:rPr>
        <w:t>performed using dental follicle stem cells (DFSC’s)</w:t>
      </w:r>
      <w:r w:rsidR="00735CA5" w:rsidRPr="001C621C">
        <w:rPr>
          <w:rFonts w:cs="Arial"/>
          <w:sz w:val="24"/>
          <w:szCs w:val="24"/>
        </w:rPr>
        <w:t xml:space="preserve">. </w:t>
      </w:r>
      <w:r w:rsidR="00CB119E" w:rsidRPr="001C621C">
        <w:rPr>
          <w:rFonts w:cs="Arial"/>
          <w:sz w:val="24"/>
          <w:szCs w:val="24"/>
        </w:rPr>
        <w:t>The</w:t>
      </w:r>
      <w:r w:rsidR="00B16002" w:rsidRPr="001C621C">
        <w:rPr>
          <w:rFonts w:cs="Arial"/>
          <w:sz w:val="24"/>
          <w:szCs w:val="24"/>
        </w:rPr>
        <w:t xml:space="preserve"> developed Ch-PDO gel showed </w:t>
      </w:r>
      <w:r w:rsidR="002F78F1" w:rsidRPr="001C621C">
        <w:rPr>
          <w:rFonts w:cs="Arial"/>
          <w:sz w:val="24"/>
          <w:szCs w:val="24"/>
        </w:rPr>
        <w:t xml:space="preserve">higher </w:t>
      </w:r>
      <w:r w:rsidR="004D1E56" w:rsidRPr="001C621C">
        <w:rPr>
          <w:rFonts w:cs="Arial"/>
          <w:sz w:val="24"/>
          <w:szCs w:val="24"/>
        </w:rPr>
        <w:t xml:space="preserve">mineralization </w:t>
      </w:r>
      <w:r w:rsidR="00E10BC9" w:rsidRPr="001C621C">
        <w:rPr>
          <w:rFonts w:cs="Arial"/>
          <w:sz w:val="24"/>
          <w:szCs w:val="24"/>
        </w:rPr>
        <w:t xml:space="preserve">and </w:t>
      </w:r>
      <w:r w:rsidR="002F78F1" w:rsidRPr="001C621C">
        <w:rPr>
          <w:rFonts w:cs="Arial"/>
          <w:sz w:val="24"/>
          <w:szCs w:val="24"/>
        </w:rPr>
        <w:t>enhanced</w:t>
      </w:r>
      <w:r w:rsidR="004D1E56" w:rsidRPr="001C621C">
        <w:rPr>
          <w:rFonts w:cs="Arial"/>
          <w:sz w:val="24"/>
          <w:szCs w:val="24"/>
        </w:rPr>
        <w:t xml:space="preserve"> </w:t>
      </w:r>
      <w:r w:rsidR="002F78F1" w:rsidRPr="001C621C">
        <w:rPr>
          <w:rFonts w:cs="Arial"/>
          <w:sz w:val="24"/>
          <w:szCs w:val="24"/>
        </w:rPr>
        <w:t xml:space="preserve">the </w:t>
      </w:r>
      <w:r w:rsidR="004D1E56" w:rsidRPr="001C621C">
        <w:rPr>
          <w:rFonts w:cs="Arial"/>
          <w:sz w:val="24"/>
          <w:szCs w:val="24"/>
        </w:rPr>
        <w:t>expression of early and late osteogenic markers, RUNX2 and OPN</w:t>
      </w:r>
      <w:r w:rsidR="00BB10EC" w:rsidRPr="001C621C">
        <w:rPr>
          <w:rFonts w:cs="Arial"/>
          <w:sz w:val="24"/>
          <w:szCs w:val="24"/>
        </w:rPr>
        <w:t xml:space="preserve"> compared to the Ch gel</w:t>
      </w:r>
      <w:r w:rsidR="004D1E56" w:rsidRPr="001C621C">
        <w:rPr>
          <w:rFonts w:cs="Arial"/>
          <w:sz w:val="24"/>
          <w:szCs w:val="24"/>
        </w:rPr>
        <w:t xml:space="preserve">. Based on the above </w:t>
      </w:r>
      <w:r w:rsidR="00E10BC9" w:rsidRPr="001C621C">
        <w:rPr>
          <w:rFonts w:cs="Arial"/>
          <w:sz w:val="24"/>
          <w:szCs w:val="24"/>
        </w:rPr>
        <w:t>results;</w:t>
      </w:r>
      <w:r w:rsidR="004D1E56" w:rsidRPr="001C621C">
        <w:rPr>
          <w:rFonts w:cs="Arial"/>
          <w:sz w:val="24"/>
          <w:szCs w:val="24"/>
        </w:rPr>
        <w:t xml:space="preserve"> in order to achieve the structural </w:t>
      </w:r>
      <w:r w:rsidR="00BB10EC" w:rsidRPr="001C621C">
        <w:rPr>
          <w:rFonts w:cs="Arial"/>
          <w:sz w:val="24"/>
          <w:szCs w:val="24"/>
        </w:rPr>
        <w:t>integrity,</w:t>
      </w:r>
      <w:r w:rsidR="004D1E56" w:rsidRPr="001C621C">
        <w:rPr>
          <w:rFonts w:cs="Arial"/>
          <w:sz w:val="24"/>
          <w:szCs w:val="24"/>
        </w:rPr>
        <w:t xml:space="preserve"> we have developed</w:t>
      </w:r>
      <w:r w:rsidR="00735CA5" w:rsidRPr="001C621C">
        <w:rPr>
          <w:rFonts w:cs="Arial"/>
          <w:sz w:val="24"/>
          <w:szCs w:val="24"/>
        </w:rPr>
        <w:t xml:space="preserve"> </w:t>
      </w:r>
      <w:r w:rsidR="00BB10EC" w:rsidRPr="001C621C">
        <w:rPr>
          <w:rFonts w:cs="Arial"/>
          <w:sz w:val="24"/>
          <w:szCs w:val="24"/>
        </w:rPr>
        <w:t xml:space="preserve">a </w:t>
      </w:r>
      <w:r w:rsidR="004D1E56" w:rsidRPr="001C621C">
        <w:rPr>
          <w:rFonts w:cs="Arial"/>
          <w:sz w:val="24"/>
          <w:szCs w:val="24"/>
        </w:rPr>
        <w:t>hydrogel</w:t>
      </w:r>
      <w:r w:rsidR="005970E9" w:rsidRPr="001C621C">
        <w:rPr>
          <w:rFonts w:cs="Arial"/>
          <w:sz w:val="24"/>
          <w:szCs w:val="24"/>
        </w:rPr>
        <w:t xml:space="preserve"> </w:t>
      </w:r>
      <w:r w:rsidR="004D1E56" w:rsidRPr="001C621C">
        <w:rPr>
          <w:rFonts w:cs="Arial"/>
          <w:sz w:val="24"/>
          <w:szCs w:val="24"/>
        </w:rPr>
        <w:t>scaffold</w:t>
      </w:r>
      <w:r w:rsidR="00BB10EC" w:rsidRPr="001C621C">
        <w:rPr>
          <w:rFonts w:cs="Arial"/>
          <w:sz w:val="24"/>
          <w:szCs w:val="24"/>
        </w:rPr>
        <w:t xml:space="preserve"> incorporated with whitlockite nanoparticles</w:t>
      </w:r>
      <w:r w:rsidR="004D1E56" w:rsidRPr="001C621C">
        <w:rPr>
          <w:rFonts w:cs="Arial"/>
          <w:sz w:val="24"/>
          <w:szCs w:val="24"/>
        </w:rPr>
        <w:t xml:space="preserve"> </w:t>
      </w:r>
      <w:r w:rsidR="00E10BC9" w:rsidRPr="001C621C">
        <w:rPr>
          <w:rFonts w:cs="Arial"/>
          <w:sz w:val="24"/>
          <w:szCs w:val="24"/>
        </w:rPr>
        <w:t>(</w:t>
      </w:r>
      <w:r w:rsidR="00735CA5" w:rsidRPr="001C621C">
        <w:rPr>
          <w:rFonts w:cs="Arial"/>
          <w:sz w:val="24"/>
          <w:szCs w:val="24"/>
        </w:rPr>
        <w:t>Ch-PDO</w:t>
      </w:r>
      <w:r w:rsidR="00583EB4" w:rsidRPr="001C621C">
        <w:rPr>
          <w:rFonts w:cs="Arial"/>
          <w:sz w:val="24"/>
          <w:szCs w:val="24"/>
        </w:rPr>
        <w:t>-</w:t>
      </w:r>
      <w:proofErr w:type="spellStart"/>
      <w:r w:rsidR="00583EB4" w:rsidRPr="001C621C">
        <w:rPr>
          <w:rFonts w:cs="Arial"/>
          <w:sz w:val="24"/>
          <w:szCs w:val="24"/>
        </w:rPr>
        <w:t>nWH</w:t>
      </w:r>
      <w:proofErr w:type="spellEnd"/>
      <w:r w:rsidR="00E10BC9" w:rsidRPr="001C621C">
        <w:rPr>
          <w:rFonts w:cs="Arial"/>
          <w:sz w:val="24"/>
          <w:szCs w:val="24"/>
        </w:rPr>
        <w:t>)</w:t>
      </w:r>
      <w:r w:rsidR="00735CA5" w:rsidRPr="001C621C">
        <w:rPr>
          <w:rFonts w:cs="Arial"/>
          <w:sz w:val="24"/>
          <w:szCs w:val="24"/>
        </w:rPr>
        <w:t xml:space="preserve"> </w:t>
      </w:r>
      <w:r w:rsidR="004D1E56" w:rsidRPr="001C621C">
        <w:rPr>
          <w:rFonts w:cs="Arial"/>
          <w:sz w:val="24"/>
          <w:szCs w:val="24"/>
        </w:rPr>
        <w:t xml:space="preserve">which further enhanced </w:t>
      </w:r>
      <w:r w:rsidR="00E10BC9" w:rsidRPr="001C621C">
        <w:rPr>
          <w:rFonts w:cs="Arial"/>
          <w:sz w:val="24"/>
          <w:szCs w:val="24"/>
        </w:rPr>
        <w:t xml:space="preserve">the </w:t>
      </w:r>
      <w:r w:rsidR="00BB10EC" w:rsidRPr="001C621C">
        <w:rPr>
          <w:rFonts w:cs="Arial"/>
          <w:sz w:val="24"/>
          <w:szCs w:val="24"/>
        </w:rPr>
        <w:t>osteogenic potential of the Ch-PDO</w:t>
      </w:r>
      <w:r w:rsidR="002F78F1" w:rsidRPr="001C621C">
        <w:rPr>
          <w:rFonts w:cs="Arial"/>
          <w:sz w:val="24"/>
          <w:szCs w:val="24"/>
        </w:rPr>
        <w:t xml:space="preserve"> scaffold</w:t>
      </w:r>
      <w:r w:rsidR="00BB10EC" w:rsidRPr="001C621C">
        <w:rPr>
          <w:rFonts w:cs="Arial"/>
          <w:sz w:val="24"/>
          <w:szCs w:val="24"/>
        </w:rPr>
        <w:t>. Thus, the developed Ch-PDO</w:t>
      </w:r>
      <w:r w:rsidR="00E10BC9" w:rsidRPr="001C621C">
        <w:rPr>
          <w:rFonts w:cs="Arial"/>
          <w:sz w:val="24"/>
          <w:szCs w:val="24"/>
        </w:rPr>
        <w:t>-</w:t>
      </w:r>
      <w:proofErr w:type="spellStart"/>
      <w:r w:rsidR="00E10BC9" w:rsidRPr="001C621C">
        <w:rPr>
          <w:rFonts w:cs="Arial"/>
          <w:sz w:val="24"/>
          <w:szCs w:val="24"/>
        </w:rPr>
        <w:t>nWH</w:t>
      </w:r>
      <w:proofErr w:type="spellEnd"/>
      <w:r w:rsidR="00BB10EC" w:rsidRPr="001C621C">
        <w:rPr>
          <w:rFonts w:cs="Arial"/>
          <w:sz w:val="24"/>
          <w:szCs w:val="24"/>
        </w:rPr>
        <w:t xml:space="preserve"> composite hydrogel could be used a</w:t>
      </w:r>
      <w:r w:rsidR="00E10BC9" w:rsidRPr="001C621C">
        <w:rPr>
          <w:rFonts w:cs="Arial"/>
          <w:sz w:val="24"/>
          <w:szCs w:val="24"/>
        </w:rPr>
        <w:t>s a</w:t>
      </w:r>
      <w:r w:rsidR="00BB10EC" w:rsidRPr="001C621C">
        <w:rPr>
          <w:rFonts w:cs="Arial"/>
          <w:sz w:val="24"/>
          <w:szCs w:val="24"/>
        </w:rPr>
        <w:t xml:space="preserve"> </w:t>
      </w:r>
      <w:r w:rsidR="00541D49" w:rsidRPr="001C621C">
        <w:rPr>
          <w:rFonts w:cs="Arial"/>
          <w:sz w:val="24"/>
          <w:szCs w:val="24"/>
        </w:rPr>
        <w:t xml:space="preserve">potential </w:t>
      </w:r>
      <w:r w:rsidR="00BB10EC" w:rsidRPr="001C621C">
        <w:rPr>
          <w:rFonts w:cs="Arial"/>
          <w:sz w:val="24"/>
          <w:szCs w:val="24"/>
        </w:rPr>
        <w:t>alternative for the treatment of alveolar bone defects.</w:t>
      </w:r>
      <w:r w:rsidR="00BB10EC">
        <w:rPr>
          <w:rFonts w:cs="Arial"/>
          <w:sz w:val="24"/>
          <w:szCs w:val="24"/>
        </w:rPr>
        <w:t xml:space="preserve"> </w:t>
      </w:r>
    </w:p>
    <w:p w14:paraId="4866EB2D" w14:textId="77777777" w:rsidR="003217AA" w:rsidRPr="00BB10EC" w:rsidRDefault="003217AA">
      <w:pPr>
        <w:ind w:left="0" w:hanging="2"/>
        <w:rPr>
          <w:rFonts w:cs="Arial"/>
          <w:sz w:val="24"/>
          <w:szCs w:val="24"/>
        </w:rPr>
      </w:pPr>
    </w:p>
    <w:p w14:paraId="01BC8D60" w14:textId="77777777" w:rsidR="003217AA" w:rsidRDefault="003217AA">
      <w:pPr>
        <w:ind w:left="0" w:hanging="2"/>
      </w:pPr>
    </w:p>
    <w:p w14:paraId="3B6A979D" w14:textId="77777777" w:rsidR="003217AA" w:rsidRDefault="003217AA">
      <w:pPr>
        <w:ind w:left="0" w:hanging="2"/>
      </w:pPr>
    </w:p>
    <w:p w14:paraId="5F2FADC7" w14:textId="77777777" w:rsidR="003217AA" w:rsidRDefault="003217AA">
      <w:pPr>
        <w:ind w:left="0" w:hanging="2"/>
      </w:pPr>
    </w:p>
    <w:p w14:paraId="53CED4AB" w14:textId="77777777" w:rsidR="003217AA" w:rsidRDefault="003217AA">
      <w:pPr>
        <w:ind w:left="0" w:hanging="2"/>
      </w:pPr>
    </w:p>
    <w:p w14:paraId="5C267FB9" w14:textId="77777777" w:rsidR="003217AA" w:rsidRDefault="003217AA">
      <w:pPr>
        <w:ind w:left="0" w:hanging="2"/>
      </w:pPr>
    </w:p>
    <w:p w14:paraId="0A29C787" w14:textId="77777777" w:rsidR="003217AA" w:rsidRDefault="003217AA">
      <w:pPr>
        <w:ind w:left="0" w:hanging="2"/>
      </w:pPr>
    </w:p>
    <w:p w14:paraId="274B5C29" w14:textId="77777777" w:rsidR="003217AA" w:rsidRDefault="003217AA">
      <w:pPr>
        <w:ind w:left="0" w:hanging="2"/>
      </w:pPr>
    </w:p>
    <w:p w14:paraId="0000000C" w14:textId="348E805B" w:rsidR="005B1483" w:rsidRDefault="005B1483">
      <w:pPr>
        <w:ind w:left="0" w:hanging="2"/>
      </w:pPr>
    </w:p>
    <w:sectPr w:rsidR="005B148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483"/>
    <w:rsid w:val="000D7524"/>
    <w:rsid w:val="001C621C"/>
    <w:rsid w:val="002C5ABC"/>
    <w:rsid w:val="002F78F1"/>
    <w:rsid w:val="003217AA"/>
    <w:rsid w:val="003B0EB9"/>
    <w:rsid w:val="004D1E56"/>
    <w:rsid w:val="00541D49"/>
    <w:rsid w:val="00583EB4"/>
    <w:rsid w:val="005970E9"/>
    <w:rsid w:val="005B1483"/>
    <w:rsid w:val="00735CA5"/>
    <w:rsid w:val="007461E7"/>
    <w:rsid w:val="00847815"/>
    <w:rsid w:val="009445DA"/>
    <w:rsid w:val="00B16002"/>
    <w:rsid w:val="00B658C8"/>
    <w:rsid w:val="00BB10EC"/>
    <w:rsid w:val="00CB119E"/>
    <w:rsid w:val="00E10B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C8D28"/>
  <w15:docId w15:val="{221C06B5-C8A6-40CA-9F29-31E9DAA6C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rFonts w:cs="Times New Roman"/>
      <w:position w:val="-1"/>
      <w:lang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qFormat/>
    <w:rPr>
      <w:color w:val="0563C1"/>
      <w:w w:val="100"/>
      <w:position w:val="-1"/>
      <w:u w:val="single"/>
      <w:effect w:val="none"/>
      <w:vertAlign w:val="baseline"/>
      <w:cs w:val="0"/>
      <w:em w:val="none"/>
    </w:rPr>
  </w:style>
  <w:style w:type="character"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Hnow57z1KIAPXptxUl4C5kTuLQ==">AMUW2mVGbqBfLy8pBQf04deYPBJMAP9hpTZKMs71UITQTJsqYn/sGQd9tbyoJrsdfy7HXY2+ZfWG/UhzfnEBd6PeYO0kgKmAbBk7w5Vw86/0fkofjefYrxM=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285</Words>
  <Characters>1630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Muthamilarasan</dc:creator>
  <cp:lastModifiedBy>Kavipriya Murugaiyan</cp:lastModifiedBy>
  <cp:revision>2</cp:revision>
  <dcterms:created xsi:type="dcterms:W3CDTF">2024-12-31T11:28:00Z</dcterms:created>
  <dcterms:modified xsi:type="dcterms:W3CDTF">2024-12-31T11:28:00Z</dcterms:modified>
</cp:coreProperties>
</file>