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spacing w:line="240" w:lineRule="auto"/>
        <w:ind w:left="170" w:right="113"/>
        <w:jc w:val="both"/>
        <w:rPr>
          <w:rFonts w:ascii="Times New Roman" w:hAnsi="Times New Roman" w:eastAsia="Times New Roman" w:cs="Times New Roman"/>
          <w:b/>
          <w:sz w:val="24"/>
          <w:szCs w:val="28"/>
        </w:rPr>
      </w:pPr>
    </w:p>
    <w:p w14:paraId="00000003">
      <w:pPr>
        <w:spacing w:line="240" w:lineRule="auto"/>
        <w:ind w:left="170" w:right="113"/>
        <w:jc w:val="both"/>
        <w:rPr>
          <w:rFonts w:ascii="Times New Roman" w:hAnsi="Times New Roman" w:eastAsia="Times New Roman" w:cs="Times New Roman"/>
          <w:sz w:val="24"/>
          <w:szCs w:val="28"/>
        </w:rPr>
      </w:pPr>
      <w:r>
        <w:rPr>
          <w:rFonts w:ascii="Times New Roman" w:hAnsi="Times New Roman" w:eastAsia="Times New Roman" w:cs="Times New Roman"/>
          <w:b/>
          <w:sz w:val="24"/>
          <w:szCs w:val="28"/>
        </w:rPr>
        <w:t>Comparative analysis of Carboxymethyl Chitosan with various drugs using molecular docking for the treatment of the Alzheimer’s disease</w:t>
      </w:r>
      <w:r>
        <w:rPr>
          <w:rFonts w:ascii="Times New Roman" w:hAnsi="Times New Roman" w:eastAsia="Times New Roman" w:cs="Times New Roman"/>
          <w:sz w:val="24"/>
          <w:szCs w:val="28"/>
        </w:rPr>
        <w:t>.</w:t>
      </w:r>
    </w:p>
    <w:p w14:paraId="00000004">
      <w:pPr>
        <w:spacing w:after="120" w:line="240" w:lineRule="auto"/>
        <w:ind w:left="170" w:right="113"/>
        <w:jc w:val="center"/>
        <w:rPr>
          <w:rFonts w:hint="default" w:ascii="Arial" w:hAnsi="Arial" w:eastAsia="Times New Roman" w:cs="Arial"/>
          <w:sz w:val="22"/>
          <w:szCs w:val="24"/>
        </w:rPr>
      </w:pPr>
      <w:r>
        <w:rPr>
          <w:rFonts w:hint="default" w:ascii="Arial" w:hAnsi="Arial" w:eastAsia="Times New Roman" w:cs="Arial"/>
          <w:sz w:val="22"/>
          <w:szCs w:val="24"/>
        </w:rPr>
        <w:t>Rashmi Sharma</w:t>
      </w:r>
      <w:r>
        <w:rPr>
          <w:rFonts w:hint="default" w:ascii="Arial" w:hAnsi="Arial" w:eastAsia="Times New Roman" w:cs="Arial"/>
          <w:sz w:val="22"/>
          <w:szCs w:val="24"/>
          <w:vertAlign w:val="superscript"/>
        </w:rPr>
        <w:t xml:space="preserve"> 1</w:t>
      </w:r>
      <w:r>
        <w:rPr>
          <w:rFonts w:hint="default" w:ascii="Arial" w:hAnsi="Arial" w:eastAsia="Times New Roman" w:cs="Arial"/>
          <w:sz w:val="22"/>
          <w:szCs w:val="24"/>
        </w:rPr>
        <w:t xml:space="preserve">, </w:t>
      </w:r>
      <w:r>
        <w:rPr>
          <w:rFonts w:hint="default" w:ascii="Arial" w:hAnsi="Arial" w:eastAsia="Times New Roman" w:cs="Arial"/>
          <w:b/>
          <w:bCs/>
          <w:sz w:val="22"/>
          <w:szCs w:val="24"/>
        </w:rPr>
        <w:t xml:space="preserve">Tanvi Jain </w:t>
      </w:r>
      <w:r>
        <w:rPr>
          <w:rFonts w:hint="default" w:ascii="Arial" w:hAnsi="Arial" w:eastAsia="Times New Roman" w:cs="Arial"/>
          <w:b/>
          <w:bCs/>
          <w:sz w:val="22"/>
          <w:szCs w:val="24"/>
          <w:vertAlign w:val="superscript"/>
        </w:rPr>
        <w:t>2</w:t>
      </w:r>
      <w:r>
        <w:rPr>
          <w:rFonts w:hint="default" w:ascii="Arial" w:hAnsi="Arial" w:eastAsia="Times New Roman" w:cs="Arial"/>
          <w:b/>
          <w:bCs/>
          <w:sz w:val="22"/>
          <w:szCs w:val="24"/>
          <w:vertAlign w:val="superscript"/>
          <w:lang w:val="en-US"/>
        </w:rPr>
        <w:t>*</w:t>
      </w:r>
      <w:r>
        <w:rPr>
          <w:rFonts w:hint="default" w:ascii="Arial" w:hAnsi="Arial" w:eastAsia="Times New Roman" w:cs="Arial"/>
          <w:sz w:val="22"/>
          <w:szCs w:val="24"/>
        </w:rPr>
        <w:t xml:space="preserve"> and PK Dutta </w:t>
      </w:r>
      <w:r>
        <w:rPr>
          <w:rFonts w:hint="default" w:ascii="Arial" w:hAnsi="Arial" w:eastAsia="Times New Roman" w:cs="Arial"/>
          <w:sz w:val="22"/>
          <w:szCs w:val="24"/>
          <w:vertAlign w:val="superscript"/>
        </w:rPr>
        <w:t>3</w:t>
      </w:r>
    </w:p>
    <w:p w14:paraId="51DEBBFB">
      <w:pPr>
        <w:spacing w:after="120" w:line="240" w:lineRule="auto"/>
        <w:ind w:left="170" w:right="113"/>
        <w:jc w:val="center"/>
        <w:rPr>
          <w:rFonts w:hint="default" w:ascii="Arial" w:hAnsi="Arial" w:eastAsia="Times New Roman" w:cs="Arial"/>
          <w:sz w:val="22"/>
          <w:szCs w:val="24"/>
        </w:rPr>
      </w:pPr>
      <w:r>
        <w:rPr>
          <w:rFonts w:hint="default" w:ascii="Arial" w:hAnsi="Arial" w:eastAsia="Times New Roman" w:cs="Arial"/>
          <w:sz w:val="22"/>
          <w:szCs w:val="24"/>
          <w:vertAlign w:val="superscript"/>
        </w:rPr>
        <w:t xml:space="preserve">1 </w:t>
      </w:r>
      <w:r>
        <w:rPr>
          <w:rFonts w:hint="default" w:ascii="Arial" w:hAnsi="Arial" w:eastAsia="Times New Roman" w:cs="Arial"/>
          <w:sz w:val="22"/>
          <w:szCs w:val="24"/>
        </w:rPr>
        <w:t>NIT Jalandhar -144008</w:t>
      </w:r>
    </w:p>
    <w:p w14:paraId="5DBBD02C">
      <w:pPr>
        <w:spacing w:after="120" w:line="240" w:lineRule="auto"/>
        <w:ind w:left="170" w:right="113"/>
        <w:jc w:val="center"/>
        <w:rPr>
          <w:rFonts w:hint="default" w:ascii="Arial" w:hAnsi="Arial" w:eastAsia="Times New Roman" w:cs="Arial"/>
          <w:sz w:val="22"/>
          <w:szCs w:val="24"/>
        </w:rPr>
      </w:pPr>
      <w:r>
        <w:rPr>
          <w:rFonts w:hint="default" w:ascii="Arial" w:hAnsi="Arial" w:eastAsia="Times New Roman" w:cs="Arial"/>
          <w:sz w:val="22"/>
          <w:szCs w:val="24"/>
          <w:vertAlign w:val="superscript"/>
        </w:rPr>
        <w:t>2</w:t>
      </w:r>
      <w:r>
        <w:rPr>
          <w:rFonts w:hint="default" w:ascii="Arial" w:hAnsi="Arial" w:eastAsia="Times New Roman" w:cs="Arial"/>
          <w:sz w:val="22"/>
          <w:szCs w:val="24"/>
        </w:rPr>
        <w:t xml:space="preserve"> Shri Ramswaroop Memorial University, Barabanki Uttar Pradesh-225003</w:t>
      </w:r>
    </w:p>
    <w:p w14:paraId="6E821451">
      <w:pPr>
        <w:spacing w:after="120" w:line="240" w:lineRule="auto"/>
        <w:ind w:left="170" w:right="113"/>
        <w:jc w:val="center"/>
        <w:rPr>
          <w:rFonts w:hint="default" w:ascii="Arial" w:hAnsi="Arial" w:eastAsia="Times New Roman" w:cs="Arial"/>
          <w:sz w:val="22"/>
          <w:szCs w:val="24"/>
        </w:rPr>
      </w:pPr>
      <w:r>
        <w:rPr>
          <w:rFonts w:hint="default" w:ascii="Arial" w:hAnsi="Arial" w:eastAsia="Times New Roman" w:cs="Arial"/>
          <w:sz w:val="22"/>
          <w:szCs w:val="24"/>
          <w:vertAlign w:val="superscript"/>
        </w:rPr>
        <w:t>3</w:t>
      </w:r>
      <w:r>
        <w:rPr>
          <w:rFonts w:hint="default" w:ascii="Arial" w:hAnsi="Arial" w:eastAsia="Times New Roman" w:cs="Arial"/>
          <w:sz w:val="22"/>
          <w:szCs w:val="24"/>
        </w:rPr>
        <w:t xml:space="preserve"> Motilal Nehru National Institute of Technology, Prayagraj-211004</w:t>
      </w:r>
    </w:p>
    <w:p w14:paraId="217DC31F">
      <w:pPr>
        <w:spacing w:after="120" w:line="240" w:lineRule="auto"/>
        <w:ind w:left="170" w:right="113"/>
        <w:jc w:val="center"/>
        <w:rPr>
          <w:rFonts w:hint="default" w:ascii="Arial" w:hAnsi="Arial" w:eastAsia="Times New Roman" w:cs="Arial"/>
          <w:b/>
          <w:bCs/>
          <w:sz w:val="22"/>
          <w:szCs w:val="24"/>
          <w:lang w:val="en-US"/>
        </w:rPr>
      </w:pPr>
      <w:r>
        <w:rPr>
          <w:rFonts w:hint="default" w:ascii="Arial" w:hAnsi="Arial" w:eastAsia="Times New Roman" w:cs="Arial"/>
          <w:b/>
          <w:bCs/>
          <w:sz w:val="22"/>
          <w:szCs w:val="24"/>
          <w:lang w:val="en-US"/>
        </w:rPr>
        <w:t>Email: tanvi.bt@srmu.ac.in</w:t>
      </w:r>
    </w:p>
    <w:p w14:paraId="203311A0">
      <w:pPr>
        <w:spacing w:after="120" w:line="240" w:lineRule="auto"/>
        <w:ind w:left="170" w:right="113"/>
        <w:rPr>
          <w:rFonts w:ascii="Times New Roman" w:hAnsi="Times New Roman" w:eastAsia="Times New Roman" w:cs="Times New Roman"/>
          <w:b/>
          <w:sz w:val="16"/>
          <w:szCs w:val="28"/>
        </w:rPr>
      </w:pPr>
    </w:p>
    <w:p w14:paraId="00000007">
      <w:pPr>
        <w:keepNext w:val="0"/>
        <w:keepLines w:val="0"/>
        <w:pageBreakBefore w:val="0"/>
        <w:widowControl/>
        <w:kinsoku/>
        <w:wordWrap/>
        <w:overflowPunct/>
        <w:topLinePunct w:val="0"/>
        <w:autoSpaceDE/>
        <w:autoSpaceDN/>
        <w:bidi w:val="0"/>
        <w:adjustRightInd/>
        <w:snapToGrid/>
        <w:spacing w:after="120" w:line="360" w:lineRule="auto"/>
        <w:ind w:left="170" w:right="113"/>
        <w:jc w:val="both"/>
        <w:textAlignment w:val="auto"/>
        <w:rPr>
          <w:rFonts w:hint="default" w:ascii="Arial" w:hAnsi="Arial" w:eastAsia="Times New Roman" w:cs="Arial"/>
          <w:sz w:val="22"/>
          <w:szCs w:val="22"/>
        </w:rPr>
      </w:pPr>
      <w:r>
        <w:rPr>
          <w:rFonts w:hint="default" w:ascii="Arial" w:hAnsi="Arial" w:eastAsia="Times New Roman" w:cs="Arial"/>
          <w:sz w:val="22"/>
          <w:szCs w:val="22"/>
        </w:rPr>
        <w:t>Alzheimer’s disease is a progressive neurodegenerative disorder leading to dementia. Despite our large understanding of pathogenesis of Alzheimer since its first description in 1907 by Alois Alzheimer, there are still no great disease-modifying treatments available. The profound lack of treatment of Alzheimer using medicines is due to problem of blood-brain barrier present in brain. Of all the medications given to treat Alzheimer, 98% of small drug molecule and 100% of biological drugs do not cross the blood-brain barrier. To encounter this problem, scientists started looking for materials that should be of such a size so that it could penetrate blood-brain barrier and could be used as a carrier to deliver neurological drugs. With the advent of nanotechnology, they found nanoparticles made of biopolymers, dendrimers, silicon or carbon materials effective for drug delivery. One such biopolymer is carboxymethyl chitosan (CMCS) that has been used as a carrier to form new drug delivery system to treat Alzheimer. CMCS is amphiprotic ether, derived from chitosan, exhibiting enhanced aqueous solubility, excellent biocompatibility, controllable biodegradability and numerous other outstanding physiochemical and biological properties. More, notably it can load hydrophobic drugs and displays strong bioactivity. Hence, many nano-drug delivery system based on CMCS has been developed to treat Alzheimer. Here in this research, we have provided a comprehensive comparative analysis of Carboxymethyl Chitosan (CMCS) with different established drugs like Galantamine, Valproic Acid and Protocatechuic Acid against proteins involved in Alzheimer disease like Beta-amyloid, Apolipoprotein E, Tau protein, Acetycholinesterase, Amyloid protein-1 and Amyloid protein-2.Molecular Docking through Auto Dock software, a powerful computational approach, was employed to elucidate the potential binding interactions between CMCS and known drugs targeting crucial proteins implicated in Alzheimer. This study showed that Carboxymethyl chitosan as a carrier of drug Galantamine was most effective against Beta-amyloid protein.Through a systematic evaluation, this research seeks to provide insights into the comparative effectiveness of CMCS with different drugs, she</w:t>
      </w:r>
      <w:bookmarkStart w:id="0" w:name="_GoBack"/>
      <w:bookmarkEnd w:id="0"/>
      <w:r>
        <w:rPr>
          <w:rFonts w:hint="default" w:ascii="Arial" w:hAnsi="Arial" w:eastAsia="Times New Roman" w:cs="Arial"/>
          <w:sz w:val="22"/>
          <w:szCs w:val="22"/>
        </w:rPr>
        <w:t>dding light on their therapeutic potential for Alzheimer. The study provides us with the knowledge of best combination of drug with CMCS that can be used to treat Alzheimer. The findings hold promise for guiding future drug development efforts and contributing to the ongoing research on innovative strategies for tackling this complex neurodegenerative disorder.</w:t>
      </w: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tabs>
          <w:tab w:val="left" w:pos="851"/>
        </w:tabs>
        <w:kinsoku/>
        <w:wordWrap/>
        <w:overflowPunct/>
        <w:topLinePunct w:val="0"/>
        <w:autoSpaceDE/>
        <w:autoSpaceDN/>
        <w:bidi w:val="0"/>
        <w:adjustRightInd/>
        <w:snapToGrid/>
        <w:spacing w:after="0" w:line="360" w:lineRule="auto"/>
        <w:ind w:left="170" w:right="113"/>
        <w:jc w:val="both"/>
        <w:textAlignment w:val="auto"/>
        <w:rPr>
          <w:rFonts w:hint="default" w:ascii="Arial" w:hAnsi="Arial" w:eastAsia="Times New Roman" w:cs="Arial"/>
          <w:color w:val="000000"/>
          <w:sz w:val="22"/>
          <w:szCs w:val="22"/>
        </w:rPr>
      </w:pPr>
      <w:r>
        <w:rPr>
          <w:rFonts w:hint="default" w:ascii="Arial" w:hAnsi="Arial" w:eastAsia="Times New Roman" w:cs="Arial"/>
          <w:b/>
          <w:color w:val="000000"/>
          <w:sz w:val="22"/>
          <w:szCs w:val="22"/>
        </w:rPr>
        <w:t xml:space="preserve"> Keywords: </w:t>
      </w:r>
      <w:r>
        <w:rPr>
          <w:rFonts w:hint="default" w:ascii="Arial" w:hAnsi="Arial" w:eastAsia="Times New Roman" w:cs="Arial"/>
          <w:color w:val="000000"/>
          <w:sz w:val="22"/>
          <w:szCs w:val="22"/>
        </w:rPr>
        <w:t>Neurodegenerative, pathogenesis, Alzheimer, blood-brain barrier, carboxymethyl chitosan, amphiprotic, molecular docking</w:t>
      </w:r>
    </w:p>
    <w:p w14:paraId="0000000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sz w:val="22"/>
          <w:szCs w:val="22"/>
        </w:rPr>
      </w:pPr>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AFC"/>
    <w:rsid w:val="004C7C27"/>
    <w:rsid w:val="00916AFC"/>
    <w:rsid w:val="222D0D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spacing w:before="480" w:after="120"/>
    </w:pPr>
    <w:rPr>
      <w:b/>
      <w:sz w:val="72"/>
      <w:szCs w:val="7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Teradyne Inc</Company>
  <Pages>2</Pages>
  <Words>462</Words>
  <Characters>2639</Characters>
  <Lines>21</Lines>
  <Paragraphs>6</Paragraphs>
  <TotalTime>9</TotalTime>
  <ScaleCrop>false</ScaleCrop>
  <LinksUpToDate>false</LinksUpToDate>
  <CharactersWithSpaces>3095</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2024-12-31T17:20:00Z</dcterms:created>
  <dc:creator>srmu</dc:creator>
  <cp:lastModifiedBy>Tanvi Jain</cp:lastModifiedBy>
  <dcterms:modified xsi:type="dcterms:W3CDTF">2025-01-08T04:46:06Z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09F2B99B2957411B8C515C504141A43D_12</vt:lpwstr>
  </property>
</Properties>
</file>