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F61" w:rsidRPr="00525F8C" w:rsidRDefault="007D3F61" w:rsidP="007D3F61">
      <w:pPr>
        <w:jc w:val="center"/>
        <w:rPr>
          <w:rFonts w:ascii="Arial" w:hAnsi="Arial" w:cs="Arial"/>
          <w:b/>
          <w:bCs/>
          <w:color w:val="000000" w:themeColor="text1"/>
          <w:kern w:val="24"/>
          <w:sz w:val="24"/>
          <w:szCs w:val="24"/>
          <w14:ligatures w14:val="none"/>
        </w:rPr>
      </w:pPr>
      <w:r w:rsidRPr="00525F8C">
        <w:rPr>
          <w:rFonts w:ascii="Arial" w:hAnsi="Arial" w:cs="Arial"/>
          <w:b/>
          <w:bCs/>
          <w:color w:val="000000" w:themeColor="text1"/>
          <w:kern w:val="24"/>
          <w:sz w:val="24"/>
          <w:szCs w:val="24"/>
          <w14:ligatures w14:val="none"/>
        </w:rPr>
        <w:t>METFORMIN NANOBEADS INCORPORATED CHITOSAN-CRAB LEG POWDER COMPOSITE SCAFFOLD FOR ENHANCED OSTEOGENESIS</w:t>
      </w:r>
    </w:p>
    <w:p w:rsidR="00911DF4" w:rsidRPr="007D3F61" w:rsidRDefault="00911DF4" w:rsidP="007D3F61">
      <w:pPr>
        <w:spacing w:line="360" w:lineRule="auto"/>
        <w:jc w:val="center"/>
        <w:rPr>
          <w:rFonts w:ascii="Arial" w:hAnsi="Arial" w:cs="Arial"/>
          <w:bCs/>
          <w:color w:val="000000" w:themeColor="text1"/>
          <w:kern w:val="24"/>
          <w:sz w:val="24"/>
          <w:szCs w:val="24"/>
        </w:rPr>
      </w:pPr>
      <w:r w:rsidRPr="00525F8C">
        <w:rPr>
          <w:rFonts w:ascii="Arial" w:hAnsi="Arial" w:cs="Arial"/>
          <w:b/>
          <w:bCs/>
          <w:color w:val="000000" w:themeColor="text1"/>
          <w:kern w:val="24"/>
          <w:sz w:val="24"/>
          <w:szCs w:val="24"/>
          <w:u w:val="single"/>
        </w:rPr>
        <w:t>Lakshmi RG</w:t>
      </w:r>
      <w:r w:rsidRPr="00525F8C">
        <w:rPr>
          <w:rFonts w:ascii="Arial" w:hAnsi="Arial" w:cs="Arial"/>
          <w:b/>
          <w:bCs/>
          <w:color w:val="000000" w:themeColor="text1"/>
          <w:kern w:val="24"/>
          <w:sz w:val="24"/>
          <w:szCs w:val="24"/>
        </w:rPr>
        <w:t>, Abhirami Dineshan</w:t>
      </w:r>
      <w:r w:rsidR="007D3F61">
        <w:rPr>
          <w:rFonts w:ascii="Arial" w:hAnsi="Arial" w:cs="Arial"/>
          <w:b/>
          <w:bCs/>
          <w:color w:val="000000" w:themeColor="text1"/>
          <w:kern w:val="24"/>
          <w:sz w:val="24"/>
          <w:szCs w:val="24"/>
        </w:rPr>
        <w:t xml:space="preserve">, </w:t>
      </w:r>
      <w:r w:rsidR="007D3F61" w:rsidRPr="00525F8C">
        <w:rPr>
          <w:rFonts w:ascii="Arial" w:hAnsi="Arial" w:cs="Arial"/>
          <w:b/>
          <w:bCs/>
          <w:color w:val="000000" w:themeColor="text1"/>
          <w:kern w:val="24"/>
          <w:sz w:val="24"/>
          <w:szCs w:val="24"/>
        </w:rPr>
        <w:t>R</w:t>
      </w:r>
      <w:r w:rsidR="007D3F61">
        <w:rPr>
          <w:rFonts w:ascii="Arial" w:hAnsi="Arial" w:cs="Arial"/>
          <w:b/>
          <w:bCs/>
          <w:color w:val="000000" w:themeColor="text1"/>
          <w:kern w:val="24"/>
          <w:sz w:val="24"/>
          <w:szCs w:val="24"/>
        </w:rPr>
        <w:t>.</w:t>
      </w:r>
      <w:r w:rsidR="007D3F61" w:rsidRPr="00525F8C">
        <w:rPr>
          <w:rFonts w:ascii="Arial" w:hAnsi="Arial" w:cs="Arial"/>
          <w:b/>
          <w:bCs/>
          <w:color w:val="000000" w:themeColor="text1"/>
          <w:kern w:val="24"/>
          <w:sz w:val="24"/>
          <w:szCs w:val="24"/>
        </w:rPr>
        <w:t xml:space="preserve"> Jayakumar</w:t>
      </w:r>
      <w:r w:rsidR="007D3F61">
        <w:rPr>
          <w:rFonts w:ascii="Arial" w:hAnsi="Arial" w:cs="Arial"/>
          <w:b/>
          <w:bCs/>
          <w:color w:val="000000" w:themeColor="text1"/>
          <w:kern w:val="24"/>
          <w:sz w:val="24"/>
          <w:szCs w:val="24"/>
        </w:rPr>
        <w:t>*</w:t>
      </w:r>
    </w:p>
    <w:p w:rsidR="00911DF4" w:rsidRDefault="007D3F61" w:rsidP="005E6181">
      <w:pPr>
        <w:jc w:val="center"/>
        <w:rPr>
          <w:rFonts w:ascii="Arial" w:hAnsi="Arial" w:cs="Arial"/>
          <w:bCs/>
          <w:color w:val="000000" w:themeColor="text1"/>
          <w:kern w:val="24"/>
          <w:sz w:val="24"/>
          <w:szCs w:val="24"/>
          <w14:ligatures w14:val="none"/>
        </w:rPr>
      </w:pPr>
      <w:r>
        <w:rPr>
          <w:rFonts w:ascii="Arial" w:hAnsi="Arial" w:cs="Arial"/>
          <w:bCs/>
          <w:color w:val="000000" w:themeColor="text1"/>
          <w:kern w:val="24"/>
          <w:sz w:val="24"/>
          <w:szCs w:val="24"/>
          <w14:ligatures w14:val="none"/>
        </w:rPr>
        <w:t>Polymeric Biomaterials L</w:t>
      </w:r>
      <w:r w:rsidR="00525F8C">
        <w:rPr>
          <w:rFonts w:ascii="Arial" w:hAnsi="Arial" w:cs="Arial"/>
          <w:bCs/>
          <w:color w:val="000000" w:themeColor="text1"/>
          <w:kern w:val="24"/>
          <w:sz w:val="24"/>
          <w:szCs w:val="24"/>
          <w14:ligatures w14:val="none"/>
        </w:rPr>
        <w:t>ab, School</w:t>
      </w:r>
      <w:r w:rsidR="00911DF4" w:rsidRPr="00525F8C">
        <w:rPr>
          <w:rFonts w:ascii="Arial" w:hAnsi="Arial" w:cs="Arial"/>
          <w:bCs/>
          <w:color w:val="000000" w:themeColor="text1"/>
          <w:kern w:val="24"/>
          <w:sz w:val="24"/>
          <w:szCs w:val="24"/>
          <w14:ligatures w14:val="none"/>
        </w:rPr>
        <w:t xml:space="preserve"> of Nanosciences and Molecular Medicine</w:t>
      </w:r>
      <w:r w:rsidR="00525F8C">
        <w:rPr>
          <w:rFonts w:ascii="Arial" w:hAnsi="Arial" w:cs="Arial"/>
          <w:bCs/>
          <w:color w:val="000000" w:themeColor="text1"/>
          <w:kern w:val="24"/>
          <w:sz w:val="24"/>
          <w:szCs w:val="24"/>
          <w14:ligatures w14:val="none"/>
        </w:rPr>
        <w:t>, Amrita Vishwa Vidhyapeetham, Kochi-682041, India</w:t>
      </w:r>
    </w:p>
    <w:p w:rsidR="00525F8C" w:rsidRDefault="007D3F61" w:rsidP="005E6181">
      <w:pPr>
        <w:jc w:val="center"/>
        <w:rPr>
          <w:rFonts w:ascii="Arial" w:hAnsi="Arial" w:cs="Arial"/>
          <w:bCs/>
          <w:color w:val="000000" w:themeColor="text1"/>
          <w:kern w:val="24"/>
          <w:sz w:val="24"/>
          <w:szCs w:val="24"/>
          <w14:ligatures w14:val="none"/>
        </w:rPr>
      </w:pPr>
      <w:r>
        <w:rPr>
          <w:rFonts w:ascii="Arial" w:hAnsi="Arial" w:cs="Arial"/>
          <w:bCs/>
          <w:color w:val="000000" w:themeColor="text1"/>
          <w:kern w:val="24"/>
          <w:sz w:val="24"/>
          <w:szCs w:val="24"/>
          <w14:ligatures w14:val="none"/>
        </w:rPr>
        <w:t xml:space="preserve">*Correspondg author: </w:t>
      </w:r>
      <w:bookmarkStart w:id="0" w:name="_GoBack"/>
      <w:bookmarkEnd w:id="0"/>
      <w:r>
        <w:fldChar w:fldCharType="begin"/>
      </w:r>
      <w:r>
        <w:instrText xml:space="preserve"> HYPERLINK "mailto:rjayakumar@aims.amrita.edu" </w:instrText>
      </w:r>
      <w:r>
        <w:fldChar w:fldCharType="separate"/>
      </w:r>
      <w:r w:rsidR="00525F8C" w:rsidRPr="00EF2E04">
        <w:rPr>
          <w:rStyle w:val="Hyperlink"/>
          <w:rFonts w:ascii="Arial" w:hAnsi="Arial" w:cs="Arial"/>
          <w:bCs/>
          <w:kern w:val="24"/>
          <w:sz w:val="24"/>
          <w:szCs w:val="24"/>
          <w14:ligatures w14:val="none"/>
        </w:rPr>
        <w:t>rjayakumar@aims.amrita.edu</w:t>
      </w:r>
      <w:r>
        <w:rPr>
          <w:rStyle w:val="Hyperlink"/>
          <w:rFonts w:ascii="Arial" w:hAnsi="Arial" w:cs="Arial"/>
          <w:bCs/>
          <w:kern w:val="24"/>
          <w:sz w:val="24"/>
          <w:szCs w:val="24"/>
          <w14:ligatures w14:val="none"/>
        </w:rPr>
        <w:fldChar w:fldCharType="end"/>
      </w:r>
    </w:p>
    <w:p w:rsidR="00525F8C" w:rsidRPr="00525F8C" w:rsidRDefault="00525F8C" w:rsidP="00525F8C">
      <w:pPr>
        <w:rPr>
          <w:rStyle w:val="fontstyle01"/>
          <w:rFonts w:ascii="Arial" w:hAnsi="Arial" w:cs="Arial"/>
          <w:b w:val="0"/>
          <w:color w:val="000000" w:themeColor="text1"/>
          <w:kern w:val="24"/>
          <w:sz w:val="24"/>
          <w:szCs w:val="24"/>
          <w14:ligatures w14:val="none"/>
        </w:rPr>
      </w:pPr>
    </w:p>
    <w:p w:rsidR="00F43E32" w:rsidRPr="000B7781" w:rsidRDefault="00F43E32" w:rsidP="0092617A">
      <w:pPr>
        <w:spacing w:line="360" w:lineRule="auto"/>
        <w:jc w:val="center"/>
        <w:rPr>
          <w:rFonts w:ascii="Arial" w:hAnsi="Arial" w:cs="Arial"/>
          <w:b/>
          <w:bCs/>
          <w:color w:val="000000"/>
        </w:rPr>
      </w:pPr>
      <w:r w:rsidRPr="000B7781">
        <w:rPr>
          <w:rFonts w:ascii="Arial" w:hAnsi="Arial" w:cs="Arial"/>
          <w:b/>
          <w:bCs/>
          <w:color w:val="000000"/>
        </w:rPr>
        <w:t>ABSTRACT</w:t>
      </w:r>
    </w:p>
    <w:p w:rsidR="00F43E32" w:rsidRPr="00D35EAE" w:rsidRDefault="00F43E32" w:rsidP="00D35EAE">
      <w:pPr>
        <w:jc w:val="both"/>
        <w:rPr>
          <w:rFonts w:ascii="Arial" w:hAnsi="Arial" w:cs="Arial"/>
          <w:color w:val="000000"/>
          <w:lang w:val="en-IN"/>
        </w:rPr>
      </w:pPr>
      <w:r w:rsidRPr="00D35EAE">
        <w:rPr>
          <w:rStyle w:val="fontstyle11"/>
          <w:rFonts w:ascii="Arial" w:hAnsi="Arial" w:cs="Arial"/>
          <w:sz w:val="24"/>
          <w:szCs w:val="24"/>
        </w:rPr>
        <w:t>Bone defects such as calvarial defects possess significant challenges in</w:t>
      </w:r>
      <w:r w:rsidRPr="00D35E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35EAE">
        <w:rPr>
          <w:rStyle w:val="fontstyle11"/>
          <w:rFonts w:ascii="Arial" w:hAnsi="Arial" w:cs="Arial"/>
          <w:sz w:val="24"/>
          <w:szCs w:val="24"/>
        </w:rPr>
        <w:t>tissue regeneration; particularly in case of critical size defects where</w:t>
      </w:r>
      <w:r w:rsidRPr="00D35E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35EAE">
        <w:rPr>
          <w:rStyle w:val="fontstyle11"/>
          <w:rFonts w:ascii="Arial" w:hAnsi="Arial" w:cs="Arial"/>
          <w:sz w:val="24"/>
          <w:szCs w:val="24"/>
        </w:rPr>
        <w:t>self-healing is limited. Current treatments including autografts and</w:t>
      </w:r>
      <w:r w:rsidRPr="00D35E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35EAE">
        <w:rPr>
          <w:rStyle w:val="fontstyle11"/>
          <w:rFonts w:ascii="Arial" w:hAnsi="Arial" w:cs="Arial"/>
          <w:sz w:val="24"/>
          <w:szCs w:val="24"/>
        </w:rPr>
        <w:t>allografts face limitations such as donor site morbidity, immune</w:t>
      </w:r>
      <w:r w:rsidRPr="00D35E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35EAE">
        <w:rPr>
          <w:rStyle w:val="fontstyle11"/>
          <w:rFonts w:ascii="Arial" w:hAnsi="Arial" w:cs="Arial"/>
          <w:sz w:val="24"/>
          <w:szCs w:val="24"/>
        </w:rPr>
        <w:t>rejection, and limited availability. To counter these challenges, we</w:t>
      </w:r>
      <w:r w:rsidRPr="00D35E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35EAE">
        <w:rPr>
          <w:rStyle w:val="fontstyle11"/>
          <w:rFonts w:ascii="Arial" w:hAnsi="Arial" w:cs="Arial"/>
          <w:sz w:val="24"/>
          <w:szCs w:val="24"/>
        </w:rPr>
        <w:t>developed a composite scaffold by incorporating metformin-loaded</w:t>
      </w:r>
      <w:r w:rsidRPr="00D35E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35EAE">
        <w:rPr>
          <w:rStyle w:val="fontstyle11"/>
          <w:rFonts w:ascii="Arial" w:hAnsi="Arial" w:cs="Arial"/>
          <w:sz w:val="24"/>
          <w:szCs w:val="24"/>
        </w:rPr>
        <w:t>alginate nanobeads (MNPs) and crab leg powder (</w:t>
      </w:r>
      <w:smartTag w:uri="urn:schemas-microsoft-com:office:smarttags" w:element="stockticker">
        <w:r w:rsidRPr="00D35EAE">
          <w:rPr>
            <w:rStyle w:val="fontstyle11"/>
            <w:rFonts w:ascii="Arial" w:hAnsi="Arial" w:cs="Arial"/>
            <w:sz w:val="24"/>
            <w:szCs w:val="24"/>
          </w:rPr>
          <w:t>CLP</w:t>
        </w:r>
      </w:smartTag>
      <w:r w:rsidR="008931D7" w:rsidRPr="00D35EAE">
        <w:rPr>
          <w:rStyle w:val="fontstyle11"/>
          <w:rFonts w:ascii="Arial" w:hAnsi="Arial" w:cs="Arial"/>
          <w:sz w:val="24"/>
          <w:szCs w:val="24"/>
        </w:rPr>
        <w:t>) into a chitosan (C</w:t>
      </w:r>
      <w:r w:rsidRPr="00D35EAE">
        <w:rPr>
          <w:rStyle w:val="fontstyle11"/>
          <w:rFonts w:ascii="Arial" w:hAnsi="Arial" w:cs="Arial"/>
          <w:sz w:val="24"/>
          <w:szCs w:val="24"/>
        </w:rPr>
        <w:t>S) matrix for enhancing osteogenesis.</w:t>
      </w:r>
      <w:r w:rsidRPr="00D35EAE">
        <w:rPr>
          <w:rFonts w:ascii="Arial" w:hAnsi="Arial" w:cs="Arial"/>
          <w:color w:val="000000"/>
          <w:sz w:val="24"/>
          <w:szCs w:val="24"/>
        </w:rPr>
        <w:t xml:space="preserve">  Metformin, known for its anti-diabetic properties, has demonstrated significant osteogenic potential by enhancing osteoblast differentiation and promoting bone mineralization through activation of AMPK signaling pathway. To achieve a </w:t>
      </w:r>
      <w:r w:rsidR="007D3F61">
        <w:rPr>
          <w:rFonts w:ascii="Arial" w:hAnsi="Arial" w:cs="Arial"/>
          <w:color w:val="000000"/>
          <w:sz w:val="24"/>
          <w:szCs w:val="24"/>
        </w:rPr>
        <w:t>controlled</w:t>
      </w:r>
      <w:r w:rsidRPr="00D35EAE">
        <w:rPr>
          <w:rFonts w:ascii="Arial" w:hAnsi="Arial" w:cs="Arial"/>
          <w:color w:val="000000"/>
          <w:sz w:val="24"/>
          <w:szCs w:val="24"/>
        </w:rPr>
        <w:t xml:space="preserve"> and localized release, metformin is encapsulated into</w:t>
      </w:r>
      <w:r w:rsidR="007D3F61">
        <w:rPr>
          <w:rFonts w:ascii="Arial" w:hAnsi="Arial" w:cs="Arial"/>
          <w:color w:val="000000"/>
          <w:sz w:val="24"/>
          <w:szCs w:val="24"/>
        </w:rPr>
        <w:t xml:space="preserve"> an</w:t>
      </w:r>
      <w:r w:rsidRPr="00D35EAE">
        <w:rPr>
          <w:rFonts w:ascii="Arial" w:hAnsi="Arial" w:cs="Arial"/>
          <w:color w:val="000000"/>
          <w:sz w:val="24"/>
          <w:szCs w:val="24"/>
        </w:rPr>
        <w:t xml:space="preserve"> alginate nanobeads.  Crab leg powder is a source of bioactive minerals like calcium, phosphate, magnesium, and silica which enhance osteogenesis by osteogenic differentiation and mineral deposition. The prepared nanobeads were characterized using DLS, </w:t>
      </w:r>
      <w:smartTag w:uri="urn:schemas-microsoft-com:office:smarttags" w:element="stockticker">
        <w:r w:rsidRPr="00D35EAE">
          <w:rPr>
            <w:rFonts w:ascii="Arial" w:hAnsi="Arial" w:cs="Arial"/>
            <w:color w:val="000000"/>
            <w:sz w:val="24"/>
            <w:szCs w:val="24"/>
          </w:rPr>
          <w:t>SEM</w:t>
        </w:r>
      </w:smartTag>
      <w:r w:rsidRPr="00D35EAE">
        <w:rPr>
          <w:rFonts w:ascii="Arial" w:hAnsi="Arial" w:cs="Arial"/>
          <w:color w:val="000000"/>
          <w:sz w:val="24"/>
          <w:szCs w:val="24"/>
        </w:rPr>
        <w:t xml:space="preserve"> and FTIR. </w:t>
      </w:r>
      <w:r w:rsidRPr="00D35EAE">
        <w:rPr>
          <w:rStyle w:val="fontstyle11"/>
          <w:rFonts w:ascii="Arial" w:hAnsi="Arial" w:cs="Arial"/>
          <w:sz w:val="24"/>
          <w:szCs w:val="24"/>
        </w:rPr>
        <w:t>This developed composite scaffold</w:t>
      </w:r>
      <w:r w:rsidRPr="00D35EAE">
        <w:rPr>
          <w:rFonts w:ascii="Arial" w:hAnsi="Arial" w:cs="Arial"/>
          <w:color w:val="000000"/>
          <w:sz w:val="24"/>
          <w:szCs w:val="24"/>
        </w:rPr>
        <w:t xml:space="preserve"> </w:t>
      </w:r>
      <w:r w:rsidR="00B306E7" w:rsidRPr="00D35EAE">
        <w:rPr>
          <w:rStyle w:val="fontstyle11"/>
          <w:rFonts w:ascii="Arial" w:hAnsi="Arial" w:cs="Arial"/>
          <w:sz w:val="24"/>
          <w:szCs w:val="24"/>
        </w:rPr>
        <w:t>were</w:t>
      </w:r>
      <w:r w:rsidRPr="00D35EAE">
        <w:rPr>
          <w:rStyle w:val="fontstyle11"/>
          <w:rFonts w:ascii="Arial" w:hAnsi="Arial" w:cs="Arial"/>
          <w:sz w:val="24"/>
          <w:szCs w:val="24"/>
        </w:rPr>
        <w:t xml:space="preserve"> characterized by FE-</w:t>
      </w:r>
      <w:smartTag w:uri="urn:schemas-microsoft-com:office:smarttags" w:element="stockticker">
        <w:r w:rsidRPr="00D35EAE">
          <w:rPr>
            <w:rStyle w:val="fontstyle11"/>
            <w:rFonts w:ascii="Arial" w:hAnsi="Arial" w:cs="Arial"/>
            <w:sz w:val="24"/>
            <w:szCs w:val="24"/>
          </w:rPr>
          <w:t>SEM</w:t>
        </w:r>
      </w:smartTag>
      <w:r w:rsidRPr="00D35EAE">
        <w:rPr>
          <w:rStyle w:val="fontstyle11"/>
          <w:rFonts w:ascii="Arial" w:hAnsi="Arial" w:cs="Arial"/>
          <w:sz w:val="24"/>
          <w:szCs w:val="24"/>
        </w:rPr>
        <w:t>, EDAX, FT</w:t>
      </w:r>
      <w:r w:rsidR="00B306E7" w:rsidRPr="00D35EAE">
        <w:rPr>
          <w:rStyle w:val="fontstyle11"/>
          <w:rFonts w:ascii="Arial" w:hAnsi="Arial" w:cs="Arial"/>
          <w:sz w:val="24"/>
          <w:szCs w:val="24"/>
        </w:rPr>
        <w:t xml:space="preserve">IR and XRD. </w:t>
      </w:r>
      <w:r w:rsidR="00D35EAE">
        <w:rPr>
          <w:rFonts w:ascii="Arial" w:hAnsi="Arial" w:cs="Arial"/>
          <w:color w:val="000000"/>
          <w:lang w:val="en-IN"/>
        </w:rPr>
        <w:t xml:space="preserve">FE-SEM </w:t>
      </w:r>
      <w:r w:rsidR="007D3F61">
        <w:rPr>
          <w:rFonts w:ascii="Arial" w:hAnsi="Arial" w:cs="Arial"/>
          <w:color w:val="000000"/>
          <w:lang w:val="en-IN"/>
        </w:rPr>
        <w:t xml:space="preserve">of the composite scaffold </w:t>
      </w:r>
      <w:r w:rsidR="008024CB" w:rsidRPr="00D35EAE">
        <w:rPr>
          <w:rFonts w:ascii="Arial" w:hAnsi="Arial" w:cs="Arial"/>
          <w:color w:val="000000"/>
          <w:lang w:val="en-IN"/>
        </w:rPr>
        <w:t>displ</w:t>
      </w:r>
      <w:r w:rsidR="00525F8C">
        <w:rPr>
          <w:rFonts w:ascii="Arial" w:hAnsi="Arial" w:cs="Arial"/>
          <w:color w:val="000000"/>
          <w:lang w:val="en-IN"/>
        </w:rPr>
        <w:t xml:space="preserve">ayed a highly porous </w:t>
      </w:r>
      <w:r w:rsidR="008024CB" w:rsidRPr="00D35EAE">
        <w:rPr>
          <w:rFonts w:ascii="Arial" w:hAnsi="Arial" w:cs="Arial"/>
          <w:color w:val="000000"/>
          <w:lang w:val="en-IN"/>
        </w:rPr>
        <w:t>and interconnected structure.</w:t>
      </w:r>
      <w:r w:rsidR="00D35EAE" w:rsidRPr="00D35EAE">
        <w:rPr>
          <w:rFonts w:ascii="Arial" w:hAnsi="Arial" w:cs="Arial"/>
          <w:color w:val="000000"/>
          <w:lang w:val="en-IN"/>
        </w:rPr>
        <w:t xml:space="preserve"> </w:t>
      </w:r>
      <w:r w:rsidR="00D35EAE">
        <w:rPr>
          <w:rFonts w:ascii="Arial" w:hAnsi="Arial" w:cs="Arial"/>
          <w:color w:val="000000"/>
          <w:sz w:val="24"/>
          <w:szCs w:val="24"/>
        </w:rPr>
        <w:t xml:space="preserve">EDAX of </w:t>
      </w:r>
      <w:r w:rsidR="00525F8C">
        <w:rPr>
          <w:rFonts w:ascii="Arial" w:hAnsi="Arial" w:cs="Arial"/>
          <w:color w:val="000000"/>
          <w:sz w:val="24"/>
          <w:szCs w:val="24"/>
        </w:rPr>
        <w:t xml:space="preserve">confirmed the presence of </w:t>
      </w:r>
      <w:r w:rsidR="008024CB" w:rsidRPr="00D35EAE">
        <w:rPr>
          <w:rFonts w:ascii="Arial" w:hAnsi="Arial" w:cs="Arial"/>
          <w:color w:val="000000"/>
          <w:sz w:val="24"/>
          <w:szCs w:val="24"/>
        </w:rPr>
        <w:t>Ca, P, Si, O</w:t>
      </w:r>
      <w:r w:rsidR="007D3F61">
        <w:rPr>
          <w:rFonts w:ascii="Arial" w:hAnsi="Arial" w:cs="Arial"/>
          <w:color w:val="000000"/>
          <w:sz w:val="24"/>
          <w:szCs w:val="24"/>
        </w:rPr>
        <w:t xml:space="preserve"> and N, which are </w:t>
      </w:r>
      <w:r w:rsidR="008024CB" w:rsidRPr="00D35EAE">
        <w:rPr>
          <w:rFonts w:ascii="Arial" w:hAnsi="Arial" w:cs="Arial"/>
          <w:color w:val="000000"/>
          <w:sz w:val="24"/>
          <w:szCs w:val="24"/>
        </w:rPr>
        <w:t xml:space="preserve">essential for </w:t>
      </w:r>
      <w:r w:rsidR="007D3F61">
        <w:rPr>
          <w:rFonts w:ascii="Arial" w:hAnsi="Arial" w:cs="Arial"/>
          <w:color w:val="000000"/>
          <w:sz w:val="24"/>
          <w:szCs w:val="24"/>
        </w:rPr>
        <w:t xml:space="preserve">promoting </w:t>
      </w:r>
      <w:r w:rsidR="008024CB" w:rsidRPr="00D35EAE">
        <w:rPr>
          <w:rFonts w:ascii="Arial" w:hAnsi="Arial" w:cs="Arial"/>
          <w:color w:val="000000"/>
          <w:sz w:val="24"/>
          <w:szCs w:val="24"/>
        </w:rPr>
        <w:t>osteogenesis</w:t>
      </w:r>
      <w:r w:rsidR="00D35EAE">
        <w:rPr>
          <w:rFonts w:ascii="Arial" w:hAnsi="Arial" w:cs="Arial"/>
          <w:color w:val="000000"/>
          <w:sz w:val="24"/>
          <w:szCs w:val="24"/>
          <w:lang w:val="en-IN"/>
        </w:rPr>
        <w:t xml:space="preserve">. </w:t>
      </w:r>
      <w:r w:rsidR="00B306E7" w:rsidRPr="00D35EAE">
        <w:rPr>
          <w:rStyle w:val="fontstyle11"/>
          <w:rFonts w:ascii="Arial" w:hAnsi="Arial" w:cs="Arial"/>
          <w:sz w:val="24"/>
          <w:szCs w:val="24"/>
        </w:rPr>
        <w:t xml:space="preserve">The </w:t>
      </w:r>
      <w:r w:rsidR="007D3F61">
        <w:rPr>
          <w:rStyle w:val="fontstyle11"/>
          <w:rFonts w:ascii="Arial" w:hAnsi="Arial" w:cs="Arial"/>
          <w:sz w:val="24"/>
          <w:szCs w:val="24"/>
        </w:rPr>
        <w:t xml:space="preserve">prepared </w:t>
      </w:r>
      <w:r w:rsidR="00B306E7" w:rsidRPr="00D35EAE">
        <w:rPr>
          <w:rStyle w:val="fontstyle11"/>
          <w:rFonts w:ascii="Arial" w:hAnsi="Arial" w:cs="Arial"/>
          <w:sz w:val="24"/>
          <w:szCs w:val="24"/>
        </w:rPr>
        <w:t xml:space="preserve">scaffold </w:t>
      </w:r>
      <w:r w:rsidR="00C006C2" w:rsidRPr="00D35EAE">
        <w:rPr>
          <w:rStyle w:val="fontstyle11"/>
          <w:rFonts w:ascii="Arial" w:hAnsi="Arial" w:cs="Arial"/>
          <w:sz w:val="24"/>
          <w:szCs w:val="24"/>
        </w:rPr>
        <w:t>was</w:t>
      </w:r>
      <w:r w:rsidRPr="00D35EAE">
        <w:rPr>
          <w:rStyle w:val="fontstyle11"/>
          <w:rFonts w:ascii="Arial" w:hAnsi="Arial" w:cs="Arial"/>
          <w:sz w:val="24"/>
          <w:szCs w:val="24"/>
        </w:rPr>
        <w:t xml:space="preserve"> further evaluated </w:t>
      </w:r>
      <w:r w:rsidR="007D3F61">
        <w:rPr>
          <w:rStyle w:val="fontstyle11"/>
          <w:rFonts w:ascii="Arial" w:hAnsi="Arial" w:cs="Arial"/>
          <w:sz w:val="24"/>
          <w:szCs w:val="24"/>
        </w:rPr>
        <w:t>the</w:t>
      </w:r>
      <w:r w:rsidRPr="00D35EAE">
        <w:rPr>
          <w:rStyle w:val="fontstyle11"/>
          <w:rFonts w:ascii="Arial" w:hAnsi="Arial" w:cs="Arial"/>
          <w:sz w:val="24"/>
          <w:szCs w:val="24"/>
        </w:rPr>
        <w:t xml:space="preserve"> porosity, swelling behavior, and degradation rate to ensure optimal mechanical stability and controlled degradation suitable for bone tissue engineering. </w:t>
      </w:r>
      <w:r w:rsidRPr="00D35EAE">
        <w:rPr>
          <w:rStyle w:val="fontstyle11"/>
          <w:rFonts w:ascii="Arial" w:hAnsi="Arial" w:cs="Arial"/>
          <w:i/>
          <w:sz w:val="24"/>
          <w:szCs w:val="24"/>
        </w:rPr>
        <w:t>In vitro</w:t>
      </w:r>
      <w:r w:rsidRPr="00D35EAE">
        <w:rPr>
          <w:rStyle w:val="fontstyle11"/>
          <w:rFonts w:ascii="Arial" w:hAnsi="Arial" w:cs="Arial"/>
          <w:sz w:val="24"/>
          <w:szCs w:val="24"/>
        </w:rPr>
        <w:t xml:space="preserve"> m</w:t>
      </w:r>
      <w:r w:rsidR="00B306E7" w:rsidRPr="00D35EAE">
        <w:rPr>
          <w:rStyle w:val="fontstyle11"/>
          <w:rFonts w:ascii="Arial" w:hAnsi="Arial" w:cs="Arial"/>
          <w:sz w:val="24"/>
          <w:szCs w:val="24"/>
        </w:rPr>
        <w:t>etformin release studies was</w:t>
      </w:r>
      <w:r w:rsidRPr="00D35EAE">
        <w:rPr>
          <w:rStyle w:val="fontstyle11"/>
          <w:rFonts w:ascii="Arial" w:hAnsi="Arial" w:cs="Arial"/>
          <w:sz w:val="24"/>
          <w:szCs w:val="24"/>
        </w:rPr>
        <w:t xml:space="preserve"> done to evaluate the sustain</w:t>
      </w:r>
      <w:r w:rsidR="00D35EAE">
        <w:rPr>
          <w:rStyle w:val="fontstyle11"/>
          <w:rFonts w:ascii="Arial" w:hAnsi="Arial" w:cs="Arial"/>
          <w:sz w:val="24"/>
          <w:szCs w:val="24"/>
        </w:rPr>
        <w:t>ed release profile of metformin.  Bominera</w:t>
      </w:r>
      <w:r w:rsidR="00525F8C">
        <w:rPr>
          <w:rStyle w:val="fontstyle11"/>
          <w:rFonts w:ascii="Arial" w:hAnsi="Arial" w:cs="Arial"/>
          <w:sz w:val="24"/>
          <w:szCs w:val="24"/>
        </w:rPr>
        <w:t>lization studies were conducted</w:t>
      </w:r>
      <w:r w:rsidR="00D35EAE">
        <w:rPr>
          <w:rStyle w:val="fontstyle11"/>
          <w:rFonts w:ascii="Arial" w:hAnsi="Arial" w:cs="Arial"/>
          <w:sz w:val="24"/>
          <w:szCs w:val="24"/>
        </w:rPr>
        <w:t xml:space="preserve"> using SBF to determine the bioactivity of the scaffold.</w:t>
      </w:r>
      <w:r w:rsidRPr="00D35EAE">
        <w:rPr>
          <w:rStyle w:val="fontstyle11"/>
          <w:rFonts w:ascii="Arial" w:hAnsi="Arial" w:cs="Arial"/>
          <w:sz w:val="24"/>
          <w:szCs w:val="24"/>
        </w:rPr>
        <w:t xml:space="preserve"> In vitro biocompatibility</w:t>
      </w:r>
      <w:r w:rsidR="007D3F61">
        <w:rPr>
          <w:rStyle w:val="fontstyle11"/>
          <w:rFonts w:ascii="Arial" w:hAnsi="Arial" w:cs="Arial"/>
          <w:sz w:val="24"/>
          <w:szCs w:val="24"/>
        </w:rPr>
        <w:t xml:space="preserve"> and cell attachment studies of the prepared scaffold were performed.</w:t>
      </w:r>
      <w:r w:rsidRPr="00D35EAE">
        <w:rPr>
          <w:rStyle w:val="fontstyle11"/>
          <w:rFonts w:ascii="Arial" w:hAnsi="Arial" w:cs="Arial"/>
          <w:sz w:val="24"/>
          <w:szCs w:val="24"/>
        </w:rPr>
        <w:t xml:space="preserve"> This </w:t>
      </w:r>
      <w:r w:rsidR="007D3F61">
        <w:rPr>
          <w:rStyle w:val="fontstyle11"/>
          <w:rFonts w:ascii="Arial" w:hAnsi="Arial" w:cs="Arial"/>
          <w:sz w:val="24"/>
          <w:szCs w:val="24"/>
        </w:rPr>
        <w:t xml:space="preserve">developed </w:t>
      </w:r>
      <w:r w:rsidRPr="00D35EAE">
        <w:rPr>
          <w:rFonts w:ascii="Arial" w:hAnsi="Arial" w:cs="Arial"/>
          <w:color w:val="000000"/>
          <w:sz w:val="24"/>
          <w:szCs w:val="24"/>
        </w:rPr>
        <w:t xml:space="preserve">MNPs-CLP-CS nanocomposite scaffold </w:t>
      </w:r>
      <w:r w:rsidR="007D3F61">
        <w:rPr>
          <w:rFonts w:ascii="Arial" w:hAnsi="Arial" w:cs="Arial"/>
          <w:color w:val="000000"/>
          <w:sz w:val="24"/>
          <w:szCs w:val="24"/>
        </w:rPr>
        <w:t>could be useful in bone tissue engineering area</w:t>
      </w:r>
      <w:r w:rsidRPr="00D35EAE">
        <w:rPr>
          <w:rFonts w:ascii="Arial" w:hAnsi="Arial" w:cs="Arial"/>
          <w:color w:val="000000"/>
          <w:sz w:val="24"/>
          <w:szCs w:val="24"/>
        </w:rPr>
        <w:t>.</w:t>
      </w:r>
    </w:p>
    <w:p w:rsidR="00F43E32" w:rsidRPr="00D35EAE" w:rsidRDefault="00F43E32" w:rsidP="00412249">
      <w:pPr>
        <w:spacing w:line="360" w:lineRule="auto"/>
        <w:jc w:val="center"/>
        <w:rPr>
          <w:rStyle w:val="fontstyle01"/>
          <w:rFonts w:ascii="Arial" w:hAnsi="Arial" w:cs="Arial"/>
          <w:sz w:val="28"/>
          <w:szCs w:val="28"/>
        </w:rPr>
      </w:pPr>
    </w:p>
    <w:p w:rsidR="00F43E32" w:rsidRPr="00F43E32" w:rsidRDefault="00F43E32" w:rsidP="00F43E32">
      <w:pPr>
        <w:rPr>
          <w:rFonts w:ascii="Times New Roman" w:hAnsi="Times New Roman" w:cs="Times New Roman"/>
          <w:sz w:val="28"/>
          <w:szCs w:val="28"/>
        </w:rPr>
      </w:pPr>
    </w:p>
    <w:sectPr w:rsidR="00F43E32" w:rsidRPr="00F43E32" w:rsidSect="00911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DB3" w:rsidRDefault="008D7DB3" w:rsidP="0001616C">
      <w:pPr>
        <w:spacing w:after="0" w:line="240" w:lineRule="auto"/>
      </w:pPr>
      <w:r>
        <w:separator/>
      </w:r>
    </w:p>
  </w:endnote>
  <w:endnote w:type="continuationSeparator" w:id="0">
    <w:p w:rsidR="008D7DB3" w:rsidRDefault="008D7DB3" w:rsidP="00016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NRMTPro-Bold">
    <w:altName w:val="Times New Roman"/>
    <w:panose1 w:val="00000000000000000000"/>
    <w:charset w:val="00"/>
    <w:family w:val="roman"/>
    <w:notTrueType/>
    <w:pitch w:val="default"/>
  </w:font>
  <w:font w:name="TimesNRMTPro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DB3" w:rsidRDefault="008D7DB3" w:rsidP="0001616C">
      <w:pPr>
        <w:spacing w:after="0" w:line="240" w:lineRule="auto"/>
      </w:pPr>
      <w:r>
        <w:separator/>
      </w:r>
    </w:p>
  </w:footnote>
  <w:footnote w:type="continuationSeparator" w:id="0">
    <w:p w:rsidR="008D7DB3" w:rsidRDefault="008D7DB3" w:rsidP="000161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050A69"/>
    <w:multiLevelType w:val="hybridMultilevel"/>
    <w:tmpl w:val="1EC6D1BA"/>
    <w:lvl w:ilvl="0" w:tplc="509002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5A4C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4642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4274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D0F2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04F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8292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1A03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42CE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390"/>
    <w:rsid w:val="0001616C"/>
    <w:rsid w:val="000B7781"/>
    <w:rsid w:val="001862FA"/>
    <w:rsid w:val="003C6AE1"/>
    <w:rsid w:val="00411EAD"/>
    <w:rsid w:val="00412249"/>
    <w:rsid w:val="00415454"/>
    <w:rsid w:val="00525F8C"/>
    <w:rsid w:val="005E6181"/>
    <w:rsid w:val="00692FD1"/>
    <w:rsid w:val="006C2A2E"/>
    <w:rsid w:val="007D3F61"/>
    <w:rsid w:val="007D7C46"/>
    <w:rsid w:val="007F3455"/>
    <w:rsid w:val="008024CB"/>
    <w:rsid w:val="008931D7"/>
    <w:rsid w:val="008D7DB3"/>
    <w:rsid w:val="00911DF4"/>
    <w:rsid w:val="0092617A"/>
    <w:rsid w:val="009F6EDF"/>
    <w:rsid w:val="00A74A2A"/>
    <w:rsid w:val="00B306E7"/>
    <w:rsid w:val="00B5357F"/>
    <w:rsid w:val="00B82F65"/>
    <w:rsid w:val="00BC2390"/>
    <w:rsid w:val="00C006C2"/>
    <w:rsid w:val="00D35EAE"/>
    <w:rsid w:val="00DD760E"/>
    <w:rsid w:val="00EC6817"/>
    <w:rsid w:val="00F43E32"/>
    <w:rsid w:val="00F6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2913E79D"/>
  <w15:docId w15:val="{28A80FB0-4736-4B4A-BD37-BB100B73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l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C2390"/>
    <w:rPr>
      <w:rFonts w:ascii="TimesNRMTPro-Bold" w:hAnsi="TimesNRMTPro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11">
    <w:name w:val="fontstyle11"/>
    <w:basedOn w:val="DefaultParagraphFont"/>
    <w:rsid w:val="00BC2390"/>
    <w:rPr>
      <w:rFonts w:ascii="TimesNRMTPro" w:hAnsi="TimesNRMTPro" w:hint="default"/>
      <w:b w:val="0"/>
      <w:bCs w:val="0"/>
      <w:i w:val="0"/>
      <w:iCs w:val="0"/>
      <w:color w:val="00000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1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16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1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16C"/>
    <w:rPr>
      <w:rFonts w:cs="Arial Unicode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F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F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5EA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en-IN" w:eastAsia="en-IN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525F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3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91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30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Dr.R.Jayakumar</cp:lastModifiedBy>
  <cp:revision>19</cp:revision>
  <dcterms:created xsi:type="dcterms:W3CDTF">2024-12-03T05:15:00Z</dcterms:created>
  <dcterms:modified xsi:type="dcterms:W3CDTF">2025-01-14T04:22:00Z</dcterms:modified>
</cp:coreProperties>
</file>